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FF0000"/>
          <w:sz w:val="36"/>
          <w:szCs w:val="36"/>
        </w:rPr>
      </w:pPr>
    </w:p>
    <w:p>
      <w:pPr>
        <w:rPr>
          <w:rFonts w:eastAsia="仿宋_GB2312"/>
          <w:color w:val="FF0000"/>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outlineLvl w:val="0"/>
        <w:rPr>
          <w:rFonts w:hint="eastAsia" w:eastAsia="华文仿宋"/>
          <w:color w:val="auto"/>
          <w:kern w:val="44"/>
          <w:sz w:val="44"/>
          <w:szCs w:val="44"/>
          <w:lang w:eastAsia="zh-CN"/>
        </w:rPr>
      </w:pPr>
      <w:r>
        <w:rPr>
          <w:rFonts w:hint="eastAsia" w:eastAsia="华文仿宋"/>
          <w:color w:val="auto"/>
          <w:kern w:val="44"/>
          <w:sz w:val="44"/>
          <w:szCs w:val="44"/>
          <w:lang w:eastAsia="zh-CN"/>
        </w:rPr>
        <w:t>（</w:t>
      </w:r>
      <w:r>
        <w:rPr>
          <w:rFonts w:hint="eastAsia" w:eastAsia="华文仿宋"/>
          <w:color w:val="auto"/>
          <w:kern w:val="44"/>
          <w:sz w:val="44"/>
          <w:szCs w:val="44"/>
          <w:lang w:val="en-US" w:eastAsia="zh-CN"/>
        </w:rPr>
        <w:t>送审本</w:t>
      </w:r>
      <w:r>
        <w:rPr>
          <w:rFonts w:hint="eastAsia" w:eastAsia="华文仿宋"/>
          <w:color w:val="auto"/>
          <w:kern w:val="44"/>
          <w:sz w:val="44"/>
          <w:szCs w:val="44"/>
          <w:lang w:eastAsia="zh-CN"/>
        </w:rPr>
        <w:t>）</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tbl>
      <w:tblPr>
        <w:tblStyle w:val="14"/>
        <w:tblpPr w:leftFromText="180" w:rightFromText="180" w:vertAnchor="text" w:horzAnchor="page" w:tblpXSpec="center" w:tblpY="597"/>
        <w:tblOverlap w:val="never"/>
        <w:tblW w:w="7933" w:type="dxa"/>
        <w:jc w:val="center"/>
        <w:tblLayout w:type="fixed"/>
        <w:tblCellMar>
          <w:top w:w="0" w:type="dxa"/>
          <w:left w:w="108" w:type="dxa"/>
          <w:bottom w:w="0" w:type="dxa"/>
          <w:right w:w="108" w:type="dxa"/>
        </w:tblCellMar>
      </w:tblPr>
      <w:tblGrid>
        <w:gridCol w:w="2622"/>
        <w:gridCol w:w="5311"/>
      </w:tblGrid>
      <w:tr>
        <w:tblPrEx>
          <w:tblCellMar>
            <w:top w:w="0" w:type="dxa"/>
            <w:left w:w="108" w:type="dxa"/>
            <w:bottom w:w="0" w:type="dxa"/>
            <w:right w:w="108" w:type="dxa"/>
          </w:tblCellMar>
        </w:tblPrEx>
        <w:trPr>
          <w:trHeight w:val="100" w:hRule="atLeast"/>
          <w:jc w:val="center"/>
        </w:trPr>
        <w:tc>
          <w:tcPr>
            <w:tcW w:w="2622" w:type="dxa"/>
            <w:noWrap w:val="0"/>
            <w:vAlign w:val="center"/>
          </w:tcPr>
          <w:p>
            <w:pPr>
              <w:adjustRightInd w:val="0"/>
              <w:snapToGrid w:val="0"/>
              <w:spacing w:line="288" w:lineRule="auto"/>
              <w:jc w:val="distribute"/>
              <w:rPr>
                <w:rFonts w:hint="eastAsia" w:ascii="仿宋_GB2312" w:eastAsia="仿宋_GB2312"/>
                <w:color w:val="auto"/>
                <w:sz w:val="36"/>
                <w:szCs w:val="36"/>
              </w:rPr>
            </w:pPr>
            <w:r>
              <w:rPr>
                <w:rFonts w:hint="eastAsia" w:ascii="仿宋_GB2312" w:eastAsia="仿宋_GB2312"/>
                <w:color w:val="auto"/>
                <w:sz w:val="36"/>
                <w:szCs w:val="36"/>
              </w:rPr>
              <w:t>项目名称:</w:t>
            </w:r>
          </w:p>
        </w:tc>
        <w:tc>
          <w:tcPr>
            <w:tcW w:w="5311" w:type="dxa"/>
            <w:tcBorders>
              <w:top w:val="nil"/>
              <w:left w:val="nil"/>
              <w:bottom w:val="single" w:color="auto" w:sz="4" w:space="0"/>
              <w:right w:val="nil"/>
            </w:tcBorders>
            <w:noWrap w:val="0"/>
            <w:vAlign w:val="center"/>
          </w:tcPr>
          <w:p>
            <w:pPr>
              <w:adjustRightInd w:val="0"/>
              <w:snapToGrid w:val="0"/>
              <w:spacing w:line="288" w:lineRule="auto"/>
              <w:jc w:val="distribute"/>
              <w:rPr>
                <w:rFonts w:hint="eastAsia" w:ascii="仿宋_GB2312" w:eastAsia="仿宋_GB2312"/>
                <w:color w:val="auto"/>
                <w:sz w:val="36"/>
                <w:szCs w:val="36"/>
                <w:lang w:eastAsia="zh-CN"/>
              </w:rPr>
            </w:pPr>
            <w:r>
              <w:rPr>
                <w:rFonts w:hint="eastAsia" w:ascii="仿宋_GB2312" w:eastAsia="仿宋_GB2312"/>
                <w:color w:val="auto"/>
                <w:sz w:val="36"/>
                <w:szCs w:val="36"/>
                <w:lang w:eastAsia="zh-CN"/>
              </w:rPr>
              <w:t>宣汉闽通再生资源回收储存项目</w:t>
            </w:r>
          </w:p>
        </w:tc>
      </w:tr>
      <w:tr>
        <w:tblPrEx>
          <w:tblCellMar>
            <w:top w:w="0" w:type="dxa"/>
            <w:left w:w="108" w:type="dxa"/>
            <w:bottom w:w="0" w:type="dxa"/>
            <w:right w:w="108" w:type="dxa"/>
          </w:tblCellMar>
        </w:tblPrEx>
        <w:trPr>
          <w:trHeight w:val="285" w:hRule="atLeast"/>
          <w:jc w:val="center"/>
        </w:trPr>
        <w:tc>
          <w:tcPr>
            <w:tcW w:w="2622" w:type="dxa"/>
            <w:noWrap w:val="0"/>
            <w:vAlign w:val="bottom"/>
          </w:tcPr>
          <w:p>
            <w:pPr>
              <w:adjustRightInd w:val="0"/>
              <w:snapToGrid w:val="0"/>
              <w:spacing w:line="288" w:lineRule="auto"/>
              <w:jc w:val="distribute"/>
              <w:rPr>
                <w:rFonts w:hint="eastAsia" w:ascii="仿宋_GB2312" w:eastAsia="仿宋_GB2312"/>
                <w:color w:val="auto"/>
                <w:sz w:val="36"/>
                <w:szCs w:val="36"/>
              </w:rPr>
            </w:pPr>
          </w:p>
        </w:tc>
        <w:tc>
          <w:tcPr>
            <w:tcW w:w="5311" w:type="dxa"/>
            <w:tcBorders>
              <w:top w:val="single" w:color="auto" w:sz="4" w:space="0"/>
              <w:left w:val="nil"/>
              <w:bottom w:val="nil"/>
              <w:right w:val="nil"/>
            </w:tcBorders>
            <w:noWrap w:val="0"/>
            <w:vAlign w:val="bottom"/>
          </w:tcPr>
          <w:p>
            <w:pPr>
              <w:adjustRightInd w:val="0"/>
              <w:snapToGrid w:val="0"/>
              <w:spacing w:line="288" w:lineRule="auto"/>
              <w:jc w:val="distribute"/>
              <w:rPr>
                <w:rFonts w:hint="eastAsia" w:ascii="仿宋_GB2312" w:eastAsia="仿宋_GB2312"/>
                <w:color w:val="auto"/>
                <w:sz w:val="36"/>
                <w:szCs w:val="36"/>
              </w:rPr>
            </w:pPr>
          </w:p>
        </w:tc>
      </w:tr>
      <w:tr>
        <w:tblPrEx>
          <w:tblCellMar>
            <w:top w:w="0" w:type="dxa"/>
            <w:left w:w="108" w:type="dxa"/>
            <w:bottom w:w="0" w:type="dxa"/>
            <w:right w:w="108" w:type="dxa"/>
          </w:tblCellMar>
        </w:tblPrEx>
        <w:trPr>
          <w:trHeight w:val="184" w:hRule="atLeast"/>
          <w:jc w:val="center"/>
        </w:trPr>
        <w:tc>
          <w:tcPr>
            <w:tcW w:w="2622" w:type="dxa"/>
            <w:noWrap w:val="0"/>
            <w:vAlign w:val="bottom"/>
          </w:tcPr>
          <w:p>
            <w:pPr>
              <w:adjustRightInd w:val="0"/>
              <w:snapToGrid w:val="0"/>
              <w:spacing w:line="288" w:lineRule="auto"/>
              <w:jc w:val="distribute"/>
              <w:rPr>
                <w:rFonts w:hint="eastAsia" w:ascii="仿宋_GB2312" w:eastAsia="仿宋_GB2312"/>
                <w:color w:val="auto"/>
                <w:sz w:val="36"/>
                <w:szCs w:val="36"/>
              </w:rPr>
            </w:pPr>
            <w:r>
              <w:rPr>
                <w:rFonts w:hint="eastAsia" w:ascii="仿宋_GB2312" w:eastAsia="仿宋_GB2312"/>
                <w:color w:val="auto"/>
                <w:spacing w:val="-23"/>
                <w:sz w:val="36"/>
                <w:szCs w:val="36"/>
              </w:rPr>
              <w:t>建设单位(盖章):</w:t>
            </w:r>
          </w:p>
        </w:tc>
        <w:tc>
          <w:tcPr>
            <w:tcW w:w="5311" w:type="dxa"/>
            <w:tcBorders>
              <w:top w:val="nil"/>
              <w:left w:val="nil"/>
              <w:bottom w:val="single" w:color="auto" w:sz="4" w:space="0"/>
              <w:right w:val="nil"/>
            </w:tcBorders>
            <w:noWrap w:val="0"/>
            <w:vAlign w:val="bottom"/>
          </w:tcPr>
          <w:p>
            <w:pPr>
              <w:adjustRightInd w:val="0"/>
              <w:snapToGrid w:val="0"/>
              <w:spacing w:line="288" w:lineRule="auto"/>
              <w:jc w:val="distribute"/>
              <w:rPr>
                <w:rFonts w:hint="eastAsia" w:ascii="仿宋_GB2312" w:eastAsia="仿宋_GB2312"/>
                <w:color w:val="auto"/>
                <w:sz w:val="36"/>
                <w:szCs w:val="36"/>
                <w:lang w:eastAsia="zh-CN"/>
              </w:rPr>
            </w:pPr>
            <w:r>
              <w:rPr>
                <w:rFonts w:hint="eastAsia" w:ascii="仿宋_GB2312" w:eastAsia="仿宋_GB2312"/>
                <w:color w:val="auto"/>
                <w:spacing w:val="-11"/>
                <w:sz w:val="36"/>
                <w:szCs w:val="36"/>
                <w:lang w:eastAsia="zh-CN"/>
              </w:rPr>
              <w:t>达州市闽通环保科技有限公司</w:t>
            </w:r>
          </w:p>
        </w:tc>
      </w:tr>
      <w:tr>
        <w:tblPrEx>
          <w:tblCellMar>
            <w:top w:w="0" w:type="dxa"/>
            <w:left w:w="108" w:type="dxa"/>
            <w:bottom w:w="0" w:type="dxa"/>
            <w:right w:w="108" w:type="dxa"/>
          </w:tblCellMar>
        </w:tblPrEx>
        <w:trPr>
          <w:trHeight w:val="289" w:hRule="atLeast"/>
          <w:jc w:val="center"/>
        </w:trPr>
        <w:tc>
          <w:tcPr>
            <w:tcW w:w="2622" w:type="dxa"/>
            <w:noWrap w:val="0"/>
            <w:vAlign w:val="bottom"/>
          </w:tcPr>
          <w:p>
            <w:pPr>
              <w:adjustRightInd w:val="0"/>
              <w:snapToGrid w:val="0"/>
              <w:spacing w:line="288" w:lineRule="auto"/>
              <w:jc w:val="distribute"/>
              <w:rPr>
                <w:rFonts w:hint="eastAsia" w:ascii="仿宋_GB2312" w:eastAsia="仿宋_GB2312"/>
                <w:color w:val="auto"/>
                <w:sz w:val="36"/>
                <w:szCs w:val="36"/>
              </w:rPr>
            </w:pPr>
          </w:p>
        </w:tc>
        <w:tc>
          <w:tcPr>
            <w:tcW w:w="5311" w:type="dxa"/>
            <w:tcBorders>
              <w:top w:val="single" w:color="auto" w:sz="4" w:space="0"/>
              <w:left w:val="nil"/>
              <w:bottom w:val="nil"/>
              <w:right w:val="nil"/>
            </w:tcBorders>
            <w:noWrap w:val="0"/>
            <w:vAlign w:val="bottom"/>
          </w:tcPr>
          <w:p>
            <w:pPr>
              <w:adjustRightInd w:val="0"/>
              <w:snapToGrid w:val="0"/>
              <w:spacing w:line="288" w:lineRule="auto"/>
              <w:jc w:val="distribute"/>
              <w:rPr>
                <w:rFonts w:hint="eastAsia" w:ascii="仿宋_GB2312" w:eastAsia="仿宋_GB2312"/>
                <w:color w:val="auto"/>
                <w:sz w:val="36"/>
                <w:szCs w:val="36"/>
              </w:rPr>
            </w:pPr>
          </w:p>
        </w:tc>
      </w:tr>
      <w:tr>
        <w:tblPrEx>
          <w:tblCellMar>
            <w:top w:w="0" w:type="dxa"/>
            <w:left w:w="108" w:type="dxa"/>
            <w:bottom w:w="0" w:type="dxa"/>
            <w:right w:w="108" w:type="dxa"/>
          </w:tblCellMar>
        </w:tblPrEx>
        <w:trPr>
          <w:trHeight w:val="304" w:hRule="atLeast"/>
          <w:jc w:val="center"/>
        </w:trPr>
        <w:tc>
          <w:tcPr>
            <w:tcW w:w="2622" w:type="dxa"/>
            <w:noWrap w:val="0"/>
            <w:vAlign w:val="center"/>
          </w:tcPr>
          <w:p>
            <w:pPr>
              <w:adjustRightInd w:val="0"/>
              <w:snapToGrid w:val="0"/>
              <w:spacing w:line="288" w:lineRule="auto"/>
              <w:jc w:val="distribute"/>
              <w:rPr>
                <w:rFonts w:ascii="仿宋_GB2312" w:eastAsia="仿宋_GB2312"/>
                <w:color w:val="auto"/>
                <w:sz w:val="36"/>
                <w:szCs w:val="36"/>
              </w:rPr>
            </w:pPr>
            <w:r>
              <w:rPr>
                <w:rFonts w:hint="eastAsia" w:ascii="仿宋_GB2312" w:eastAsia="仿宋_GB2312"/>
                <w:color w:val="auto"/>
                <w:sz w:val="36"/>
                <w:szCs w:val="36"/>
              </w:rPr>
              <w:t>编制日期:</w:t>
            </w:r>
          </w:p>
        </w:tc>
        <w:tc>
          <w:tcPr>
            <w:tcW w:w="5311" w:type="dxa"/>
            <w:tcBorders>
              <w:top w:val="nil"/>
              <w:left w:val="nil"/>
              <w:bottom w:val="single" w:color="auto" w:sz="4" w:space="0"/>
              <w:right w:val="nil"/>
            </w:tcBorders>
            <w:noWrap w:val="0"/>
            <w:vAlign w:val="bottom"/>
          </w:tcPr>
          <w:p>
            <w:pPr>
              <w:adjustRightInd w:val="0"/>
              <w:snapToGrid w:val="0"/>
              <w:spacing w:line="288" w:lineRule="auto"/>
              <w:jc w:val="center"/>
              <w:rPr>
                <w:rFonts w:hint="eastAsia" w:ascii="仿宋_GB2312" w:eastAsia="仿宋_GB2312"/>
                <w:color w:val="auto"/>
                <w:spacing w:val="45"/>
                <w:sz w:val="36"/>
                <w:szCs w:val="36"/>
              </w:rPr>
            </w:pPr>
            <w:r>
              <w:rPr>
                <w:rFonts w:hint="eastAsia" w:ascii="仿宋_GB2312" w:eastAsia="仿宋_GB2312"/>
                <w:color w:val="auto"/>
                <w:spacing w:val="45"/>
                <w:sz w:val="36"/>
                <w:szCs w:val="36"/>
              </w:rPr>
              <w:t>二〇二</w:t>
            </w:r>
            <w:r>
              <w:rPr>
                <w:rFonts w:hint="eastAsia" w:ascii="仿宋_GB2312" w:eastAsia="仿宋_GB2312"/>
                <w:color w:val="auto"/>
                <w:spacing w:val="45"/>
                <w:sz w:val="36"/>
                <w:szCs w:val="36"/>
                <w:lang w:val="en-US" w:eastAsia="zh-CN"/>
              </w:rPr>
              <w:t>二</w:t>
            </w:r>
            <w:r>
              <w:rPr>
                <w:rFonts w:hint="eastAsia" w:ascii="仿宋_GB2312" w:eastAsia="仿宋_GB2312"/>
                <w:color w:val="auto"/>
                <w:spacing w:val="45"/>
                <w:sz w:val="36"/>
                <w:szCs w:val="36"/>
              </w:rPr>
              <w:t>年四月</w:t>
            </w:r>
          </w:p>
        </w:tc>
      </w:tr>
    </w:tbl>
    <w:p>
      <w:pPr>
        <w:ind w:firstLine="1040"/>
        <w:rPr>
          <w:rFonts w:eastAsia="仿宋"/>
          <w:color w:val="auto"/>
          <w:sz w:val="44"/>
          <w:szCs w:val="44"/>
        </w:rPr>
      </w:pPr>
    </w:p>
    <w:p>
      <w:pPr>
        <w:ind w:firstLine="1040"/>
        <w:rPr>
          <w:rFonts w:eastAsia="仿宋"/>
          <w:color w:val="FF0000"/>
          <w:sz w:val="44"/>
          <w:szCs w:val="44"/>
        </w:rPr>
      </w:pPr>
    </w:p>
    <w:p>
      <w:pPr>
        <w:adjustRightInd w:val="0"/>
        <w:snapToGrid w:val="0"/>
        <w:spacing w:line="288" w:lineRule="auto"/>
        <w:ind w:firstLine="1040"/>
        <w:rPr>
          <w:rFonts w:eastAsia="仿宋_GB2312"/>
          <w:color w:val="FF0000"/>
          <w:sz w:val="36"/>
          <w:szCs w:val="36"/>
          <w:u w:val="single"/>
        </w:rPr>
      </w:pPr>
      <w:bookmarkStart w:id="0" w:name="_Hlk57884087"/>
    </w:p>
    <w:p>
      <w:pPr>
        <w:adjustRightInd w:val="0"/>
        <w:snapToGrid w:val="0"/>
        <w:spacing w:line="288" w:lineRule="auto"/>
        <w:ind w:firstLine="1040"/>
        <w:rPr>
          <w:rFonts w:eastAsia="仿宋_GB2312"/>
          <w:color w:val="FF0000"/>
          <w:sz w:val="36"/>
          <w:szCs w:val="36"/>
        </w:rPr>
      </w:pPr>
    </w:p>
    <w:p>
      <w:pPr>
        <w:adjustRightInd w:val="0"/>
        <w:snapToGrid w:val="0"/>
        <w:spacing w:line="288" w:lineRule="auto"/>
        <w:ind w:firstLine="1040"/>
        <w:rPr>
          <w:rFonts w:eastAsia="仿宋_GB2312"/>
          <w:color w:val="FF0000"/>
          <w:sz w:val="36"/>
          <w:szCs w:val="36"/>
        </w:rPr>
      </w:pPr>
    </w:p>
    <w:p>
      <w:pPr>
        <w:adjustRightInd w:val="0"/>
        <w:snapToGrid w:val="0"/>
        <w:spacing w:line="288" w:lineRule="auto"/>
        <w:ind w:firstLine="1040"/>
        <w:rPr>
          <w:rFonts w:eastAsia="仿宋_GB2312"/>
          <w:color w:val="FF0000"/>
          <w:sz w:val="36"/>
          <w:szCs w:val="36"/>
        </w:rPr>
      </w:pPr>
    </w:p>
    <w:bookmarkEnd w:id="0"/>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w:t>
      </w:r>
      <w:r>
        <w:rPr>
          <w:rFonts w:hint="eastAsia" w:eastAsia="楷体_GB2312"/>
          <w:color w:val="auto"/>
          <w:sz w:val="36"/>
          <w:szCs w:val="36"/>
        </w:rPr>
        <w:t xml:space="preserve"> </w:t>
      </w:r>
      <w:r>
        <w:rPr>
          <w:rFonts w:eastAsia="楷体_GB2312"/>
          <w:color w:val="auto"/>
          <w:sz w:val="36"/>
          <w:szCs w:val="36"/>
        </w:rPr>
        <w:t>制</w:t>
      </w:r>
    </w:p>
    <w:p>
      <w:pPr>
        <w:adjustRightInd w:val="0"/>
        <w:snapToGrid w:val="0"/>
        <w:spacing w:line="288" w:lineRule="auto"/>
        <w:ind w:firstLine="1040"/>
        <w:rPr>
          <w:rFonts w:eastAsia="仿宋_GB2312"/>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formProt w:val="0"/>
          <w:docGrid w:linePitch="312" w:charSpace="0"/>
        </w:sectPr>
      </w:pPr>
    </w:p>
    <w:p>
      <w:pPr>
        <w:widowControl/>
        <w:spacing w:before="100" w:beforeAutospacing="1" w:after="100" w:afterAutospacing="1"/>
        <w:jc w:val="center"/>
        <w:outlineLvl w:val="0"/>
        <w:rPr>
          <w:rFonts w:eastAsia="黑体"/>
          <w:snapToGrid w:val="0"/>
          <w:color w:val="auto"/>
          <w:kern w:val="0"/>
          <w:sz w:val="30"/>
          <w:szCs w:val="30"/>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formProt w:val="1"/>
          <w:docGrid w:linePitch="312" w:charSpace="0"/>
        </w:sectPr>
      </w:pPr>
    </w:p>
    <w:p>
      <w:pPr>
        <w:widowControl/>
        <w:spacing w:before="100" w:beforeAutospacing="1" w:after="100" w:afterAutospacing="1"/>
        <w:jc w:val="center"/>
        <w:outlineLvl w:val="0"/>
        <w:rPr>
          <w:rFonts w:eastAsia="黑体"/>
          <w:snapToGrid w:val="0"/>
          <w:color w:val="auto"/>
          <w:kern w:val="0"/>
          <w:sz w:val="30"/>
          <w:szCs w:val="30"/>
        </w:rPr>
      </w:pPr>
      <w:r>
        <w:rPr>
          <w:rFonts w:eastAsia="黑体"/>
          <w:snapToGrid w:val="0"/>
          <w:color w:val="auto"/>
          <w:kern w:val="0"/>
          <w:sz w:val="30"/>
          <w:szCs w:val="30"/>
        </w:rPr>
        <w:t>一、建设项目基本情况</w:t>
      </w:r>
    </w:p>
    <w:tbl>
      <w:tblPr>
        <w:tblStyle w:val="1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2"/>
        <w:gridCol w:w="2400"/>
        <w:gridCol w:w="1964"/>
        <w:gridCol w:w="2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建设项目名称</w:t>
            </w:r>
          </w:p>
        </w:tc>
        <w:tc>
          <w:tcPr>
            <w:tcW w:w="7168" w:type="dxa"/>
            <w:gridSpan w:val="3"/>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宣汉闽通再生资源回收储存项目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项目代码</w:t>
            </w:r>
          </w:p>
        </w:tc>
        <w:tc>
          <w:tcPr>
            <w:tcW w:w="7168" w:type="dxa"/>
            <w:gridSpan w:val="3"/>
            <w:noWrap w:val="0"/>
            <w:vAlign w:val="center"/>
          </w:tcPr>
          <w:p>
            <w:pPr>
              <w:adjustRightInd w:val="0"/>
              <w:snapToGrid w:val="0"/>
              <w:jc w:val="center"/>
              <w:rPr>
                <w:color w:val="auto"/>
                <w:szCs w:val="21"/>
              </w:rPr>
            </w:pPr>
            <w:r>
              <w:rPr>
                <w:rFonts w:hint="eastAsia"/>
                <w:color w:val="auto"/>
                <w:szCs w:val="21"/>
              </w:rPr>
              <w:t>2204-511722-04-01-844127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建设单位联系人</w:t>
            </w:r>
          </w:p>
        </w:tc>
        <w:tc>
          <w:tcPr>
            <w:tcW w:w="2400" w:type="dxa"/>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刘国平</w:t>
            </w:r>
          </w:p>
        </w:tc>
        <w:tc>
          <w:tcPr>
            <w:tcW w:w="1964" w:type="dxa"/>
            <w:noWrap w:val="0"/>
            <w:vAlign w:val="center"/>
          </w:tcPr>
          <w:p>
            <w:pPr>
              <w:adjustRightInd w:val="0"/>
              <w:snapToGrid w:val="0"/>
              <w:jc w:val="center"/>
              <w:rPr>
                <w:color w:val="auto"/>
                <w:szCs w:val="21"/>
                <w:highlight w:val="none"/>
              </w:rPr>
            </w:pPr>
            <w:r>
              <w:rPr>
                <w:color w:val="auto"/>
                <w:szCs w:val="21"/>
                <w:highlight w:val="none"/>
              </w:rPr>
              <w:t>联系方式</w:t>
            </w:r>
          </w:p>
        </w:tc>
        <w:tc>
          <w:tcPr>
            <w:tcW w:w="2804" w:type="dxa"/>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15367066555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建设地点</w:t>
            </w:r>
          </w:p>
        </w:tc>
        <w:tc>
          <w:tcPr>
            <w:tcW w:w="7168" w:type="dxa"/>
            <w:gridSpan w:val="3"/>
            <w:noWrap w:val="0"/>
            <w:vAlign w:val="center"/>
          </w:tcPr>
          <w:p>
            <w:pPr>
              <w:adjustRightInd w:val="0"/>
              <w:snapToGrid w:val="0"/>
              <w:jc w:val="center"/>
              <w:rPr>
                <w:rFonts w:hint="eastAsia" w:eastAsia="宋体"/>
                <w:color w:val="auto"/>
                <w:szCs w:val="21"/>
                <w:lang w:eastAsia="zh-CN"/>
              </w:rPr>
            </w:pPr>
            <w:r>
              <w:rPr>
                <w:color w:val="auto"/>
                <w:szCs w:val="21"/>
              </w:rPr>
              <w:t>四川省</w:t>
            </w:r>
            <w:r>
              <w:rPr>
                <w:rFonts w:hint="eastAsia"/>
                <w:color w:val="auto"/>
                <w:szCs w:val="21"/>
                <w:lang w:eastAsia="zh-CN"/>
              </w:rPr>
              <w:t>达州市宣汉县普光经济开发区柳池工业园弘泰电化厂区内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地理坐标</w:t>
            </w:r>
          </w:p>
        </w:tc>
        <w:tc>
          <w:tcPr>
            <w:tcW w:w="7168" w:type="dxa"/>
            <w:gridSpan w:val="3"/>
            <w:noWrap w:val="0"/>
            <w:vAlign w:val="center"/>
          </w:tcPr>
          <w:p>
            <w:pPr>
              <w:jc w:val="center"/>
              <w:rPr>
                <w:color w:val="auto"/>
                <w:szCs w:val="21"/>
              </w:rPr>
            </w:pPr>
            <w:r>
              <w:rPr>
                <w:color w:val="auto"/>
                <w:szCs w:val="21"/>
              </w:rPr>
              <w:t>（</w:t>
            </w:r>
            <w:r>
              <w:rPr>
                <w:color w:val="auto"/>
                <w:szCs w:val="21"/>
                <w:u w:val="single"/>
              </w:rPr>
              <w:t xml:space="preserve"> 107 </w:t>
            </w:r>
            <w:r>
              <w:rPr>
                <w:color w:val="auto"/>
                <w:szCs w:val="21"/>
              </w:rPr>
              <w:t>度</w:t>
            </w:r>
            <w:r>
              <w:rPr>
                <w:color w:val="auto"/>
                <w:szCs w:val="21"/>
                <w:u w:val="single"/>
              </w:rPr>
              <w:t xml:space="preserve"> </w:t>
            </w:r>
            <w:r>
              <w:rPr>
                <w:rFonts w:hint="eastAsia"/>
                <w:color w:val="auto"/>
                <w:szCs w:val="21"/>
                <w:u w:val="single"/>
                <w:lang w:val="en-US" w:eastAsia="zh-CN"/>
              </w:rPr>
              <w:t>41</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lang w:val="en-US" w:eastAsia="zh-CN"/>
              </w:rPr>
              <w:t>6.29</w:t>
            </w:r>
            <w:r>
              <w:rPr>
                <w:color w:val="auto"/>
                <w:szCs w:val="21"/>
                <w:u w:val="single"/>
              </w:rPr>
              <w:t xml:space="preserve"> </w:t>
            </w:r>
            <w:r>
              <w:rPr>
                <w:color w:val="auto"/>
                <w:szCs w:val="21"/>
              </w:rPr>
              <w:t>秒，</w:t>
            </w:r>
            <w:r>
              <w:rPr>
                <w:color w:val="auto"/>
                <w:szCs w:val="21"/>
                <w:u w:val="single"/>
              </w:rPr>
              <w:t xml:space="preserve"> 31 </w:t>
            </w:r>
            <w:r>
              <w:rPr>
                <w:color w:val="auto"/>
                <w:szCs w:val="21"/>
              </w:rPr>
              <w:t>度</w:t>
            </w:r>
            <w:r>
              <w:rPr>
                <w:color w:val="auto"/>
                <w:szCs w:val="21"/>
                <w:u w:val="single"/>
              </w:rPr>
              <w:t xml:space="preserve"> 2</w:t>
            </w:r>
            <w:r>
              <w:rPr>
                <w:rFonts w:hint="eastAsia"/>
                <w:color w:val="auto"/>
                <w:szCs w:val="21"/>
                <w:u w:val="single"/>
                <w:lang w:val="en-US" w:eastAsia="zh-CN"/>
              </w:rPr>
              <w:t>5</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lang w:val="en-US" w:eastAsia="zh-CN"/>
              </w:rPr>
              <w:t>22.65</w:t>
            </w:r>
            <w:r>
              <w:rPr>
                <w:color w:val="auto"/>
                <w:szCs w:val="21"/>
                <w:u w:val="single"/>
              </w:rPr>
              <w:t xml:space="preserve"> </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国民经济</w:t>
            </w:r>
          </w:p>
          <w:p>
            <w:pPr>
              <w:adjustRightInd w:val="0"/>
              <w:snapToGrid w:val="0"/>
              <w:jc w:val="center"/>
              <w:rPr>
                <w:color w:val="auto"/>
                <w:szCs w:val="21"/>
              </w:rPr>
            </w:pPr>
            <w:r>
              <w:rPr>
                <w:color w:val="auto"/>
                <w:szCs w:val="21"/>
              </w:rPr>
              <w:t>行业类别</w:t>
            </w:r>
          </w:p>
        </w:tc>
        <w:tc>
          <w:tcPr>
            <w:tcW w:w="2400" w:type="dxa"/>
            <w:noWrap w:val="0"/>
            <w:vAlign w:val="center"/>
          </w:tcPr>
          <w:p>
            <w:pPr>
              <w:adjustRightInd w:val="0"/>
              <w:snapToGrid w:val="0"/>
              <w:jc w:val="center"/>
              <w:rPr>
                <w:color w:val="auto"/>
                <w:szCs w:val="21"/>
              </w:rPr>
            </w:pPr>
            <w:r>
              <w:rPr>
                <w:rFonts w:hint="eastAsia"/>
                <w:color w:val="auto"/>
                <w:szCs w:val="21"/>
                <w:lang w:val="en-US" w:eastAsia="zh-CN"/>
              </w:rPr>
              <w:t>G</w:t>
            </w:r>
            <w:r>
              <w:rPr>
                <w:color w:val="auto"/>
                <w:szCs w:val="21"/>
              </w:rPr>
              <w:t>5949其他危险品仓储</w:t>
            </w:r>
          </w:p>
        </w:tc>
        <w:tc>
          <w:tcPr>
            <w:tcW w:w="1964" w:type="dxa"/>
            <w:noWrap w:val="0"/>
            <w:vAlign w:val="center"/>
          </w:tcPr>
          <w:p>
            <w:pPr>
              <w:adjustRightInd w:val="0"/>
              <w:snapToGrid w:val="0"/>
              <w:jc w:val="center"/>
              <w:rPr>
                <w:color w:val="auto"/>
                <w:szCs w:val="21"/>
              </w:rPr>
            </w:pPr>
            <w:bookmarkStart w:id="1" w:name="_Hlk49843745"/>
            <w:r>
              <w:rPr>
                <w:color w:val="auto"/>
                <w:szCs w:val="21"/>
              </w:rPr>
              <w:t>建设项目</w:t>
            </w:r>
          </w:p>
          <w:p>
            <w:pPr>
              <w:adjustRightInd w:val="0"/>
              <w:snapToGrid w:val="0"/>
              <w:jc w:val="center"/>
              <w:rPr>
                <w:color w:val="auto"/>
                <w:szCs w:val="21"/>
              </w:rPr>
            </w:pPr>
            <w:r>
              <w:rPr>
                <w:color w:val="auto"/>
                <w:szCs w:val="21"/>
              </w:rPr>
              <w:t>行业类别</w:t>
            </w:r>
            <w:bookmarkEnd w:id="1"/>
          </w:p>
        </w:tc>
        <w:tc>
          <w:tcPr>
            <w:tcW w:w="2804" w:type="dxa"/>
            <w:noWrap w:val="0"/>
            <w:vAlign w:val="center"/>
          </w:tcPr>
          <w:p>
            <w:pPr>
              <w:adjustRightInd w:val="0"/>
              <w:snapToGrid w:val="0"/>
              <w:rPr>
                <w:rFonts w:hint="default"/>
                <w:color w:val="auto"/>
                <w:szCs w:val="21"/>
              </w:rPr>
            </w:pPr>
            <w:r>
              <w:rPr>
                <w:rFonts w:hint="default"/>
                <w:color w:val="auto"/>
                <w:szCs w:val="21"/>
              </w:rPr>
              <w:t>五十三、装卸搬运和仓储业</w:t>
            </w:r>
          </w:p>
          <w:p>
            <w:pPr>
              <w:adjustRightInd w:val="0"/>
              <w:snapToGrid w:val="0"/>
              <w:rPr>
                <w:color w:val="auto"/>
                <w:szCs w:val="21"/>
              </w:rPr>
            </w:pPr>
            <w:r>
              <w:rPr>
                <w:color w:val="auto"/>
                <w:szCs w:val="21"/>
              </w:rPr>
              <w:t>149 危险品仓储594（不含加油站的油库；不含加气站的气库）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43"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建设性质</w:t>
            </w:r>
          </w:p>
        </w:tc>
        <w:tc>
          <w:tcPr>
            <w:tcW w:w="2400" w:type="dxa"/>
            <w:noWrap w:val="0"/>
            <w:vAlign w:val="center"/>
          </w:tcPr>
          <w:p>
            <w:pPr>
              <w:jc w:val="left"/>
              <w:rPr>
                <w:color w:val="auto"/>
                <w:szCs w:val="21"/>
              </w:rPr>
            </w:pPr>
            <w:r>
              <w:rPr>
                <w:color w:val="auto"/>
                <w:szCs w:val="21"/>
              </w:rPr>
              <w:sym w:font="Wingdings 2" w:char="0052"/>
            </w:r>
            <w:r>
              <w:rPr>
                <w:color w:val="auto"/>
                <w:szCs w:val="21"/>
              </w:rPr>
              <w:t>新建（迁建）</w:t>
            </w:r>
          </w:p>
          <w:p>
            <w:pPr>
              <w:jc w:val="left"/>
              <w:rPr>
                <w:color w:val="auto"/>
                <w:szCs w:val="21"/>
              </w:rPr>
            </w:pPr>
            <w:r>
              <w:rPr>
                <w:color w:val="auto"/>
                <w:szCs w:val="21"/>
              </w:rPr>
              <w:sym w:font="Wingdings 2" w:char="00A3"/>
            </w:r>
            <w:r>
              <w:rPr>
                <w:color w:val="auto"/>
                <w:szCs w:val="21"/>
              </w:rPr>
              <w:t>改建</w:t>
            </w:r>
          </w:p>
          <w:p>
            <w:pPr>
              <w:jc w:val="left"/>
              <w:rPr>
                <w:color w:val="auto"/>
                <w:szCs w:val="21"/>
              </w:rPr>
            </w:pPr>
            <w:r>
              <w:rPr>
                <w:color w:val="auto"/>
                <w:szCs w:val="21"/>
              </w:rPr>
              <w:sym w:font="Wingdings 2" w:char="00A3"/>
            </w:r>
            <w:r>
              <w:rPr>
                <w:color w:val="auto"/>
                <w:szCs w:val="21"/>
              </w:rPr>
              <w:t>扩建</w:t>
            </w:r>
          </w:p>
          <w:p>
            <w:pPr>
              <w:jc w:val="left"/>
              <w:rPr>
                <w:color w:val="auto"/>
                <w:szCs w:val="21"/>
              </w:rPr>
            </w:pPr>
            <w:r>
              <w:rPr>
                <w:color w:val="auto"/>
                <w:szCs w:val="21"/>
              </w:rPr>
              <w:sym w:font="Wingdings 2" w:char="00A3"/>
            </w:r>
            <w:r>
              <w:rPr>
                <w:color w:val="auto"/>
                <w:szCs w:val="21"/>
              </w:rPr>
              <w:t>技术改造</w:t>
            </w:r>
          </w:p>
        </w:tc>
        <w:tc>
          <w:tcPr>
            <w:tcW w:w="1964" w:type="dxa"/>
            <w:noWrap w:val="0"/>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2804" w:type="dxa"/>
            <w:noWrap w:val="0"/>
            <w:vAlign w:val="center"/>
          </w:tcPr>
          <w:p>
            <w:pPr>
              <w:jc w:val="left"/>
              <w:rPr>
                <w:color w:val="auto"/>
                <w:szCs w:val="21"/>
              </w:rPr>
            </w:pPr>
            <w:r>
              <w:rPr>
                <w:color w:val="auto"/>
                <w:szCs w:val="21"/>
              </w:rPr>
              <w:sym w:font="Wingdings 2" w:char="0052"/>
            </w:r>
            <w:r>
              <w:rPr>
                <w:color w:val="auto"/>
                <w:szCs w:val="21"/>
              </w:rPr>
              <w:t xml:space="preserve">首次申报项目             </w:t>
            </w:r>
          </w:p>
          <w:p>
            <w:pPr>
              <w:jc w:val="left"/>
              <w:rPr>
                <w:color w:val="auto"/>
                <w:szCs w:val="21"/>
              </w:rPr>
            </w:pPr>
            <w:r>
              <w:rPr>
                <w:color w:val="auto"/>
                <w:szCs w:val="21"/>
              </w:rPr>
              <w:sym w:font="Wingdings 2" w:char="00A3"/>
            </w:r>
            <w:r>
              <w:rPr>
                <w:color w:val="auto"/>
                <w:szCs w:val="21"/>
              </w:rPr>
              <w:t>不予批准后再次申报项目</w:t>
            </w:r>
          </w:p>
          <w:p>
            <w:pPr>
              <w:jc w:val="left"/>
              <w:rPr>
                <w:color w:val="auto"/>
                <w:szCs w:val="21"/>
              </w:rPr>
            </w:pPr>
            <w:r>
              <w:rPr>
                <w:color w:val="auto"/>
                <w:szCs w:val="21"/>
              </w:rPr>
              <w:sym w:font="Wingdings 2" w:char="00A3"/>
            </w:r>
            <w:r>
              <w:rPr>
                <w:color w:val="auto"/>
                <w:szCs w:val="21"/>
              </w:rPr>
              <w:t xml:space="preserve">超五年重新审核项目     </w:t>
            </w:r>
          </w:p>
          <w:p>
            <w:pPr>
              <w:jc w:val="left"/>
              <w:rPr>
                <w:color w:val="auto"/>
                <w:szCs w:val="21"/>
              </w:rPr>
            </w:pPr>
            <w:r>
              <w:rPr>
                <w:color w:val="auto"/>
                <w:szCs w:val="21"/>
              </w:rPr>
              <w:sym w:font="Wingdings 2" w:char="00A3"/>
            </w: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备案）部门（选填）</w:t>
            </w:r>
          </w:p>
        </w:tc>
        <w:tc>
          <w:tcPr>
            <w:tcW w:w="2400" w:type="dxa"/>
            <w:noWrap w:val="0"/>
            <w:vAlign w:val="center"/>
          </w:tcPr>
          <w:p>
            <w:pPr>
              <w:adjustRightInd w:val="0"/>
              <w:snapToGrid w:val="0"/>
              <w:jc w:val="center"/>
              <w:rPr>
                <w:color w:val="auto"/>
                <w:szCs w:val="21"/>
              </w:rPr>
            </w:pPr>
            <w:r>
              <w:rPr>
                <w:rFonts w:hint="eastAsia"/>
                <w:color w:val="auto"/>
                <w:szCs w:val="21"/>
                <w:lang w:val="en-US" w:eastAsia="zh-CN"/>
              </w:rPr>
              <w:t>宣汉县</w:t>
            </w:r>
            <w:r>
              <w:rPr>
                <w:color w:val="auto"/>
                <w:szCs w:val="21"/>
              </w:rPr>
              <w:t>发改局</w:t>
            </w:r>
          </w:p>
        </w:tc>
        <w:tc>
          <w:tcPr>
            <w:tcW w:w="1964" w:type="dxa"/>
            <w:noWrap w:val="0"/>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备案）文号（选填）</w:t>
            </w:r>
          </w:p>
        </w:tc>
        <w:tc>
          <w:tcPr>
            <w:tcW w:w="2804" w:type="dxa"/>
            <w:noWrap w:val="0"/>
            <w:vAlign w:val="center"/>
          </w:tcPr>
          <w:p>
            <w:pPr>
              <w:adjustRightInd w:val="0"/>
              <w:snapToGrid w:val="0"/>
              <w:jc w:val="center"/>
              <w:rPr>
                <w:rFonts w:hint="eastAsia"/>
                <w:color w:val="auto"/>
                <w:szCs w:val="21"/>
              </w:rPr>
            </w:pPr>
            <w:r>
              <w:rPr>
                <w:rFonts w:hint="eastAsia"/>
                <w:color w:val="auto"/>
                <w:szCs w:val="21"/>
              </w:rPr>
              <w:t>川投资备【2204-511722-04-</w:t>
            </w:r>
          </w:p>
          <w:p>
            <w:pPr>
              <w:adjustRightInd w:val="0"/>
              <w:snapToGrid w:val="0"/>
              <w:jc w:val="center"/>
              <w:rPr>
                <w:color w:val="auto"/>
                <w:szCs w:val="21"/>
              </w:rPr>
            </w:pPr>
            <w:r>
              <w:rPr>
                <w:rFonts w:hint="eastAsia"/>
                <w:color w:val="auto"/>
                <w:szCs w:val="21"/>
              </w:rPr>
              <w:t>01-844127】FGQB-0160号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总投资（万元）</w:t>
            </w:r>
          </w:p>
        </w:tc>
        <w:tc>
          <w:tcPr>
            <w:tcW w:w="2400" w:type="dxa"/>
            <w:noWrap w:val="0"/>
            <w:vAlign w:val="center"/>
          </w:tcPr>
          <w:p>
            <w:pPr>
              <w:adjustRightInd w:val="0"/>
              <w:snapToGrid w:val="0"/>
              <w:jc w:val="center"/>
              <w:rPr>
                <w:color w:val="auto"/>
                <w:szCs w:val="21"/>
                <w:highlight w:val="none"/>
              </w:rPr>
            </w:pPr>
            <w:r>
              <w:rPr>
                <w:color w:val="auto"/>
                <w:szCs w:val="21"/>
                <w:highlight w:val="none"/>
              </w:rPr>
              <w:t>100</w:t>
            </w:r>
            <w:r>
              <w:rPr>
                <w:rFonts w:hint="eastAsia"/>
                <w:color w:val="auto"/>
                <w:szCs w:val="21"/>
                <w:highlight w:val="none"/>
              </w:rPr>
              <w:t>.00</w:t>
            </w:r>
          </w:p>
        </w:tc>
        <w:tc>
          <w:tcPr>
            <w:tcW w:w="1964" w:type="dxa"/>
            <w:noWrap w:val="0"/>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环保投资（万元）</w:t>
            </w:r>
          </w:p>
        </w:tc>
        <w:tc>
          <w:tcPr>
            <w:tcW w:w="2804" w:type="dxa"/>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9.40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环保投资占比（%）</w:t>
            </w:r>
          </w:p>
        </w:tc>
        <w:tc>
          <w:tcPr>
            <w:tcW w:w="2400" w:type="dxa"/>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9.40</w:t>
            </w:r>
          </w:p>
        </w:tc>
        <w:tc>
          <w:tcPr>
            <w:tcW w:w="1964" w:type="dxa"/>
            <w:noWrap w:val="0"/>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施工工期</w:t>
            </w:r>
          </w:p>
        </w:tc>
        <w:tc>
          <w:tcPr>
            <w:tcW w:w="2804" w:type="dxa"/>
            <w:noWrap w:val="0"/>
            <w:vAlign w:val="center"/>
          </w:tcPr>
          <w:p>
            <w:pPr>
              <w:adjustRightInd w:val="0"/>
              <w:snapToGrid w:val="0"/>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noWrap w:val="0"/>
            <w:tcMar>
              <w:top w:w="16" w:type="dxa"/>
              <w:left w:w="16" w:type="dxa"/>
              <w:right w:w="16" w:type="dxa"/>
            </w:tcMar>
            <w:vAlign w:val="center"/>
          </w:tcPr>
          <w:p>
            <w:pPr>
              <w:adjustRightInd w:val="0"/>
              <w:snapToGrid w:val="0"/>
              <w:jc w:val="center"/>
              <w:rPr>
                <w:color w:val="auto"/>
                <w:szCs w:val="21"/>
              </w:rPr>
            </w:pPr>
            <w:r>
              <w:rPr>
                <w:color w:val="auto"/>
                <w:szCs w:val="21"/>
              </w:rPr>
              <w:t>是否开工建设</w:t>
            </w:r>
          </w:p>
        </w:tc>
        <w:tc>
          <w:tcPr>
            <w:tcW w:w="2400" w:type="dxa"/>
            <w:noWrap w:val="0"/>
            <w:vAlign w:val="center"/>
          </w:tcPr>
          <w:p>
            <w:pPr>
              <w:adjustRightInd w:val="0"/>
              <w:snapToGrid w:val="0"/>
              <w:rPr>
                <w:color w:val="auto"/>
                <w:szCs w:val="21"/>
              </w:rPr>
            </w:pPr>
            <w:r>
              <w:rPr>
                <w:color w:val="auto"/>
                <w:szCs w:val="21"/>
              </w:rPr>
              <w:sym w:font="Wingdings 2" w:char="0052"/>
            </w:r>
            <w:r>
              <w:rPr>
                <w:color w:val="auto"/>
                <w:szCs w:val="21"/>
              </w:rPr>
              <w:t>否</w:t>
            </w:r>
          </w:p>
          <w:p>
            <w:pPr>
              <w:adjustRightInd w:val="0"/>
              <w:snapToGrid w:val="0"/>
              <w:rPr>
                <w:color w:val="auto"/>
                <w:szCs w:val="21"/>
              </w:rPr>
            </w:pPr>
            <w:r>
              <w:rPr>
                <w:color w:val="auto"/>
                <w:szCs w:val="21"/>
              </w:rPr>
              <w:sym w:font="Wingdings 2" w:char="00A3"/>
            </w:r>
            <w:r>
              <w:rPr>
                <w:color w:val="auto"/>
                <w:szCs w:val="21"/>
              </w:rPr>
              <w:t>是：</w:t>
            </w:r>
            <w:r>
              <w:rPr>
                <w:color w:val="auto"/>
                <w:szCs w:val="21"/>
                <w:u w:val="single"/>
              </w:rPr>
              <w:t xml:space="preserve">             </w:t>
            </w:r>
          </w:p>
        </w:tc>
        <w:tc>
          <w:tcPr>
            <w:tcW w:w="1964" w:type="dxa"/>
            <w:noWrap w:val="0"/>
            <w:tcMar>
              <w:top w:w="16" w:type="dxa"/>
              <w:left w:w="16" w:type="dxa"/>
              <w:right w:w="16" w:type="dxa"/>
            </w:tcMar>
            <w:vAlign w:val="center"/>
          </w:tcPr>
          <w:p>
            <w:pPr>
              <w:adjustRightInd w:val="0"/>
              <w:snapToGrid w:val="0"/>
              <w:jc w:val="center"/>
              <w:rPr>
                <w:color w:val="auto"/>
                <w:spacing w:val="-6"/>
                <w:szCs w:val="21"/>
              </w:rPr>
            </w:pPr>
            <w:r>
              <w:rPr>
                <w:color w:val="auto"/>
                <w:spacing w:val="-6"/>
                <w:szCs w:val="21"/>
              </w:rPr>
              <w:t>用地（用海）</w:t>
            </w:r>
          </w:p>
          <w:p>
            <w:pPr>
              <w:adjustRightInd w:val="0"/>
              <w:snapToGrid w:val="0"/>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804" w:type="dxa"/>
            <w:noWrap w:val="0"/>
            <w:vAlign w:val="center"/>
          </w:tcPr>
          <w:p>
            <w:pPr>
              <w:adjustRightInd w:val="0"/>
              <w:snapToGrid w:val="0"/>
              <w:jc w:val="center"/>
              <w:rPr>
                <w:rFonts w:hint="default" w:eastAsia="宋体"/>
                <w:color w:val="FF0000"/>
                <w:szCs w:val="21"/>
                <w:lang w:val="en-US" w:eastAsia="zh-CN"/>
              </w:rPr>
            </w:pPr>
            <w:r>
              <w:rPr>
                <w:rFonts w:hint="eastAsia"/>
                <w:color w:val="auto"/>
                <w:szCs w:val="21"/>
                <w:lang w:val="en-US" w:eastAsia="zh-CN"/>
              </w:rPr>
              <w:t>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02" w:type="dxa"/>
            <w:noWrap w:val="0"/>
            <w:vAlign w:val="center"/>
          </w:tcPr>
          <w:p>
            <w:pPr>
              <w:autoSpaceDE w:val="0"/>
              <w:autoSpaceDN w:val="0"/>
              <w:adjustRightInd w:val="0"/>
              <w:snapToGrid w:val="0"/>
              <w:jc w:val="center"/>
              <w:rPr>
                <w:color w:val="auto"/>
                <w:kern w:val="0"/>
                <w:szCs w:val="21"/>
              </w:rPr>
            </w:pPr>
            <w:r>
              <w:rPr>
                <w:color w:val="auto"/>
                <w:kern w:val="0"/>
                <w:szCs w:val="21"/>
              </w:rPr>
              <w:t>专项评价</w:t>
            </w:r>
          </w:p>
          <w:p>
            <w:pPr>
              <w:autoSpaceDE w:val="0"/>
              <w:autoSpaceDN w:val="0"/>
              <w:adjustRightInd w:val="0"/>
              <w:snapToGrid w:val="0"/>
              <w:jc w:val="center"/>
              <w:rPr>
                <w:color w:val="auto"/>
                <w:kern w:val="0"/>
                <w:szCs w:val="21"/>
              </w:rPr>
            </w:pPr>
            <w:r>
              <w:rPr>
                <w:color w:val="auto"/>
                <w:kern w:val="0"/>
                <w:szCs w:val="21"/>
              </w:rPr>
              <w:t>设置情况</w:t>
            </w:r>
          </w:p>
        </w:tc>
        <w:tc>
          <w:tcPr>
            <w:tcW w:w="7168" w:type="dxa"/>
            <w:gridSpan w:val="3"/>
            <w:noWrap w:val="0"/>
            <w:vAlign w:val="center"/>
          </w:tcPr>
          <w:p>
            <w:pPr>
              <w:autoSpaceDE w:val="0"/>
              <w:autoSpaceDN w:val="0"/>
              <w:adjustRightInd w:val="0"/>
              <w:snapToGrid w:val="0"/>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02" w:type="dxa"/>
            <w:noWrap w:val="0"/>
            <w:vAlign w:val="center"/>
          </w:tcPr>
          <w:p>
            <w:pPr>
              <w:autoSpaceDE w:val="0"/>
              <w:autoSpaceDN w:val="0"/>
              <w:adjustRightInd w:val="0"/>
              <w:snapToGrid w:val="0"/>
              <w:jc w:val="center"/>
              <w:rPr>
                <w:color w:val="auto"/>
                <w:kern w:val="0"/>
                <w:szCs w:val="21"/>
              </w:rPr>
            </w:pPr>
            <w:r>
              <w:rPr>
                <w:color w:val="auto"/>
                <w:szCs w:val="21"/>
              </w:rPr>
              <w:t>规划情况</w:t>
            </w:r>
          </w:p>
        </w:tc>
        <w:tc>
          <w:tcPr>
            <w:tcW w:w="7168" w:type="dxa"/>
            <w:gridSpan w:val="3"/>
            <w:noWrap w:val="0"/>
            <w:vAlign w:val="center"/>
          </w:tcPr>
          <w:p>
            <w:pPr>
              <w:autoSpaceDE w:val="0"/>
              <w:autoSpaceDN w:val="0"/>
              <w:adjustRightInd w:val="0"/>
              <w:snapToGrid w:val="0"/>
              <w:spacing w:line="400" w:lineRule="exact"/>
              <w:jc w:val="left"/>
              <w:rPr>
                <w:color w:val="auto"/>
                <w:kern w:val="0"/>
                <w:szCs w:val="21"/>
                <w:highlight w:val="none"/>
              </w:rPr>
            </w:pPr>
            <w:r>
              <w:rPr>
                <w:color w:val="auto"/>
                <w:kern w:val="0"/>
                <w:szCs w:val="21"/>
                <w:highlight w:val="none"/>
              </w:rPr>
              <w:t>规划名称：</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w:t>
            </w:r>
          </w:p>
          <w:p>
            <w:pPr>
              <w:autoSpaceDE w:val="0"/>
              <w:autoSpaceDN w:val="0"/>
              <w:adjustRightInd w:val="0"/>
              <w:snapToGrid w:val="0"/>
              <w:spacing w:line="400" w:lineRule="exact"/>
              <w:jc w:val="left"/>
              <w:rPr>
                <w:color w:val="auto"/>
                <w:kern w:val="0"/>
                <w:szCs w:val="21"/>
              </w:rPr>
            </w:pPr>
            <w:r>
              <w:rPr>
                <w:color w:val="auto"/>
                <w:kern w:val="0"/>
                <w:szCs w:val="21"/>
                <w:highlight w:val="none"/>
              </w:rPr>
              <w:t>审批机关：</w:t>
            </w:r>
            <w:r>
              <w:rPr>
                <w:rFonts w:hint="eastAsia"/>
                <w:color w:val="auto"/>
                <w:kern w:val="0"/>
                <w:szCs w:val="21"/>
                <w:highlight w:val="none"/>
                <w:lang w:val="en-US" w:eastAsia="zh-CN"/>
              </w:rPr>
              <w:t>四川省发展和改革委员会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702" w:type="dxa"/>
            <w:noWrap w:val="0"/>
            <w:vAlign w:val="center"/>
          </w:tcPr>
          <w:p>
            <w:pPr>
              <w:adjustRightInd w:val="0"/>
              <w:snapToGrid w:val="0"/>
              <w:jc w:val="center"/>
              <w:rPr>
                <w:color w:val="auto"/>
                <w:szCs w:val="21"/>
              </w:rPr>
            </w:pPr>
            <w:r>
              <w:rPr>
                <w:color w:val="auto"/>
                <w:szCs w:val="21"/>
              </w:rPr>
              <w:t>规划环境影响</w:t>
            </w:r>
          </w:p>
          <w:p>
            <w:pPr>
              <w:adjustRightInd w:val="0"/>
              <w:snapToGrid w:val="0"/>
              <w:jc w:val="center"/>
              <w:rPr>
                <w:color w:val="auto"/>
                <w:kern w:val="0"/>
                <w:szCs w:val="21"/>
              </w:rPr>
            </w:pPr>
            <w:r>
              <w:rPr>
                <w:color w:val="auto"/>
                <w:szCs w:val="21"/>
              </w:rPr>
              <w:t>评价情况</w:t>
            </w:r>
          </w:p>
        </w:tc>
        <w:tc>
          <w:tcPr>
            <w:tcW w:w="7168" w:type="dxa"/>
            <w:gridSpan w:val="3"/>
            <w:noWrap w:val="0"/>
            <w:vAlign w:val="center"/>
          </w:tcPr>
          <w:p>
            <w:pPr>
              <w:autoSpaceDE w:val="0"/>
              <w:autoSpaceDN w:val="0"/>
              <w:adjustRightInd w:val="0"/>
              <w:snapToGrid w:val="0"/>
              <w:spacing w:line="400" w:lineRule="exact"/>
              <w:jc w:val="left"/>
              <w:rPr>
                <w:color w:val="auto"/>
                <w:kern w:val="0"/>
                <w:szCs w:val="21"/>
                <w:highlight w:val="none"/>
              </w:rPr>
            </w:pPr>
            <w:r>
              <w:rPr>
                <w:color w:val="auto"/>
                <w:kern w:val="0"/>
                <w:szCs w:val="21"/>
                <w:highlight w:val="none"/>
              </w:rPr>
              <w:t>规划环评文件名称：</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）环境影响报告书</w:t>
            </w:r>
            <w:r>
              <w:rPr>
                <w:color w:val="auto"/>
                <w:kern w:val="0"/>
                <w:szCs w:val="21"/>
                <w:highlight w:val="none"/>
              </w:rPr>
              <w:t>》</w:t>
            </w:r>
          </w:p>
          <w:p>
            <w:pPr>
              <w:autoSpaceDE w:val="0"/>
              <w:autoSpaceDN w:val="0"/>
              <w:adjustRightInd w:val="0"/>
              <w:snapToGrid w:val="0"/>
              <w:spacing w:line="400" w:lineRule="exact"/>
              <w:jc w:val="left"/>
              <w:rPr>
                <w:rFonts w:hint="eastAsia" w:eastAsia="宋体"/>
                <w:color w:val="auto"/>
                <w:kern w:val="0"/>
                <w:szCs w:val="21"/>
                <w:highlight w:val="none"/>
                <w:lang w:eastAsia="zh-CN"/>
              </w:rPr>
            </w:pPr>
            <w:r>
              <w:rPr>
                <w:color w:val="auto"/>
                <w:kern w:val="0"/>
                <w:szCs w:val="21"/>
                <w:highlight w:val="none"/>
              </w:rPr>
              <w:t>审批机关：</w:t>
            </w:r>
            <w:r>
              <w:rPr>
                <w:rFonts w:hint="eastAsia"/>
                <w:color w:val="auto"/>
                <w:kern w:val="0"/>
                <w:szCs w:val="21"/>
                <w:highlight w:val="none"/>
                <w:lang w:val="en-US" w:eastAsia="zh-CN"/>
              </w:rPr>
              <w:t>四川省</w:t>
            </w:r>
            <w:r>
              <w:rPr>
                <w:color w:val="auto"/>
                <w:kern w:val="0"/>
                <w:szCs w:val="21"/>
                <w:highlight w:val="none"/>
              </w:rPr>
              <w:t>生态环境</w:t>
            </w:r>
            <w:r>
              <w:rPr>
                <w:rFonts w:hint="eastAsia"/>
                <w:color w:val="auto"/>
                <w:kern w:val="0"/>
                <w:szCs w:val="21"/>
                <w:highlight w:val="none"/>
                <w:lang w:val="en-US" w:eastAsia="zh-CN"/>
              </w:rPr>
              <w:t>厅</w:t>
            </w:r>
          </w:p>
          <w:p>
            <w:pPr>
              <w:autoSpaceDE w:val="0"/>
              <w:autoSpaceDN w:val="0"/>
              <w:adjustRightInd w:val="0"/>
              <w:snapToGrid w:val="0"/>
              <w:spacing w:line="400" w:lineRule="exact"/>
              <w:jc w:val="left"/>
              <w:rPr>
                <w:color w:val="auto"/>
                <w:kern w:val="0"/>
                <w:szCs w:val="21"/>
              </w:rPr>
            </w:pPr>
            <w:r>
              <w:rPr>
                <w:color w:val="auto"/>
                <w:kern w:val="0"/>
                <w:szCs w:val="21"/>
                <w:highlight w:val="none"/>
              </w:rPr>
              <w:t>文件名称及文号：</w:t>
            </w:r>
            <w:r>
              <w:rPr>
                <w:rFonts w:hint="eastAsia"/>
                <w:color w:val="auto"/>
                <w:kern w:val="0"/>
                <w:szCs w:val="21"/>
                <w:highlight w:val="none"/>
              </w:rPr>
              <w:t>关于印发《四川达州普光经济开发区总体规划</w:t>
            </w:r>
            <w:r>
              <w:rPr>
                <w:rFonts w:hint="eastAsia"/>
                <w:color w:val="auto"/>
                <w:kern w:val="0"/>
                <w:szCs w:val="21"/>
                <w:highlight w:val="none"/>
                <w:lang w:eastAsia="zh-CN"/>
              </w:rPr>
              <w:t>（</w:t>
            </w:r>
            <w:r>
              <w:rPr>
                <w:rFonts w:hint="eastAsia"/>
                <w:color w:val="auto"/>
                <w:kern w:val="0"/>
                <w:szCs w:val="21"/>
                <w:highlight w:val="none"/>
              </w:rPr>
              <w:t>2019——2035</w:t>
            </w:r>
            <w:r>
              <w:rPr>
                <w:rFonts w:hint="eastAsia"/>
                <w:color w:val="auto"/>
                <w:kern w:val="0"/>
                <w:szCs w:val="21"/>
                <w:highlight w:val="none"/>
                <w:lang w:eastAsia="zh-CN"/>
              </w:rPr>
              <w:t>）</w:t>
            </w:r>
            <w:r>
              <w:rPr>
                <w:rFonts w:hint="eastAsia"/>
                <w:color w:val="auto"/>
                <w:kern w:val="0"/>
                <w:szCs w:val="21"/>
                <w:highlight w:val="none"/>
              </w:rPr>
              <w:t>环境影响报告书》审查意见的函</w:t>
            </w:r>
            <w:r>
              <w:rPr>
                <w:color w:val="auto"/>
                <w:kern w:val="0"/>
                <w:szCs w:val="21"/>
                <w:highlight w:val="none"/>
              </w:rPr>
              <w:t>（</w:t>
            </w:r>
            <w:r>
              <w:rPr>
                <w:rFonts w:hint="eastAsia"/>
                <w:color w:val="auto"/>
                <w:kern w:val="0"/>
                <w:szCs w:val="21"/>
                <w:highlight w:val="none"/>
              </w:rPr>
              <w:t>川环建函〔2021〕9号</w:t>
            </w:r>
            <w:r>
              <w:rPr>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702" w:type="dxa"/>
            <w:noWrap w:val="0"/>
            <w:vAlign w:val="center"/>
          </w:tcPr>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r>
              <w:rPr>
                <w:color w:val="auto"/>
                <w:kern w:val="0"/>
                <w:szCs w:val="21"/>
              </w:rPr>
              <w:t>规划及规划环境</w:t>
            </w:r>
          </w:p>
          <w:p>
            <w:pPr>
              <w:autoSpaceDE w:val="0"/>
              <w:autoSpaceDN w:val="0"/>
              <w:adjustRightInd w:val="0"/>
              <w:snapToGrid w:val="0"/>
              <w:jc w:val="center"/>
              <w:rPr>
                <w:color w:val="auto"/>
                <w:kern w:val="0"/>
                <w:szCs w:val="21"/>
              </w:rPr>
            </w:pPr>
            <w:r>
              <w:rPr>
                <w:color w:val="auto"/>
                <w:kern w:val="0"/>
                <w:szCs w:val="21"/>
              </w:rPr>
              <w:t>影响评价符合性分析</w:t>
            </w: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b/>
                <w:bCs/>
                <w:color w:val="auto"/>
                <w:kern w:val="0"/>
                <w:szCs w:val="21"/>
              </w:rPr>
            </w:pPr>
            <w:r>
              <w:rPr>
                <w:b/>
                <w:bCs/>
                <w:color w:val="auto"/>
                <w:kern w:val="0"/>
                <w:szCs w:val="21"/>
              </w:rPr>
              <w:t>规划及规划环境</w:t>
            </w:r>
          </w:p>
          <w:p>
            <w:pPr>
              <w:autoSpaceDE w:val="0"/>
              <w:autoSpaceDN w:val="0"/>
              <w:adjustRightInd w:val="0"/>
              <w:snapToGrid w:val="0"/>
              <w:jc w:val="center"/>
              <w:rPr>
                <w:color w:val="auto"/>
                <w:kern w:val="0"/>
                <w:szCs w:val="21"/>
              </w:rPr>
            </w:pPr>
            <w:r>
              <w:rPr>
                <w:b/>
                <w:bCs/>
                <w:color w:val="auto"/>
                <w:kern w:val="0"/>
                <w:szCs w:val="21"/>
              </w:rPr>
              <w:t>影响评价符合性分析</w:t>
            </w: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r>
              <w:rPr>
                <w:b/>
                <w:bCs/>
                <w:color w:val="auto"/>
                <w:kern w:val="0"/>
                <w:szCs w:val="21"/>
              </w:rPr>
              <w:t>规划及规划环境</w:t>
            </w:r>
          </w:p>
          <w:p>
            <w:pPr>
              <w:autoSpaceDE w:val="0"/>
              <w:autoSpaceDN w:val="0"/>
              <w:adjustRightInd w:val="0"/>
              <w:snapToGrid w:val="0"/>
              <w:jc w:val="center"/>
              <w:rPr>
                <w:color w:val="auto"/>
                <w:kern w:val="0"/>
                <w:szCs w:val="21"/>
              </w:rPr>
            </w:pPr>
            <w:r>
              <w:rPr>
                <w:b/>
                <w:bCs/>
                <w:color w:val="auto"/>
                <w:kern w:val="0"/>
                <w:szCs w:val="21"/>
              </w:rPr>
              <w:t>影响评价符合性分析</w:t>
            </w: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r>
              <w:rPr>
                <w:b/>
                <w:bCs/>
                <w:color w:val="auto"/>
                <w:kern w:val="0"/>
                <w:szCs w:val="21"/>
              </w:rPr>
              <w:t>规划及规划环境</w:t>
            </w:r>
          </w:p>
          <w:p>
            <w:pPr>
              <w:autoSpaceDE w:val="0"/>
              <w:autoSpaceDN w:val="0"/>
              <w:adjustRightInd w:val="0"/>
              <w:snapToGrid w:val="0"/>
              <w:jc w:val="center"/>
              <w:rPr>
                <w:color w:val="FF0000"/>
                <w:kern w:val="0"/>
                <w:szCs w:val="21"/>
              </w:rPr>
            </w:pPr>
            <w:r>
              <w:rPr>
                <w:b/>
                <w:bCs/>
                <w:color w:val="auto"/>
                <w:kern w:val="0"/>
                <w:szCs w:val="21"/>
              </w:rPr>
              <w:t>影响评价符合性分析</w:t>
            </w:r>
          </w:p>
        </w:tc>
        <w:tc>
          <w:tcPr>
            <w:tcW w:w="7168" w:type="dxa"/>
            <w:gridSpan w:val="3"/>
            <w:noWrap w:val="0"/>
            <w:vAlign w:val="center"/>
          </w:tcPr>
          <w:p>
            <w:pPr>
              <w:adjustRightInd w:val="0"/>
              <w:snapToGrid w:val="0"/>
              <w:spacing w:line="400" w:lineRule="exact"/>
              <w:ind w:left="-53" w:leftChars="-25" w:right="-53" w:rightChars="-25"/>
              <w:jc w:val="left"/>
              <w:rPr>
                <w:rFonts w:eastAsia="黑体"/>
                <w:bCs/>
                <w:color w:val="auto"/>
                <w:szCs w:val="21"/>
                <w:highlight w:val="none"/>
              </w:rPr>
            </w:pPr>
            <w:r>
              <w:rPr>
                <w:rFonts w:eastAsia="黑体"/>
                <w:bCs/>
                <w:color w:val="auto"/>
                <w:szCs w:val="21"/>
                <w:highlight w:val="none"/>
              </w:rPr>
              <w:t>1、与《</w:t>
            </w:r>
            <w:r>
              <w:rPr>
                <w:rFonts w:hint="eastAsia" w:eastAsia="黑体"/>
                <w:bCs/>
                <w:color w:val="auto"/>
                <w:szCs w:val="21"/>
                <w:highlight w:val="none"/>
              </w:rPr>
              <w:t>四川达州普光经济开发区总体规划（</w:t>
            </w:r>
            <w:r>
              <w:rPr>
                <w:rFonts w:eastAsia="黑体"/>
                <w:bCs/>
                <w:color w:val="auto"/>
                <w:szCs w:val="21"/>
                <w:highlight w:val="none"/>
              </w:rPr>
              <w:t>2019-2035</w:t>
            </w:r>
            <w:r>
              <w:rPr>
                <w:rFonts w:hint="eastAsia" w:eastAsia="黑体"/>
                <w:bCs/>
                <w:color w:val="auto"/>
                <w:szCs w:val="21"/>
                <w:highlight w:val="none"/>
              </w:rPr>
              <w:t>）</w:t>
            </w:r>
            <w:r>
              <w:rPr>
                <w:rFonts w:eastAsia="黑体"/>
                <w:bCs/>
                <w:color w:val="auto"/>
                <w:szCs w:val="21"/>
                <w:highlight w:val="none"/>
              </w:rPr>
              <w:t>》符合性分析</w:t>
            </w:r>
          </w:p>
          <w:p>
            <w:pPr>
              <w:autoSpaceDE w:val="0"/>
              <w:autoSpaceDN w:val="0"/>
              <w:adjustRightInd w:val="0"/>
              <w:snapToGrid w:val="0"/>
              <w:spacing w:line="400" w:lineRule="exact"/>
              <w:ind w:firstLine="420" w:firstLineChars="200"/>
              <w:jc w:val="left"/>
              <w:rPr>
                <w:rFonts w:hint="eastAsia"/>
                <w:color w:val="auto"/>
                <w:kern w:val="0"/>
                <w:szCs w:val="21"/>
                <w:highlight w:val="none"/>
              </w:rPr>
            </w:pPr>
            <w:r>
              <w:rPr>
                <w:color w:val="auto"/>
                <w:kern w:val="0"/>
                <w:szCs w:val="21"/>
                <w:highlight w:val="none"/>
              </w:rPr>
              <w:t>根据《</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w:t>
            </w:r>
            <w:r>
              <w:rPr>
                <w:color w:val="auto"/>
                <w:kern w:val="0"/>
                <w:szCs w:val="21"/>
                <w:highlight w:val="none"/>
              </w:rPr>
              <w:t>，</w:t>
            </w:r>
            <w:r>
              <w:rPr>
                <w:rFonts w:hint="eastAsia"/>
                <w:color w:val="auto"/>
                <w:kern w:val="0"/>
                <w:szCs w:val="21"/>
                <w:highlight w:val="none"/>
              </w:rPr>
              <w:t>四川达州普光经济开发区</w:t>
            </w:r>
            <w:r>
              <w:rPr>
                <w:rFonts w:hint="eastAsia"/>
                <w:color w:val="auto"/>
                <w:kern w:val="0"/>
                <w:szCs w:val="21"/>
                <w:highlight w:val="none"/>
                <w:lang w:eastAsia="zh-CN"/>
              </w:rPr>
              <w:t>（</w:t>
            </w:r>
            <w:r>
              <w:rPr>
                <w:rFonts w:hint="eastAsia"/>
                <w:color w:val="auto"/>
                <w:kern w:val="0"/>
                <w:szCs w:val="21"/>
                <w:highlight w:val="none"/>
                <w:lang w:val="en-US" w:eastAsia="zh-CN"/>
              </w:rPr>
              <w:t>以下简称“普光经开区”</w:t>
            </w:r>
            <w:r>
              <w:rPr>
                <w:rFonts w:hint="eastAsia"/>
                <w:color w:val="auto"/>
                <w:kern w:val="0"/>
                <w:szCs w:val="21"/>
                <w:highlight w:val="none"/>
                <w:lang w:eastAsia="zh-CN"/>
              </w:rPr>
              <w:t>）</w:t>
            </w:r>
            <w:r>
              <w:rPr>
                <w:rFonts w:hint="eastAsia"/>
                <w:color w:val="auto"/>
                <w:kern w:val="0"/>
                <w:szCs w:val="21"/>
                <w:highlight w:val="none"/>
              </w:rPr>
              <w:t>规划范围总计29.95km</w:t>
            </w:r>
            <w:r>
              <w:rPr>
                <w:rFonts w:hint="eastAsia"/>
                <w:color w:val="auto"/>
                <w:kern w:val="0"/>
                <w:szCs w:val="21"/>
                <w:highlight w:val="none"/>
                <w:vertAlign w:val="superscript"/>
              </w:rPr>
              <w:t>2</w:t>
            </w:r>
            <w:r>
              <w:rPr>
                <w:rFonts w:hint="eastAsia"/>
                <w:color w:val="auto"/>
                <w:kern w:val="0"/>
                <w:szCs w:val="21"/>
                <w:highlight w:val="none"/>
              </w:rPr>
              <w:t>，分为东区、西区两个片区，其中西区25.93km</w:t>
            </w:r>
            <w:r>
              <w:rPr>
                <w:rFonts w:hint="eastAsia"/>
                <w:color w:val="auto"/>
                <w:kern w:val="0"/>
                <w:szCs w:val="21"/>
                <w:highlight w:val="none"/>
                <w:vertAlign w:val="superscript"/>
              </w:rPr>
              <w:t>2</w:t>
            </w:r>
            <w:r>
              <w:rPr>
                <w:rFonts w:hint="eastAsia"/>
                <w:color w:val="auto"/>
                <w:kern w:val="0"/>
                <w:szCs w:val="21"/>
                <w:highlight w:val="none"/>
                <w:lang w:eastAsia="zh-CN"/>
              </w:rPr>
              <w:t>、</w:t>
            </w:r>
            <w:r>
              <w:rPr>
                <w:rFonts w:hint="eastAsia"/>
                <w:color w:val="auto"/>
                <w:kern w:val="0"/>
                <w:szCs w:val="21"/>
                <w:highlight w:val="none"/>
              </w:rPr>
              <w:t>东区4.02km</w:t>
            </w:r>
            <w:r>
              <w:rPr>
                <w:rFonts w:hint="eastAsia"/>
                <w:color w:val="auto"/>
                <w:kern w:val="0"/>
                <w:szCs w:val="21"/>
                <w:highlight w:val="none"/>
                <w:vertAlign w:val="superscript"/>
              </w:rPr>
              <w:t>2</w:t>
            </w:r>
            <w:r>
              <w:rPr>
                <w:rFonts w:hint="eastAsia"/>
                <w:color w:val="auto"/>
                <w:kern w:val="0"/>
                <w:szCs w:val="21"/>
                <w:highlight w:val="none"/>
              </w:rPr>
              <w:t>。西区包括普光功能区、柳池功能区、方斗功能区，东区包括南坝功能区、独树梁功能区、五宝功能区。</w:t>
            </w:r>
          </w:p>
          <w:p>
            <w:pPr>
              <w:autoSpaceDE w:val="0"/>
              <w:autoSpaceDN w:val="0"/>
              <w:adjustRightInd w:val="0"/>
              <w:snapToGrid w:val="0"/>
              <w:spacing w:line="400" w:lineRule="exact"/>
              <w:ind w:firstLine="422" w:firstLineChars="200"/>
              <w:jc w:val="left"/>
              <w:rPr>
                <w:rFonts w:hint="eastAsia"/>
                <w:color w:val="auto"/>
                <w:kern w:val="0"/>
                <w:szCs w:val="21"/>
                <w:highlight w:val="none"/>
              </w:rPr>
            </w:pPr>
            <w:r>
              <w:rPr>
                <w:rFonts w:hint="eastAsia"/>
                <w:b/>
                <w:bCs/>
                <w:color w:val="auto"/>
                <w:kern w:val="0"/>
                <w:szCs w:val="21"/>
                <w:highlight w:val="none"/>
                <w:lang w:val="en-US" w:eastAsia="zh-CN"/>
              </w:rPr>
              <w:t>发展定位与目标</w:t>
            </w:r>
            <w:r>
              <w:rPr>
                <w:rFonts w:hint="eastAsia"/>
                <w:color w:val="auto"/>
                <w:kern w:val="0"/>
                <w:szCs w:val="21"/>
                <w:highlight w:val="none"/>
                <w:lang w:val="en-US" w:eastAsia="zh-CN"/>
              </w:rPr>
              <w:t>：</w:t>
            </w:r>
            <w:r>
              <w:rPr>
                <w:rFonts w:hint="eastAsia"/>
                <w:color w:val="auto"/>
                <w:kern w:val="0"/>
                <w:szCs w:val="21"/>
                <w:highlight w:val="none"/>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pPr>
              <w:autoSpaceDE w:val="0"/>
              <w:autoSpaceDN w:val="0"/>
              <w:adjustRightInd w:val="0"/>
              <w:snapToGrid w:val="0"/>
              <w:spacing w:line="400" w:lineRule="exact"/>
              <w:ind w:firstLine="422" w:firstLineChars="200"/>
              <w:jc w:val="left"/>
              <w:rPr>
                <w:color w:val="auto"/>
                <w:kern w:val="0"/>
                <w:szCs w:val="21"/>
                <w:highlight w:val="none"/>
              </w:rPr>
            </w:pPr>
            <w:r>
              <w:rPr>
                <w:rFonts w:hint="eastAsia"/>
                <w:b/>
                <w:bCs/>
                <w:color w:val="auto"/>
                <w:kern w:val="0"/>
                <w:szCs w:val="21"/>
                <w:highlight w:val="none"/>
              </w:rPr>
              <w:t>产业布局</w:t>
            </w:r>
            <w:r>
              <w:rPr>
                <w:rFonts w:hint="eastAsia"/>
                <w:color w:val="auto"/>
                <w:kern w:val="0"/>
                <w:szCs w:val="21"/>
                <w:highlight w:val="none"/>
                <w:lang w:eastAsia="zh-CN"/>
              </w:rPr>
              <w:t>：</w:t>
            </w:r>
            <w:r>
              <w:rPr>
                <w:rFonts w:hint="eastAsia"/>
                <w:color w:val="auto"/>
                <w:kern w:val="0"/>
                <w:szCs w:val="21"/>
                <w:highlight w:val="none"/>
                <w:lang w:val="en-US" w:eastAsia="zh-CN"/>
              </w:rPr>
              <w:t>①</w:t>
            </w:r>
            <w:r>
              <w:rPr>
                <w:color w:val="auto"/>
                <w:kern w:val="0"/>
                <w:szCs w:val="21"/>
                <w:highlight w:val="none"/>
              </w:rPr>
              <w:t>西区产业布局</w:t>
            </w:r>
            <w:bookmarkStart w:id="2" w:name="_Hlk16085680"/>
            <w:r>
              <w:rPr>
                <w:rFonts w:hint="eastAsia"/>
                <w:color w:val="auto"/>
                <w:kern w:val="0"/>
                <w:szCs w:val="21"/>
                <w:highlight w:val="none"/>
                <w:lang w:eastAsia="zh-CN"/>
              </w:rPr>
              <w:t>：</w:t>
            </w:r>
            <w:bookmarkEnd w:id="2"/>
            <w:r>
              <w:rPr>
                <w:color w:val="auto"/>
                <w:kern w:val="0"/>
                <w:szCs w:val="21"/>
                <w:highlight w:val="none"/>
              </w:rPr>
              <w:t>西区</w:t>
            </w:r>
            <w:r>
              <w:rPr>
                <w:rFonts w:hint="eastAsia"/>
                <w:color w:val="auto"/>
                <w:kern w:val="0"/>
                <w:szCs w:val="21"/>
                <w:highlight w:val="none"/>
              </w:rPr>
              <w:t>规划形成</w:t>
            </w:r>
            <w:r>
              <w:rPr>
                <w:color w:val="auto"/>
                <w:kern w:val="0"/>
                <w:szCs w:val="21"/>
                <w:highlight w:val="none"/>
              </w:rPr>
              <w:t>天然气开采及其综合利用组团、锂钾开采及其综合利用组团、农副产品加工组团、机械建材制造组团、冶金制造组团。</w:t>
            </w:r>
            <w:r>
              <w:rPr>
                <w:rFonts w:hint="eastAsia"/>
                <w:color w:val="auto"/>
                <w:kern w:val="0"/>
                <w:szCs w:val="21"/>
                <w:highlight w:val="none"/>
                <w:lang w:val="en-US" w:eastAsia="zh-CN"/>
              </w:rPr>
              <w:t>②</w:t>
            </w:r>
            <w:r>
              <w:rPr>
                <w:rFonts w:hint="eastAsia"/>
                <w:color w:val="auto"/>
                <w:kern w:val="0"/>
                <w:szCs w:val="21"/>
                <w:highlight w:val="none"/>
              </w:rPr>
              <w:t>东</w:t>
            </w:r>
            <w:r>
              <w:rPr>
                <w:color w:val="auto"/>
                <w:kern w:val="0"/>
                <w:szCs w:val="21"/>
                <w:highlight w:val="none"/>
              </w:rPr>
              <w:t>区产业布局</w:t>
            </w:r>
            <w:r>
              <w:rPr>
                <w:rFonts w:hint="eastAsia"/>
                <w:color w:val="auto"/>
                <w:kern w:val="0"/>
                <w:szCs w:val="21"/>
                <w:highlight w:val="none"/>
              </w:rPr>
              <w:t>结构</w:t>
            </w:r>
            <w:r>
              <w:rPr>
                <w:rFonts w:hint="eastAsia"/>
                <w:color w:val="auto"/>
                <w:kern w:val="0"/>
                <w:szCs w:val="21"/>
                <w:highlight w:val="none"/>
                <w:lang w:eastAsia="zh-CN"/>
              </w:rPr>
              <w:t>：</w:t>
            </w:r>
            <w:r>
              <w:rPr>
                <w:color w:val="auto"/>
                <w:kern w:val="0"/>
                <w:szCs w:val="21"/>
                <w:highlight w:val="none"/>
              </w:rPr>
              <w:t>东区</w:t>
            </w:r>
            <w:r>
              <w:rPr>
                <w:rFonts w:hint="eastAsia"/>
                <w:color w:val="auto"/>
                <w:kern w:val="0"/>
                <w:szCs w:val="21"/>
                <w:highlight w:val="none"/>
              </w:rPr>
              <w:t>规划</w:t>
            </w:r>
            <w:r>
              <w:rPr>
                <w:color w:val="auto"/>
                <w:kern w:val="0"/>
                <w:szCs w:val="21"/>
                <w:highlight w:val="none"/>
              </w:rPr>
              <w:t>形成三大功能组团，包括天然气净化组团</w:t>
            </w:r>
            <w:r>
              <w:rPr>
                <w:rFonts w:hint="eastAsia"/>
                <w:color w:val="auto"/>
                <w:kern w:val="0"/>
                <w:szCs w:val="21"/>
                <w:highlight w:val="none"/>
              </w:rPr>
              <w:t>，独树梁、</w:t>
            </w:r>
            <w:r>
              <w:rPr>
                <w:color w:val="auto"/>
                <w:kern w:val="0"/>
                <w:szCs w:val="21"/>
                <w:highlight w:val="none"/>
              </w:rPr>
              <w:t>五宝</w:t>
            </w:r>
            <w:r>
              <w:rPr>
                <w:rFonts w:hint="eastAsia"/>
                <w:color w:val="auto"/>
                <w:kern w:val="0"/>
                <w:szCs w:val="21"/>
                <w:highlight w:val="none"/>
              </w:rPr>
              <w:t>功能区</w:t>
            </w:r>
            <w:r>
              <w:rPr>
                <w:color w:val="auto"/>
                <w:kern w:val="0"/>
                <w:szCs w:val="21"/>
                <w:highlight w:val="none"/>
              </w:rPr>
              <w:t>的农副产品加工组团。</w:t>
            </w:r>
          </w:p>
          <w:p>
            <w:pPr>
              <w:autoSpaceDE w:val="0"/>
              <w:autoSpaceDN w:val="0"/>
              <w:adjustRightInd w:val="0"/>
              <w:snapToGrid w:val="0"/>
              <w:spacing w:line="400" w:lineRule="exact"/>
              <w:ind w:firstLine="420" w:firstLineChars="200"/>
              <w:jc w:val="left"/>
              <w:rPr>
                <w:color w:val="auto"/>
                <w:kern w:val="0"/>
                <w:szCs w:val="21"/>
                <w:highlight w:val="none"/>
              </w:rPr>
            </w:pPr>
            <w:r>
              <w:rPr>
                <w:color w:val="auto"/>
                <w:kern w:val="0"/>
                <w:szCs w:val="21"/>
                <w:highlight w:val="none"/>
              </w:rPr>
              <w:t>其中</w:t>
            </w:r>
            <w:r>
              <w:rPr>
                <w:rFonts w:hint="eastAsia"/>
                <w:color w:val="auto"/>
                <w:kern w:val="0"/>
                <w:szCs w:val="21"/>
                <w:highlight w:val="none"/>
              </w:rPr>
              <w:t>柳池功能区</w:t>
            </w:r>
            <w:r>
              <w:rPr>
                <w:color w:val="auto"/>
                <w:kern w:val="0"/>
                <w:szCs w:val="21"/>
                <w:highlight w:val="none"/>
              </w:rPr>
              <w:t>规划如下：</w:t>
            </w:r>
          </w:p>
          <w:p>
            <w:pPr>
              <w:autoSpaceDE w:val="0"/>
              <w:autoSpaceDN w:val="0"/>
              <w:adjustRightInd w:val="0"/>
              <w:snapToGrid w:val="0"/>
              <w:spacing w:line="400" w:lineRule="exact"/>
              <w:ind w:firstLine="422" w:firstLineChars="200"/>
              <w:jc w:val="left"/>
              <w:rPr>
                <w:color w:val="auto"/>
                <w:kern w:val="0"/>
                <w:szCs w:val="21"/>
                <w:highlight w:val="none"/>
              </w:rPr>
            </w:pPr>
            <w:r>
              <w:rPr>
                <w:rFonts w:hint="eastAsia"/>
                <w:b/>
                <w:bCs/>
                <w:color w:val="auto"/>
                <w:kern w:val="0"/>
                <w:szCs w:val="21"/>
                <w:highlight w:val="none"/>
                <w:lang w:val="en-US" w:eastAsia="zh-CN"/>
              </w:rPr>
              <w:t>规划范围</w:t>
            </w:r>
            <w:r>
              <w:rPr>
                <w:color w:val="auto"/>
                <w:kern w:val="0"/>
                <w:szCs w:val="21"/>
                <w:highlight w:val="none"/>
              </w:rPr>
              <w:t>：</w:t>
            </w:r>
            <w:r>
              <w:rPr>
                <w:rFonts w:hint="eastAsia"/>
                <w:color w:val="auto"/>
                <w:kern w:val="0"/>
                <w:szCs w:val="21"/>
                <w:highlight w:val="none"/>
              </w:rPr>
              <w:t>位于柳池乡辖区内，北至石堰村，西至陈家梁上安置区，东靠俞家湾，规划面积6.9567km</w:t>
            </w:r>
            <w:r>
              <w:rPr>
                <w:rFonts w:hint="eastAsia"/>
                <w:color w:val="auto"/>
                <w:kern w:val="0"/>
                <w:szCs w:val="21"/>
                <w:highlight w:val="none"/>
                <w:vertAlign w:val="superscript"/>
              </w:rPr>
              <w:t>2</w:t>
            </w:r>
            <w:r>
              <w:rPr>
                <w:rFonts w:hint="eastAsia"/>
                <w:color w:val="auto"/>
                <w:kern w:val="0"/>
                <w:szCs w:val="21"/>
                <w:highlight w:val="none"/>
              </w:rPr>
              <w:t>。</w:t>
            </w:r>
          </w:p>
          <w:p>
            <w:pPr>
              <w:autoSpaceDE w:val="0"/>
              <w:autoSpaceDN w:val="0"/>
              <w:adjustRightInd w:val="0"/>
              <w:snapToGrid w:val="0"/>
              <w:spacing w:line="400" w:lineRule="exact"/>
              <w:ind w:firstLine="422" w:firstLineChars="200"/>
              <w:jc w:val="left"/>
              <w:rPr>
                <w:color w:val="auto"/>
                <w:kern w:val="0"/>
                <w:szCs w:val="21"/>
                <w:highlight w:val="none"/>
              </w:rPr>
            </w:pPr>
            <w:r>
              <w:rPr>
                <w:rFonts w:hint="eastAsia"/>
                <w:b/>
                <w:bCs/>
                <w:color w:val="auto"/>
                <w:kern w:val="0"/>
                <w:szCs w:val="21"/>
                <w:highlight w:val="none"/>
                <w:lang w:val="en-US" w:eastAsia="zh-CN"/>
              </w:rPr>
              <w:t>主导产业</w:t>
            </w:r>
            <w:r>
              <w:rPr>
                <w:color w:val="auto"/>
                <w:kern w:val="0"/>
                <w:szCs w:val="21"/>
                <w:highlight w:val="none"/>
              </w:rPr>
              <w:t>：</w:t>
            </w:r>
            <w:r>
              <w:rPr>
                <w:rFonts w:hint="eastAsia"/>
                <w:color w:val="auto"/>
                <w:kern w:val="0"/>
                <w:szCs w:val="21"/>
                <w:highlight w:val="none"/>
                <w:lang w:val="en-US" w:eastAsia="zh-CN"/>
              </w:rPr>
              <w:t>柳池功能区主导产业为</w:t>
            </w:r>
            <w:r>
              <w:rPr>
                <w:rFonts w:hint="eastAsia"/>
                <w:color w:val="auto"/>
                <w:kern w:val="0"/>
                <w:szCs w:val="21"/>
                <w:highlight w:val="none"/>
              </w:rPr>
              <w:t>机械建材、装备制造、汽车零部件制造、冶金制造</w:t>
            </w:r>
            <w:r>
              <w:rPr>
                <w:color w:val="auto"/>
                <w:kern w:val="0"/>
                <w:szCs w:val="21"/>
                <w:highlight w:val="none"/>
              </w:rPr>
              <w:t>。</w:t>
            </w:r>
            <w:r>
              <w:rPr>
                <w:rFonts w:hint="eastAsia"/>
                <w:color w:val="auto"/>
                <w:kern w:val="0"/>
                <w:szCs w:val="21"/>
                <w:highlight w:val="none"/>
              </w:rPr>
              <w:t>发展能源依托型的冶金产业，打造有色金属产业链，积极发展冶金精深加工产品；促进机械建材与冶金、汽车零部件制造等产业协同发展。</w:t>
            </w:r>
          </w:p>
          <w:p>
            <w:pPr>
              <w:autoSpaceDE w:val="0"/>
              <w:autoSpaceDN w:val="0"/>
              <w:adjustRightInd w:val="0"/>
              <w:snapToGrid w:val="0"/>
              <w:spacing w:line="400" w:lineRule="exact"/>
              <w:ind w:firstLine="420" w:firstLineChars="200"/>
              <w:jc w:val="both"/>
              <w:rPr>
                <w:rFonts w:hint="default"/>
                <w:color w:val="auto"/>
                <w:kern w:val="0"/>
                <w:szCs w:val="21"/>
                <w:highlight w:val="none"/>
                <w:lang w:val="en-US" w:eastAsia="zh-CN"/>
              </w:rPr>
            </w:pPr>
            <w:r>
              <w:rPr>
                <w:color w:val="auto"/>
                <w:kern w:val="0"/>
                <w:szCs w:val="21"/>
                <w:highlight w:val="none"/>
              </w:rPr>
              <w:t>根据《</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w:t>
            </w:r>
            <w:r>
              <w:rPr>
                <w:color w:val="auto"/>
                <w:kern w:val="0"/>
                <w:szCs w:val="21"/>
                <w:highlight w:val="none"/>
              </w:rPr>
              <w:t>》</w:t>
            </w:r>
            <w:r>
              <w:rPr>
                <w:rFonts w:hint="eastAsia"/>
                <w:color w:val="auto"/>
                <w:kern w:val="0"/>
                <w:szCs w:val="21"/>
                <w:highlight w:val="none"/>
                <w:lang w:eastAsia="zh-CN"/>
              </w:rPr>
              <w:t>，</w:t>
            </w:r>
            <w:r>
              <w:rPr>
                <w:rFonts w:hint="eastAsia"/>
                <w:color w:val="auto"/>
                <w:kern w:val="0"/>
                <w:szCs w:val="21"/>
                <w:highlight w:val="none"/>
                <w:lang w:val="en-US" w:eastAsia="zh-CN"/>
              </w:rPr>
              <w:t>本项目租用的宣汉县弘泰电化有限责任公司（已停产）厂房位于普光经开区西区的柳池功能区南部，利用闲置厂房建设，不增加占地，同时提高空置厂房的利用率。柳池功能区主导的机械建材、装备制造、汽车零部件制造、冶金制造等产业运行中将会产生大量的废矿物油，需要一家有资质的单位收集。本项目为废矿物油收集储存项目，属于为园区主导产业服务的配套产业，有利于园区产业的协同发展。</w:t>
            </w:r>
          </w:p>
          <w:p>
            <w:pPr>
              <w:autoSpaceDE w:val="0"/>
              <w:autoSpaceDN w:val="0"/>
              <w:adjustRightInd w:val="0"/>
              <w:snapToGrid w:val="0"/>
              <w:spacing w:line="400" w:lineRule="exact"/>
              <w:ind w:firstLine="420" w:firstLineChars="200"/>
              <w:jc w:val="both"/>
              <w:rPr>
                <w:b/>
                <w:bCs/>
                <w:color w:val="auto"/>
                <w:kern w:val="0"/>
                <w:szCs w:val="21"/>
                <w:highlight w:val="none"/>
              </w:rPr>
            </w:pPr>
            <w:r>
              <w:rPr>
                <w:rFonts w:hint="eastAsia"/>
                <w:color w:val="auto"/>
                <w:kern w:val="0"/>
                <w:szCs w:val="21"/>
                <w:highlight w:val="none"/>
                <w:lang w:val="en-US" w:eastAsia="zh-CN"/>
              </w:rPr>
              <w:t>因此，项目符合</w:t>
            </w:r>
            <w:r>
              <w:rPr>
                <w:color w:val="auto"/>
                <w:kern w:val="0"/>
                <w:szCs w:val="21"/>
                <w:highlight w:val="none"/>
              </w:rPr>
              <w:t>《</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w:t>
            </w:r>
            <w:r>
              <w:rPr>
                <w:color w:val="auto"/>
                <w:kern w:val="0"/>
                <w:szCs w:val="21"/>
                <w:highlight w:val="none"/>
              </w:rPr>
              <w:t>》。</w:t>
            </w:r>
          </w:p>
          <w:p>
            <w:pPr>
              <w:adjustRightInd w:val="0"/>
              <w:snapToGrid w:val="0"/>
              <w:spacing w:line="400" w:lineRule="exact"/>
              <w:ind w:left="-53" w:leftChars="-25" w:right="-53" w:rightChars="-25"/>
              <w:jc w:val="left"/>
              <w:rPr>
                <w:rFonts w:eastAsia="黑体"/>
                <w:bCs/>
                <w:color w:val="auto"/>
                <w:spacing w:val="-6"/>
                <w:szCs w:val="21"/>
                <w:highlight w:val="none"/>
              </w:rPr>
            </w:pPr>
            <w:r>
              <w:rPr>
                <w:rFonts w:eastAsia="黑体"/>
                <w:bCs/>
                <w:color w:val="auto"/>
                <w:szCs w:val="21"/>
                <w:highlight w:val="none"/>
              </w:rPr>
              <w:t>2、</w:t>
            </w:r>
            <w:r>
              <w:rPr>
                <w:rFonts w:eastAsia="黑体"/>
                <w:bCs/>
                <w:color w:val="auto"/>
                <w:spacing w:val="-6"/>
                <w:szCs w:val="21"/>
                <w:highlight w:val="none"/>
              </w:rPr>
              <w:t>与《</w:t>
            </w:r>
            <w:r>
              <w:rPr>
                <w:rFonts w:hint="eastAsia" w:eastAsia="黑体"/>
                <w:bCs/>
                <w:color w:val="auto"/>
                <w:spacing w:val="-6"/>
                <w:szCs w:val="21"/>
                <w:highlight w:val="none"/>
              </w:rPr>
              <w:t>四川达州普光经济开发区总体规划（</w:t>
            </w:r>
            <w:r>
              <w:rPr>
                <w:rFonts w:eastAsia="黑体"/>
                <w:bCs/>
                <w:color w:val="auto"/>
                <w:spacing w:val="-6"/>
                <w:szCs w:val="21"/>
                <w:highlight w:val="none"/>
              </w:rPr>
              <w:t>2019-2035</w:t>
            </w:r>
            <w:r>
              <w:rPr>
                <w:rFonts w:hint="eastAsia" w:eastAsia="黑体"/>
                <w:bCs/>
                <w:color w:val="auto"/>
                <w:spacing w:val="-6"/>
                <w:szCs w:val="21"/>
                <w:highlight w:val="none"/>
              </w:rPr>
              <w:t>）环境影响报告书</w:t>
            </w:r>
            <w:r>
              <w:rPr>
                <w:rFonts w:eastAsia="黑体"/>
                <w:bCs/>
                <w:color w:val="auto"/>
                <w:spacing w:val="-6"/>
                <w:szCs w:val="21"/>
                <w:highlight w:val="none"/>
              </w:rPr>
              <w:t>》及审查意见的符合性分析</w:t>
            </w:r>
          </w:p>
          <w:p>
            <w:pPr>
              <w:autoSpaceDE w:val="0"/>
              <w:autoSpaceDN w:val="0"/>
              <w:adjustRightInd w:val="0"/>
              <w:snapToGrid w:val="0"/>
              <w:spacing w:line="400" w:lineRule="exact"/>
              <w:ind w:firstLine="420" w:firstLineChars="200"/>
              <w:jc w:val="left"/>
              <w:rPr>
                <w:rFonts w:hint="eastAsia"/>
                <w:color w:val="auto"/>
                <w:kern w:val="0"/>
                <w:szCs w:val="21"/>
                <w:highlight w:val="none"/>
                <w:lang w:val="en-US" w:eastAsia="zh-CN"/>
              </w:rPr>
            </w:pPr>
            <w:r>
              <w:rPr>
                <w:color w:val="auto"/>
                <w:kern w:val="0"/>
                <w:szCs w:val="21"/>
                <w:highlight w:val="none"/>
              </w:rPr>
              <w:t>《</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）环境影响报告书</w:t>
            </w:r>
            <w:r>
              <w:rPr>
                <w:color w:val="auto"/>
                <w:kern w:val="0"/>
                <w:szCs w:val="21"/>
                <w:highlight w:val="none"/>
              </w:rPr>
              <w:t>》</w:t>
            </w:r>
            <w:r>
              <w:rPr>
                <w:rFonts w:hint="eastAsia"/>
                <w:color w:val="auto"/>
                <w:kern w:val="0"/>
                <w:szCs w:val="21"/>
                <w:highlight w:val="none"/>
                <w:lang w:val="en-US" w:eastAsia="zh-CN"/>
              </w:rPr>
              <w:t>于2020年12月10日通过了技术审查会，四川省生态环境厅于2021年3月19日印发了《关于&lt;</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）环境影响报告书</w:t>
            </w:r>
            <w:r>
              <w:rPr>
                <w:rFonts w:hint="eastAsia"/>
                <w:color w:val="auto"/>
                <w:kern w:val="0"/>
                <w:szCs w:val="21"/>
                <w:highlight w:val="none"/>
                <w:lang w:val="en-US" w:eastAsia="zh-CN"/>
              </w:rPr>
              <w:t>&gt;审查意见的函》（川环建函</w:t>
            </w:r>
            <w:r>
              <w:rPr>
                <w:rFonts w:hint="eastAsia" w:ascii="新宋体" w:hAnsi="新宋体" w:eastAsia="新宋体" w:cs="新宋体"/>
                <w:color w:val="auto"/>
                <w:kern w:val="0"/>
                <w:szCs w:val="21"/>
                <w:highlight w:val="none"/>
                <w:lang w:val="en-US" w:eastAsia="zh-CN"/>
              </w:rPr>
              <w:t>〔</w:t>
            </w:r>
            <w:r>
              <w:rPr>
                <w:rFonts w:hint="eastAsia"/>
                <w:color w:val="auto"/>
                <w:kern w:val="0"/>
                <w:szCs w:val="21"/>
                <w:highlight w:val="none"/>
                <w:lang w:val="en-US" w:eastAsia="zh-CN"/>
              </w:rPr>
              <w:t>2021</w:t>
            </w:r>
            <w:r>
              <w:rPr>
                <w:rFonts w:hint="eastAsia" w:ascii="新宋体" w:hAnsi="新宋体" w:eastAsia="新宋体" w:cs="新宋体"/>
                <w:color w:val="auto"/>
                <w:kern w:val="0"/>
                <w:szCs w:val="21"/>
                <w:highlight w:val="none"/>
                <w:lang w:val="en-US" w:eastAsia="zh-CN"/>
              </w:rPr>
              <w:t>〕</w:t>
            </w:r>
            <w:r>
              <w:rPr>
                <w:rFonts w:hint="eastAsia"/>
                <w:color w:val="auto"/>
                <w:kern w:val="0"/>
                <w:szCs w:val="21"/>
                <w:highlight w:val="none"/>
                <w:lang w:val="en-US" w:eastAsia="zh-CN"/>
              </w:rPr>
              <w:t>9号）。</w:t>
            </w:r>
          </w:p>
          <w:p>
            <w:pPr>
              <w:autoSpaceDE w:val="0"/>
              <w:autoSpaceDN w:val="0"/>
              <w:adjustRightInd w:val="0"/>
              <w:snapToGrid w:val="0"/>
              <w:spacing w:line="400" w:lineRule="exact"/>
              <w:ind w:firstLine="420" w:firstLineChars="200"/>
              <w:jc w:val="left"/>
              <w:rPr>
                <w:rFonts w:hint="eastAsia"/>
                <w:color w:val="auto"/>
                <w:kern w:val="0"/>
                <w:szCs w:val="21"/>
                <w:highlight w:val="none"/>
                <w:lang w:eastAsia="zh-CN"/>
              </w:rPr>
            </w:pPr>
            <w:r>
              <w:rPr>
                <w:rFonts w:hint="eastAsia"/>
                <w:color w:val="auto"/>
                <w:kern w:val="0"/>
                <w:szCs w:val="21"/>
                <w:highlight w:val="none"/>
                <w:lang w:val="en-US" w:eastAsia="zh-CN"/>
              </w:rPr>
              <w:t>项目与</w:t>
            </w:r>
            <w:r>
              <w:rPr>
                <w:color w:val="auto"/>
                <w:kern w:val="0"/>
                <w:szCs w:val="21"/>
                <w:highlight w:val="none"/>
              </w:rPr>
              <w:t>《</w:t>
            </w:r>
            <w:r>
              <w:rPr>
                <w:rFonts w:hint="eastAsia"/>
                <w:color w:val="auto"/>
                <w:kern w:val="0"/>
                <w:szCs w:val="21"/>
                <w:highlight w:val="none"/>
              </w:rPr>
              <w:t>四川达州普光经济开发区总体规划（</w:t>
            </w:r>
            <w:r>
              <w:rPr>
                <w:color w:val="auto"/>
                <w:kern w:val="0"/>
                <w:szCs w:val="21"/>
                <w:highlight w:val="none"/>
              </w:rPr>
              <w:t>2019-2035</w:t>
            </w:r>
            <w:r>
              <w:rPr>
                <w:rFonts w:hint="eastAsia"/>
                <w:color w:val="auto"/>
                <w:kern w:val="0"/>
                <w:szCs w:val="21"/>
                <w:highlight w:val="none"/>
              </w:rPr>
              <w:t>）环境影响报告书</w:t>
            </w:r>
            <w:r>
              <w:rPr>
                <w:color w:val="auto"/>
                <w:kern w:val="0"/>
                <w:szCs w:val="21"/>
                <w:highlight w:val="none"/>
              </w:rPr>
              <w:t>》及其</w:t>
            </w:r>
            <w:r>
              <w:rPr>
                <w:rFonts w:hint="eastAsia"/>
                <w:color w:val="auto"/>
                <w:kern w:val="0"/>
                <w:szCs w:val="21"/>
                <w:highlight w:val="none"/>
                <w:lang w:val="en-US" w:eastAsia="zh-CN"/>
              </w:rPr>
              <w:t>审查</w:t>
            </w:r>
            <w:r>
              <w:rPr>
                <w:color w:val="auto"/>
                <w:kern w:val="0"/>
                <w:szCs w:val="21"/>
                <w:highlight w:val="none"/>
              </w:rPr>
              <w:t>意见的符合性分析如下：</w:t>
            </w:r>
          </w:p>
          <w:p>
            <w:pPr>
              <w:autoSpaceDE w:val="0"/>
              <w:autoSpaceDN w:val="0"/>
              <w:adjustRightInd w:val="0"/>
              <w:snapToGrid w:val="0"/>
              <w:spacing w:line="400" w:lineRule="exact"/>
              <w:ind w:firstLine="420" w:firstLineChars="200"/>
              <w:jc w:val="left"/>
              <w:rPr>
                <w:rFonts w:hint="eastAsia"/>
                <w:color w:val="auto"/>
                <w:kern w:val="0"/>
                <w:szCs w:val="21"/>
                <w:highlight w:val="none"/>
                <w:lang w:eastAsia="zh-CN"/>
              </w:rPr>
            </w:pPr>
            <w:r>
              <w:rPr>
                <w:rFonts w:hint="eastAsia"/>
                <w:color w:val="auto"/>
                <w:kern w:val="0"/>
                <w:szCs w:val="21"/>
                <w:highlight w:val="none"/>
                <w:lang w:eastAsia="zh-CN"/>
              </w:rPr>
              <w:t>（1）</w:t>
            </w:r>
            <w:r>
              <w:rPr>
                <w:rFonts w:hint="eastAsia"/>
                <w:color w:val="auto"/>
                <w:kern w:val="0"/>
                <w:szCs w:val="21"/>
                <w:highlight w:val="none"/>
                <w:lang w:val="en-US" w:eastAsia="zh-CN"/>
              </w:rPr>
              <w:t>针对</w:t>
            </w:r>
            <w:r>
              <w:rPr>
                <w:rFonts w:hint="eastAsia"/>
                <w:color w:val="auto"/>
                <w:kern w:val="0"/>
                <w:szCs w:val="21"/>
                <w:highlight w:val="none"/>
                <w:lang w:eastAsia="zh-CN"/>
              </w:rPr>
              <w:t>宣汉县PM</w:t>
            </w:r>
            <w:r>
              <w:rPr>
                <w:rFonts w:hint="eastAsia"/>
                <w:color w:val="auto"/>
                <w:kern w:val="0"/>
                <w:sz w:val="21"/>
                <w:szCs w:val="21"/>
                <w:highlight w:val="none"/>
                <w:vertAlign w:val="subscript"/>
                <w:lang w:eastAsia="zh-CN"/>
              </w:rPr>
              <w:t>2.5</w:t>
            </w:r>
            <w:r>
              <w:rPr>
                <w:rFonts w:hint="eastAsia"/>
                <w:color w:val="auto"/>
                <w:kern w:val="0"/>
                <w:szCs w:val="21"/>
                <w:highlight w:val="none"/>
                <w:lang w:eastAsia="zh-CN"/>
              </w:rPr>
              <w:t>保证率日均值超标，</w:t>
            </w:r>
            <w:r>
              <w:rPr>
                <w:rFonts w:hint="eastAsia"/>
                <w:color w:val="auto"/>
                <w:kern w:val="0"/>
                <w:szCs w:val="21"/>
                <w:highlight w:val="none"/>
                <w:lang w:val="en-US" w:eastAsia="zh-CN"/>
              </w:rPr>
              <w:t>①应</w:t>
            </w:r>
            <w:r>
              <w:rPr>
                <w:rFonts w:hint="eastAsia"/>
                <w:color w:val="auto"/>
                <w:kern w:val="0"/>
                <w:szCs w:val="21"/>
                <w:highlight w:val="none"/>
                <w:lang w:eastAsia="zh-CN"/>
              </w:rPr>
              <w:t>严格落实《达州市大气环境质量限期达标规划（2018-2030年）》相关措施，完成达标任务。</w:t>
            </w:r>
            <w:r>
              <w:rPr>
                <w:rFonts w:hint="eastAsia"/>
                <w:color w:val="auto"/>
                <w:kern w:val="0"/>
                <w:szCs w:val="21"/>
                <w:highlight w:val="none"/>
                <w:lang w:val="en-US" w:eastAsia="zh-CN"/>
              </w:rPr>
              <w:t>②</w:t>
            </w:r>
            <w:r>
              <w:rPr>
                <w:rFonts w:hint="eastAsia"/>
                <w:color w:val="auto"/>
                <w:kern w:val="0"/>
                <w:szCs w:val="21"/>
                <w:highlight w:val="none"/>
                <w:lang w:eastAsia="zh-CN"/>
              </w:rPr>
              <w:t>新建企业以天然气或电为能源，不使用燃煤等高污染燃料；现有企业应采取严格的脱硫、除尘、脱硝等治理措施，现有燃煤锅炉适时实施煤改气。</w:t>
            </w:r>
            <w:r>
              <w:rPr>
                <w:rFonts w:hint="eastAsia"/>
                <w:color w:val="auto"/>
                <w:kern w:val="0"/>
                <w:szCs w:val="21"/>
                <w:highlight w:val="none"/>
                <w:lang w:val="en-US" w:eastAsia="zh-CN"/>
              </w:rPr>
              <w:t>③</w:t>
            </w:r>
            <w:r>
              <w:rPr>
                <w:rFonts w:hint="eastAsia"/>
                <w:color w:val="auto"/>
                <w:kern w:val="0"/>
                <w:szCs w:val="21"/>
                <w:highlight w:val="none"/>
                <w:lang w:eastAsia="zh-CN"/>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p>
            <w:pPr>
              <w:autoSpaceDE w:val="0"/>
              <w:autoSpaceDN w:val="0"/>
              <w:adjustRightInd w:val="0"/>
              <w:snapToGrid w:val="0"/>
              <w:spacing w:line="400" w:lineRule="exact"/>
              <w:ind w:firstLine="420" w:firstLineChars="200"/>
              <w:jc w:val="left"/>
              <w:rPr>
                <w:rFonts w:hint="eastAsia"/>
                <w:color w:val="auto"/>
                <w:kern w:val="0"/>
                <w:szCs w:val="21"/>
                <w:highlight w:val="none"/>
                <w:lang w:val="en-US" w:eastAsia="zh-CN"/>
              </w:rPr>
            </w:pPr>
            <w:r>
              <w:rPr>
                <w:rFonts w:hint="eastAsia"/>
                <w:color w:val="auto"/>
                <w:kern w:val="0"/>
                <w:szCs w:val="21"/>
                <w:highlight w:val="none"/>
                <w:lang w:eastAsia="zh-CN"/>
              </w:rPr>
              <w:t>（2）</w:t>
            </w:r>
            <w:r>
              <w:rPr>
                <w:rFonts w:hint="eastAsia"/>
                <w:color w:val="auto"/>
                <w:kern w:val="0"/>
                <w:szCs w:val="21"/>
                <w:highlight w:val="none"/>
                <w:lang w:val="en-US" w:eastAsia="zh-CN"/>
              </w:rPr>
              <w:t>柳池功能区</w:t>
            </w:r>
          </w:p>
          <w:p>
            <w:pPr>
              <w:autoSpaceDE w:val="0"/>
              <w:autoSpaceDN w:val="0"/>
              <w:adjustRightInd w:val="0"/>
              <w:snapToGrid w:val="0"/>
              <w:spacing w:line="400" w:lineRule="exact"/>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①禁止引入以原矿为原料的有色金属冶炼、印染、皮革鞣制、制浆造纸、印制电路板、专业电镀、化工项目。</w:t>
            </w:r>
          </w:p>
          <w:p>
            <w:pPr>
              <w:autoSpaceDE w:val="0"/>
              <w:autoSpaceDN w:val="0"/>
              <w:adjustRightInd w:val="0"/>
              <w:snapToGrid w:val="0"/>
              <w:spacing w:line="400" w:lineRule="exact"/>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②园区中部涉及部分倒班用房，建议根据园区发展情况逐步拆除或转变功能；柳池乡场镇不再扩大规模，靠近柳池乡场镇的工业用地应留出足够的防护距离。</w:t>
            </w:r>
          </w:p>
          <w:p>
            <w:pPr>
              <w:autoSpaceDE w:val="0"/>
              <w:autoSpaceDN w:val="0"/>
              <w:adjustRightInd w:val="0"/>
              <w:snapToGrid w:val="0"/>
              <w:spacing w:line="400" w:lineRule="exact"/>
              <w:ind w:firstLine="420" w:firstLineChars="200"/>
              <w:jc w:val="both"/>
              <w:rPr>
                <w:rFonts w:hint="eastAsia"/>
                <w:color w:val="auto"/>
                <w:kern w:val="0"/>
                <w:szCs w:val="21"/>
                <w:highlight w:val="none"/>
                <w:lang w:eastAsia="zh-CN"/>
              </w:rPr>
            </w:pPr>
            <w:r>
              <w:rPr>
                <w:rFonts w:hint="eastAsia"/>
                <w:color w:val="auto"/>
                <w:kern w:val="0"/>
                <w:szCs w:val="21"/>
                <w:highlight w:val="none"/>
                <w:lang w:val="en-US" w:eastAsia="zh-CN"/>
              </w:rPr>
              <w:t>根据达州市生态环境局官方网站2021年6月5日发布的《2020年达州市生态环境状况公报》，</w:t>
            </w:r>
            <w:r>
              <w:rPr>
                <w:rFonts w:hint="default" w:ascii="Times New Roman" w:hAnsi="Times New Roman" w:cs="Times New Roman"/>
                <w:color w:val="auto"/>
                <w:kern w:val="0"/>
                <w:szCs w:val="21"/>
              </w:rPr>
              <w:t>宣汉县SO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r>
              <w:rPr>
                <w:rFonts w:hint="default" w:ascii="Times New Roman" w:hAnsi="Times New Roman" w:cs="Times New Roman"/>
                <w:color w:val="auto"/>
                <w:kern w:val="0"/>
                <w:szCs w:val="21"/>
              </w:rPr>
              <w:t>、CO、O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和PM</w:t>
            </w:r>
            <w:r>
              <w:rPr>
                <w:rFonts w:hint="default" w:ascii="Times New Roman" w:hAnsi="Times New Roman" w:cs="Times New Roman"/>
                <w:color w:val="auto"/>
                <w:kern w:val="0"/>
                <w:szCs w:val="21"/>
                <w:vertAlign w:val="subscript"/>
              </w:rPr>
              <w:t>2.5</w:t>
            </w:r>
            <w:r>
              <w:rPr>
                <w:rFonts w:hint="default" w:ascii="Times New Roman" w:hAnsi="Times New Roman" w:cs="Times New Roman"/>
                <w:color w:val="auto"/>
                <w:kern w:val="0"/>
                <w:szCs w:val="21"/>
              </w:rPr>
              <w:t>年评价结果均达标</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空气质量达标率为94.3%。</w:t>
            </w:r>
            <w:r>
              <w:rPr>
                <w:rFonts w:hint="eastAsia"/>
                <w:color w:val="auto"/>
                <w:kern w:val="0"/>
                <w:szCs w:val="21"/>
                <w:highlight w:val="none"/>
                <w:lang w:val="en-US" w:eastAsia="zh-CN"/>
              </w:rPr>
              <w:t>区域大气环境质量已完成限期达标的任务，项目建设符合上述要求。</w:t>
            </w:r>
            <w:r>
              <w:rPr>
                <w:rFonts w:hint="eastAsia" w:ascii="Times New Roman" w:hAnsi="Times New Roman" w:cs="Times New Roman"/>
                <w:color w:val="auto"/>
                <w:kern w:val="0"/>
                <w:szCs w:val="21"/>
                <w:lang w:val="en-US" w:eastAsia="zh-CN"/>
              </w:rPr>
              <w:t>本项目为废矿物油收集储存项目，不属于禁止引入行业，同时</w:t>
            </w:r>
            <w:r>
              <w:rPr>
                <w:rFonts w:hint="eastAsia"/>
                <w:color w:val="auto"/>
                <w:kern w:val="0"/>
                <w:szCs w:val="21"/>
                <w:highlight w:val="none"/>
                <w:lang w:eastAsia="zh-CN"/>
              </w:rPr>
              <w:t>不使用燃煤等高污染燃料。</w:t>
            </w:r>
          </w:p>
          <w:p>
            <w:pPr>
              <w:autoSpaceDE w:val="0"/>
              <w:autoSpaceDN w:val="0"/>
              <w:adjustRightInd w:val="0"/>
              <w:snapToGrid w:val="0"/>
              <w:spacing w:line="400" w:lineRule="exact"/>
              <w:ind w:firstLine="420" w:firstLineChars="200"/>
              <w:jc w:val="left"/>
              <w:rPr>
                <w:rFonts w:hint="eastAsia" w:eastAsia="宋体"/>
                <w:color w:val="auto"/>
                <w:kern w:val="0"/>
                <w:szCs w:val="21"/>
                <w:highlight w:val="none"/>
                <w:lang w:val="en-US" w:eastAsia="zh-CN"/>
              </w:rPr>
            </w:pPr>
            <w:r>
              <w:rPr>
                <w:rFonts w:hint="eastAsia"/>
                <w:color w:val="auto"/>
                <w:kern w:val="0"/>
                <w:szCs w:val="21"/>
                <w:highlight w:val="none"/>
                <w:lang w:val="en-US" w:eastAsia="zh-CN"/>
              </w:rPr>
              <w:t xml:space="preserve">项目与园区环境管控要求和生态环境准入清单的符合性见下表。 </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表1-</w:t>
            </w:r>
            <w:r>
              <w:rPr>
                <w:rFonts w:hint="eastAsia" w:ascii="Times New Roman" w:hAnsi="Times New Roman" w:eastAsia="黑体" w:cs="Times New Roman"/>
                <w:color w:val="auto"/>
                <w:kern w:val="0"/>
                <w:sz w:val="20"/>
                <w:szCs w:val="20"/>
                <w:lang w:val="en-US" w:eastAsia="zh-CN"/>
              </w:rPr>
              <w:t>1</w:t>
            </w:r>
            <w:r>
              <w:rPr>
                <w:rFonts w:hint="default" w:ascii="Times New Roman" w:hAnsi="Times New Roman" w:eastAsia="黑体" w:cs="Times New Roman"/>
                <w:color w:val="auto"/>
                <w:kern w:val="0"/>
                <w:sz w:val="20"/>
                <w:szCs w:val="20"/>
                <w:lang w:val="zh-CN" w:eastAsia="zh-CN"/>
              </w:rPr>
              <w:t xml:space="preserve">  与园区</w:t>
            </w:r>
            <w:r>
              <w:rPr>
                <w:rFonts w:hint="eastAsia" w:ascii="Times New Roman" w:hAnsi="Times New Roman" w:eastAsia="黑体" w:cs="Times New Roman"/>
                <w:color w:val="auto"/>
                <w:kern w:val="0"/>
                <w:sz w:val="20"/>
                <w:szCs w:val="20"/>
                <w:lang w:val="zh-CN" w:eastAsia="zh-CN"/>
              </w:rPr>
              <w:t>环境管控要求和生态环境准入清单</w:t>
            </w:r>
            <w:r>
              <w:rPr>
                <w:rFonts w:hint="default" w:ascii="Times New Roman" w:hAnsi="Times New Roman" w:eastAsia="黑体" w:cs="Times New Roman"/>
                <w:color w:val="auto"/>
                <w:kern w:val="0"/>
                <w:sz w:val="20"/>
                <w:szCs w:val="20"/>
                <w:lang w:val="zh-CN" w:eastAsia="zh-CN"/>
              </w:rPr>
              <w:t>的符合性</w:t>
            </w:r>
            <w:r>
              <w:rPr>
                <w:rFonts w:hint="eastAsia" w:ascii="Times New Roman" w:hAnsi="Times New Roman" w:eastAsia="黑体" w:cs="Times New Roman"/>
                <w:color w:val="auto"/>
                <w:kern w:val="0"/>
                <w:sz w:val="20"/>
                <w:szCs w:val="20"/>
                <w:lang w:val="en-US" w:eastAsia="zh-CN"/>
              </w:rPr>
              <w:t>分析</w:t>
            </w:r>
          </w:p>
          <w:tbl>
            <w:tblPr>
              <w:tblStyle w:val="14"/>
              <w:tblW w:w="7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80"/>
              <w:gridCol w:w="3438"/>
              <w:gridCol w:w="1587"/>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blHeader/>
                <w:jc w:val="center"/>
              </w:trPr>
              <w:tc>
                <w:tcPr>
                  <w:tcW w:w="57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b/>
                      <w:bCs/>
                      <w:color w:val="auto"/>
                      <w:kern w:val="0"/>
                      <w:sz w:val="18"/>
                      <w:szCs w:val="18"/>
                      <w:highlight w:val="none"/>
                    </w:rPr>
                  </w:pPr>
                  <w:r>
                    <w:rPr>
                      <w:rFonts w:hint="eastAsia"/>
                      <w:b/>
                      <w:bCs/>
                      <w:color w:val="auto"/>
                      <w:kern w:val="0"/>
                      <w:sz w:val="18"/>
                      <w:szCs w:val="18"/>
                      <w:highlight w:val="none"/>
                    </w:rPr>
                    <w:t>功能区</w:t>
                  </w:r>
                </w:p>
              </w:tc>
              <w:tc>
                <w:tcPr>
                  <w:tcW w:w="780" w:type="dxa"/>
                  <w:shd w:val="clear" w:color="auto" w:fill="auto"/>
                  <w:noWrap w:val="0"/>
                  <w:vAlign w:val="top"/>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b/>
                      <w:bCs/>
                      <w:color w:val="auto"/>
                      <w:kern w:val="0"/>
                      <w:sz w:val="18"/>
                      <w:szCs w:val="18"/>
                      <w:highlight w:val="none"/>
                    </w:rPr>
                  </w:pPr>
                  <w:r>
                    <w:rPr>
                      <w:rFonts w:hint="eastAsia"/>
                      <w:b/>
                      <w:bCs/>
                      <w:color w:val="auto"/>
                      <w:kern w:val="0"/>
                      <w:sz w:val="18"/>
                      <w:szCs w:val="18"/>
                      <w:highlight w:val="none"/>
                    </w:rPr>
                    <w:t>类别</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b/>
                      <w:bCs/>
                      <w:color w:val="auto"/>
                      <w:kern w:val="0"/>
                      <w:sz w:val="18"/>
                      <w:szCs w:val="18"/>
                      <w:highlight w:val="none"/>
                    </w:rPr>
                  </w:pPr>
                  <w:r>
                    <w:rPr>
                      <w:b/>
                      <w:bCs/>
                      <w:color w:val="auto"/>
                      <w:kern w:val="0"/>
                      <w:sz w:val="18"/>
                      <w:szCs w:val="18"/>
                      <w:highlight w:val="none"/>
                    </w:rPr>
                    <w:t>禁止准入</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eastAsia="宋体"/>
                      <w:b/>
                      <w:bCs/>
                      <w:color w:val="auto"/>
                      <w:kern w:val="0"/>
                      <w:sz w:val="18"/>
                      <w:szCs w:val="18"/>
                      <w:highlight w:val="none"/>
                      <w:lang w:val="en-US" w:eastAsia="zh-CN"/>
                    </w:rPr>
                  </w:pPr>
                  <w:r>
                    <w:rPr>
                      <w:rFonts w:hint="eastAsia"/>
                      <w:b/>
                      <w:bCs/>
                      <w:color w:val="auto"/>
                      <w:kern w:val="0"/>
                      <w:sz w:val="18"/>
                      <w:szCs w:val="18"/>
                      <w:highlight w:val="none"/>
                      <w:lang w:val="en-US" w:eastAsia="zh-CN"/>
                    </w:rPr>
                    <w:t>本项目</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b/>
                      <w:bCs/>
                      <w:color w:val="auto"/>
                      <w:kern w:val="0"/>
                      <w:sz w:val="18"/>
                      <w:szCs w:val="18"/>
                      <w:highlight w:val="none"/>
                      <w:lang w:val="en-US" w:eastAsia="zh-CN"/>
                    </w:rPr>
                  </w:pPr>
                  <w:r>
                    <w:rPr>
                      <w:rFonts w:hint="eastAsia"/>
                      <w:b/>
                      <w:bCs/>
                      <w:color w:val="auto"/>
                      <w:kern w:val="0"/>
                      <w:sz w:val="18"/>
                      <w:szCs w:val="18"/>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78" w:type="dxa"/>
                  <w:vMerge w:val="restart"/>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总体管控要求及准入清单</w:t>
                  </w: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空间布局约束</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1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①</w:t>
                  </w:r>
                  <w:r>
                    <w:rPr>
                      <w:color w:val="auto"/>
                      <w:kern w:val="0"/>
                      <w:sz w:val="18"/>
                      <w:szCs w:val="18"/>
                      <w:highlight w:val="none"/>
                    </w:rPr>
                    <w:fldChar w:fldCharType="end"/>
                  </w:r>
                  <w:r>
                    <w:rPr>
                      <w:rFonts w:hint="eastAsia"/>
                      <w:color w:val="auto"/>
                      <w:kern w:val="0"/>
                      <w:sz w:val="18"/>
                      <w:szCs w:val="18"/>
                      <w:highlight w:val="none"/>
                    </w:rPr>
                    <w:t>经开区生产生活、开发建设活动应当遵守长江保护相关法律法规的要求；</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2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②</w:t>
                  </w:r>
                  <w:r>
                    <w:rPr>
                      <w:color w:val="auto"/>
                      <w:kern w:val="0"/>
                      <w:sz w:val="18"/>
                      <w:szCs w:val="18"/>
                      <w:highlight w:val="none"/>
                    </w:rPr>
                    <w:fldChar w:fldCharType="end"/>
                  </w:r>
                  <w:r>
                    <w:rPr>
                      <w:rFonts w:hint="eastAsia"/>
                      <w:color w:val="auto"/>
                      <w:kern w:val="0"/>
                      <w:sz w:val="18"/>
                      <w:szCs w:val="18"/>
                      <w:highlight w:val="none"/>
                    </w:rPr>
                    <w:t>禁止引入与功能区主导产业相禁忌、容易形成交叉影响的项目。</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①符合长江保护相关法律法规的要求；②不与功能区主导产业相禁忌、不容易形成交叉影响</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57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污染物排放管控</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1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①</w:t>
                  </w:r>
                  <w:r>
                    <w:rPr>
                      <w:color w:val="auto"/>
                      <w:kern w:val="0"/>
                      <w:sz w:val="18"/>
                      <w:szCs w:val="18"/>
                      <w:highlight w:val="none"/>
                    </w:rPr>
                    <w:fldChar w:fldCharType="end"/>
                  </w:r>
                  <w:r>
                    <w:rPr>
                      <w:rFonts w:hint="eastAsia"/>
                      <w:color w:val="auto"/>
                      <w:kern w:val="0"/>
                      <w:sz w:val="18"/>
                      <w:szCs w:val="18"/>
                      <w:highlight w:val="none"/>
                    </w:rPr>
                    <w:t>禁止引入不符合国家、省、市重金属污染防治规划相关要求的项目；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2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②</w:t>
                  </w:r>
                  <w:r>
                    <w:rPr>
                      <w:color w:val="auto"/>
                      <w:kern w:val="0"/>
                      <w:sz w:val="18"/>
                      <w:szCs w:val="18"/>
                      <w:highlight w:val="none"/>
                    </w:rPr>
                    <w:fldChar w:fldCharType="end"/>
                  </w:r>
                  <w:r>
                    <w:rPr>
                      <w:rFonts w:hint="eastAsia"/>
                      <w:color w:val="auto"/>
                      <w:kern w:val="0"/>
                      <w:sz w:val="18"/>
                      <w:szCs w:val="18"/>
                      <w:highlight w:val="none"/>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①不属于禁止引入项目；②执行大气污染物特别排放限值</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7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环境风险防控</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1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①</w:t>
                  </w:r>
                  <w:r>
                    <w:rPr>
                      <w:color w:val="auto"/>
                      <w:kern w:val="0"/>
                      <w:sz w:val="18"/>
                      <w:szCs w:val="18"/>
                      <w:highlight w:val="none"/>
                    </w:rPr>
                    <w:fldChar w:fldCharType="end"/>
                  </w:r>
                  <w:r>
                    <w:rPr>
                      <w:rFonts w:hint="eastAsia"/>
                      <w:color w:val="auto"/>
                      <w:kern w:val="0"/>
                      <w:sz w:val="18"/>
                      <w:szCs w:val="18"/>
                      <w:highlight w:val="none"/>
                    </w:rPr>
                    <w:t>风险源与环境敏感目标保持符合规范要求的安全距离，切实做好危险化学品贮运、使用过程中的安全防范措施，最大程度降低环境风险事故发生的几率；</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2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②</w:t>
                  </w:r>
                  <w:r>
                    <w:rPr>
                      <w:color w:val="auto"/>
                      <w:kern w:val="0"/>
                      <w:sz w:val="18"/>
                      <w:szCs w:val="18"/>
                      <w:highlight w:val="none"/>
                    </w:rPr>
                    <w:fldChar w:fldCharType="end"/>
                  </w:r>
                  <w:r>
                    <w:rPr>
                      <w:rFonts w:hint="eastAsia"/>
                      <w:color w:val="auto"/>
                      <w:kern w:val="0"/>
                      <w:sz w:val="18"/>
                      <w:szCs w:val="18"/>
                      <w:highlight w:val="none"/>
                    </w:rPr>
                    <w:t>制定切实可行的环境风险应急预案，定期开展环境风险应急演练，建立与敏感目标的环境风险应急联动机制。</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本项目将严格按照</w:t>
                  </w:r>
                  <w:r>
                    <w:rPr>
                      <w:rFonts w:hint="eastAsia"/>
                      <w:color w:val="auto"/>
                      <w:kern w:val="0"/>
                      <w:sz w:val="18"/>
                      <w:szCs w:val="18"/>
                      <w:highlight w:val="none"/>
                    </w:rPr>
                    <w:t>环境风险防控</w:t>
                  </w:r>
                  <w:r>
                    <w:rPr>
                      <w:rFonts w:hint="eastAsia"/>
                      <w:color w:val="auto"/>
                      <w:kern w:val="0"/>
                      <w:sz w:val="18"/>
                      <w:szCs w:val="18"/>
                      <w:highlight w:val="none"/>
                      <w:lang w:val="en-US" w:eastAsia="zh-CN"/>
                    </w:rPr>
                    <w:t>要求建设相关设施和制度</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7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资源开发利用要求</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color w:val="auto"/>
                      <w:kern w:val="0"/>
                      <w:sz w:val="18"/>
                      <w:szCs w:val="18"/>
                      <w:highlight w:val="none"/>
                    </w:rPr>
                    <w:fldChar w:fldCharType="begin"/>
                  </w:r>
                  <w:r>
                    <w:rPr>
                      <w:color w:val="auto"/>
                      <w:kern w:val="0"/>
                      <w:sz w:val="18"/>
                      <w:szCs w:val="18"/>
                      <w:highlight w:val="none"/>
                    </w:rPr>
                    <w:instrText xml:space="preserve"> </w:instrText>
                  </w:r>
                  <w:r>
                    <w:rPr>
                      <w:rFonts w:hint="eastAsia"/>
                      <w:color w:val="auto"/>
                      <w:kern w:val="0"/>
                      <w:sz w:val="18"/>
                      <w:szCs w:val="18"/>
                      <w:highlight w:val="none"/>
                    </w:rPr>
                    <w:instrText xml:space="preserve">= 1 \* GB3</w:instrText>
                  </w:r>
                  <w:r>
                    <w:rPr>
                      <w:color w:val="auto"/>
                      <w:kern w:val="0"/>
                      <w:sz w:val="18"/>
                      <w:szCs w:val="18"/>
                      <w:highlight w:val="none"/>
                    </w:rPr>
                    <w:instrText xml:space="preserve"> </w:instrText>
                  </w:r>
                  <w:r>
                    <w:rPr>
                      <w:color w:val="auto"/>
                      <w:kern w:val="0"/>
                      <w:sz w:val="18"/>
                      <w:szCs w:val="18"/>
                      <w:highlight w:val="none"/>
                    </w:rPr>
                    <w:fldChar w:fldCharType="separate"/>
                  </w:r>
                  <w:r>
                    <w:rPr>
                      <w:rFonts w:hint="eastAsia"/>
                      <w:color w:val="auto"/>
                      <w:kern w:val="0"/>
                      <w:sz w:val="18"/>
                      <w:szCs w:val="18"/>
                      <w:highlight w:val="none"/>
                    </w:rPr>
                    <w:t>①</w:t>
                  </w:r>
                  <w:r>
                    <w:rPr>
                      <w:color w:val="auto"/>
                      <w:kern w:val="0"/>
                      <w:sz w:val="18"/>
                      <w:szCs w:val="18"/>
                      <w:highlight w:val="none"/>
                    </w:rPr>
                    <w:fldChar w:fldCharType="end"/>
                  </w:r>
                  <w:r>
                    <w:rPr>
                      <w:rFonts w:hint="eastAsia"/>
                      <w:color w:val="auto"/>
                      <w:kern w:val="0"/>
                      <w:sz w:val="18"/>
                      <w:szCs w:val="18"/>
                      <w:highlight w:val="none"/>
                    </w:rPr>
                    <w:t>禁止引入不符合国家产业政策、行业准入条件以及国家和地方明令禁止的项目；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rFonts w:hint="eastAsia"/>
                      <w:color w:val="auto"/>
                      <w:kern w:val="0"/>
                      <w:sz w:val="18"/>
                      <w:szCs w:val="18"/>
                      <w:highlight w:val="none"/>
                    </w:rPr>
                    <w:t>②禁止引入清洁生产水平达不到行业清洁生产水平二级标准或低于全国同类企业平均清洁生产水平的项目。</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①符合国家产业政策、行业准入条件；②清洁生产水平能够达到行业清洁生产水平二级标准</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78" w:type="dxa"/>
                  <w:vMerge w:val="restart"/>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柳池功能区</w:t>
                  </w: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空间布局约束</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rFonts w:hint="eastAsia"/>
                      <w:color w:val="auto"/>
                      <w:kern w:val="0"/>
                      <w:sz w:val="18"/>
                      <w:szCs w:val="18"/>
                      <w:highlight w:val="none"/>
                    </w:rPr>
                    <w:t>禁止引入以原矿为原料的有色金属冶炼、印染、皮革鞣制、制浆造纸、印制电路板、专业电镀、化工项目；</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color w:val="auto"/>
                      <w:kern w:val="0"/>
                      <w:sz w:val="18"/>
                      <w:szCs w:val="18"/>
                      <w:highlight w:val="none"/>
                      <w:lang w:val="en-US"/>
                    </w:rPr>
                  </w:pPr>
                  <w:r>
                    <w:rPr>
                      <w:rFonts w:hint="eastAsia"/>
                      <w:color w:val="auto"/>
                      <w:kern w:val="0"/>
                      <w:sz w:val="18"/>
                      <w:szCs w:val="18"/>
                      <w:highlight w:val="none"/>
                      <w:lang w:val="en-US" w:eastAsia="zh-CN"/>
                    </w:rPr>
                    <w:t>不属于禁止引入行业</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7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污染物排放管控</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rFonts w:hint="eastAsia"/>
                      <w:color w:val="auto"/>
                      <w:kern w:val="0"/>
                      <w:sz w:val="18"/>
                      <w:szCs w:val="18"/>
                      <w:highlight w:val="none"/>
                    </w:rPr>
                    <w:t>执行“总体管控要求及准入清单”。</w:t>
                  </w:r>
                </w:p>
              </w:tc>
              <w:tc>
                <w:tcPr>
                  <w:tcW w:w="158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满足</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7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环境风险防控</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rFonts w:hint="eastAsia"/>
                      <w:color w:val="auto"/>
                      <w:kern w:val="0"/>
                      <w:sz w:val="18"/>
                      <w:szCs w:val="18"/>
                      <w:highlight w:val="none"/>
                    </w:rPr>
                    <w:t>执行“总体管控要求及准入清单”。</w:t>
                  </w:r>
                </w:p>
              </w:tc>
              <w:tc>
                <w:tcPr>
                  <w:tcW w:w="1587"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lang w:val="en-US" w:eastAsia="zh-CN"/>
                    </w:rPr>
                    <w:t>满足</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7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p>
              </w:tc>
              <w:tc>
                <w:tcPr>
                  <w:tcW w:w="780"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rPr>
                    <w:t>资源开发利用要求</w:t>
                  </w:r>
                </w:p>
              </w:tc>
              <w:tc>
                <w:tcPr>
                  <w:tcW w:w="34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eastAsia"/>
                      <w:color w:val="auto"/>
                      <w:kern w:val="0"/>
                      <w:sz w:val="18"/>
                      <w:szCs w:val="18"/>
                      <w:highlight w:val="none"/>
                    </w:rPr>
                  </w:pPr>
                  <w:r>
                    <w:rPr>
                      <w:rFonts w:hint="eastAsia"/>
                      <w:color w:val="auto"/>
                      <w:kern w:val="0"/>
                      <w:sz w:val="18"/>
                      <w:szCs w:val="18"/>
                      <w:highlight w:val="none"/>
                    </w:rPr>
                    <w:t>执行“总体管控要求及准入清单”。</w:t>
                  </w:r>
                </w:p>
              </w:tc>
              <w:tc>
                <w:tcPr>
                  <w:tcW w:w="1587"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color w:val="auto"/>
                      <w:kern w:val="0"/>
                      <w:sz w:val="18"/>
                      <w:szCs w:val="18"/>
                      <w:highlight w:val="none"/>
                    </w:rPr>
                  </w:pPr>
                  <w:r>
                    <w:rPr>
                      <w:rFonts w:hint="eastAsia"/>
                      <w:color w:val="auto"/>
                      <w:kern w:val="0"/>
                      <w:sz w:val="18"/>
                      <w:szCs w:val="18"/>
                      <w:highlight w:val="none"/>
                      <w:lang w:val="en-US" w:eastAsia="zh-CN"/>
                    </w:rPr>
                    <w:t>满足</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符合</w:t>
                  </w:r>
                </w:p>
              </w:tc>
            </w:tr>
          </w:tbl>
          <w:p>
            <w:pPr>
              <w:autoSpaceDE w:val="0"/>
              <w:autoSpaceDN w:val="0"/>
              <w:adjustRightInd w:val="0"/>
              <w:snapToGrid w:val="0"/>
              <w:spacing w:line="400" w:lineRule="exact"/>
              <w:ind w:firstLine="420" w:firstLineChars="200"/>
              <w:jc w:val="left"/>
              <w:rPr>
                <w:rFonts w:hint="eastAsia" w:cs="Times New Roman"/>
                <w:color w:val="auto"/>
                <w:szCs w:val="21"/>
                <w:highlight w:val="none"/>
                <w:lang w:val="en-US" w:eastAsia="zh-CN"/>
              </w:rPr>
            </w:pPr>
            <w:r>
              <w:rPr>
                <w:rFonts w:hint="eastAsia" w:cs="Times New Roman"/>
                <w:color w:val="auto"/>
                <w:szCs w:val="21"/>
                <w:highlight w:val="none"/>
                <w:lang w:val="en-US" w:eastAsia="zh-CN"/>
              </w:rPr>
              <w:t>由上表可知，项目满足四川达州普光经济开发区总体管控要求、柳池功能区管控要求及准入清单的要求。</w:t>
            </w:r>
          </w:p>
          <w:p>
            <w:pPr>
              <w:autoSpaceDE w:val="0"/>
              <w:autoSpaceDN w:val="0"/>
              <w:adjustRightInd w:val="0"/>
              <w:snapToGrid w:val="0"/>
              <w:spacing w:line="400" w:lineRule="exact"/>
              <w:ind w:firstLine="420" w:firstLineChars="200"/>
              <w:jc w:val="left"/>
              <w:rPr>
                <w:color w:val="FF0000"/>
                <w:kern w:val="0"/>
                <w:szCs w:val="21"/>
              </w:rPr>
            </w:pPr>
            <w:r>
              <w:rPr>
                <w:rFonts w:hint="eastAsia" w:cs="Times New Roman"/>
                <w:color w:val="auto"/>
                <w:szCs w:val="21"/>
                <w:highlight w:val="none"/>
                <w:lang w:val="en-US" w:eastAsia="zh-CN"/>
              </w:rPr>
              <w:t>因此，本项目与《四川达州普光经济开发区总体规划（2019-2035）环境影响报告书》及其审查意见是相符的。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02" w:type="dxa"/>
            <w:noWrap w:val="0"/>
            <w:vAlign w:val="center"/>
          </w:tcPr>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r>
              <w:rPr>
                <w:b/>
                <w:bCs/>
                <w:color w:val="auto"/>
                <w:kern w:val="0"/>
                <w:szCs w:val="21"/>
              </w:rPr>
              <w:t>其他符合性分析</w:t>
            </w: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r>
              <w:rPr>
                <w:b/>
                <w:bCs/>
                <w:color w:val="auto"/>
                <w:kern w:val="0"/>
                <w:szCs w:val="21"/>
              </w:rPr>
              <w:t>其他符合性分析</w:t>
            </w: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r>
              <w:rPr>
                <w:b/>
                <w:bCs/>
                <w:color w:val="000000" w:themeColor="text1"/>
                <w:kern w:val="0"/>
                <w:szCs w:val="21"/>
              </w:rPr>
              <w:t>其他符合性分析</w:t>
            </w: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000000" w:themeColor="text1"/>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jc w:val="center"/>
              <w:rPr>
                <w:b/>
                <w:bCs/>
                <w:color w:val="FF0000"/>
                <w:kern w:val="0"/>
                <w:szCs w:val="21"/>
              </w:rPr>
            </w:pPr>
          </w:p>
          <w:p>
            <w:pPr>
              <w:autoSpaceDE w:val="0"/>
              <w:autoSpaceDN w:val="0"/>
              <w:adjustRightInd w:val="0"/>
              <w:snapToGrid w:val="0"/>
              <w:rPr>
                <w:rFonts w:hint="eastAsia" w:eastAsia="宋体"/>
                <w:b/>
                <w:bCs/>
                <w:color w:val="FF0000"/>
                <w:kern w:val="0"/>
                <w:szCs w:val="21"/>
                <w:lang w:eastAsia="zh-CN"/>
              </w:rPr>
            </w:pPr>
          </w:p>
        </w:tc>
        <w:tc>
          <w:tcPr>
            <w:tcW w:w="7168" w:type="dxa"/>
            <w:gridSpan w:val="3"/>
            <w:noWrap w:val="0"/>
            <w:vAlign w:val="center"/>
          </w:tcPr>
          <w:p>
            <w:p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eastAsia="zh-CN"/>
              </w:rPr>
            </w:pPr>
            <w:r>
              <w:rPr>
                <w:rFonts w:hint="eastAsia" w:ascii="Times New Roman" w:hAnsi="Times New Roman" w:eastAsia="黑体" w:cs="Times New Roman"/>
                <w:color w:val="auto"/>
                <w:kern w:val="0"/>
                <w:sz w:val="22"/>
                <w:szCs w:val="22"/>
                <w:lang w:val="en-US" w:eastAsia="zh-CN"/>
              </w:rPr>
              <w:t>1、</w:t>
            </w:r>
            <w:r>
              <w:rPr>
                <w:rFonts w:hint="eastAsia" w:ascii="Times New Roman" w:hAnsi="Times New Roman" w:eastAsia="黑体" w:cs="Times New Roman"/>
                <w:color w:val="auto"/>
                <w:kern w:val="0"/>
                <w:sz w:val="22"/>
                <w:szCs w:val="22"/>
                <w:lang w:val="zh-CN" w:eastAsia="zh-CN"/>
              </w:rPr>
              <w:t>产业政策符合性分析</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FF0000"/>
                <w:szCs w:val="21"/>
                <w:highlight w:val="yellow"/>
                <w:lang w:val="en-US" w:eastAsia="zh-CN"/>
              </w:rPr>
            </w:pPr>
            <w:r>
              <w:rPr>
                <w:rFonts w:hint="default" w:ascii="Times New Roman" w:hAnsi="Times New Roman" w:cs="Times New Roman"/>
                <w:color w:val="auto"/>
                <w:szCs w:val="21"/>
                <w:lang w:val="zh-CN" w:eastAsia="zh-CN"/>
              </w:rPr>
              <w:t>本项目为</w:t>
            </w:r>
            <w:r>
              <w:rPr>
                <w:rFonts w:hint="eastAsia" w:ascii="Times New Roman" w:hAnsi="Times New Roman" w:cs="Times New Roman"/>
                <w:color w:val="auto"/>
                <w:szCs w:val="21"/>
                <w:lang w:val="en-US" w:eastAsia="zh-CN"/>
              </w:rPr>
              <w:t>废矿物油收集、储存项目</w:t>
            </w:r>
            <w:r>
              <w:rPr>
                <w:rFonts w:hint="default" w:ascii="Times New Roman" w:hAnsi="Times New Roman" w:cs="Times New Roman"/>
                <w:color w:val="auto"/>
                <w:szCs w:val="21"/>
                <w:lang w:val="zh-CN" w:eastAsia="zh-CN"/>
              </w:rPr>
              <w:t>，</w:t>
            </w:r>
            <w:r>
              <w:rPr>
                <w:rFonts w:hint="eastAsia" w:ascii="Times New Roman" w:hAnsi="Times New Roman" w:cs="Times New Roman"/>
                <w:color w:val="auto"/>
                <w:szCs w:val="21"/>
                <w:lang w:val="en-US" w:eastAsia="zh-CN"/>
              </w:rPr>
              <w:t>根据</w:t>
            </w:r>
            <w:r>
              <w:rPr>
                <w:rFonts w:hint="default" w:ascii="Times New Roman" w:hAnsi="Times New Roman" w:cs="Times New Roman"/>
                <w:color w:val="auto"/>
                <w:szCs w:val="21"/>
                <w:lang w:val="zh-CN" w:eastAsia="zh-CN"/>
              </w:rPr>
              <w:t>《产业结构调整指导目录（201</w:t>
            </w: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lang w:val="zh-CN" w:eastAsia="zh-CN"/>
              </w:rPr>
              <w:t>年本）》，本项目产品、工艺及设备均不属于鼓励类、淘汰类和限制类的产业，项目属于允许类建设项目。</w:t>
            </w:r>
            <w:r>
              <w:rPr>
                <w:rFonts w:hint="eastAsia" w:ascii="Times New Roman" w:hAnsi="Times New Roman" w:cs="Times New Roman"/>
                <w:color w:val="auto"/>
                <w:szCs w:val="21"/>
                <w:highlight w:val="none"/>
                <w:lang w:val="en-US" w:eastAsia="zh-CN"/>
              </w:rPr>
              <w:t>项目</w:t>
            </w:r>
            <w:r>
              <w:rPr>
                <w:rFonts w:hint="default" w:ascii="Times New Roman" w:hAnsi="Times New Roman" w:cs="Times New Roman"/>
                <w:color w:val="auto"/>
                <w:szCs w:val="21"/>
                <w:highlight w:val="none"/>
                <w:lang w:val="zh-CN" w:eastAsia="zh-CN"/>
              </w:rPr>
              <w:t>已</w:t>
            </w:r>
            <w:r>
              <w:rPr>
                <w:rFonts w:hint="eastAsia" w:ascii="Times New Roman" w:hAnsi="Times New Roman" w:cs="Times New Roman"/>
                <w:color w:val="auto"/>
                <w:szCs w:val="21"/>
                <w:highlight w:val="none"/>
                <w:lang w:val="en-US" w:eastAsia="zh-CN"/>
              </w:rPr>
              <w:t>完成备案，备案号：</w:t>
            </w:r>
            <w:r>
              <w:rPr>
                <w:rFonts w:hint="default" w:ascii="Times New Roman" w:hAnsi="Times New Roman" w:cs="Times New Roman"/>
                <w:color w:val="auto"/>
                <w:szCs w:val="21"/>
                <w:highlight w:val="none"/>
                <w:lang w:val="en-US" w:eastAsia="zh-CN"/>
              </w:rPr>
              <w:t>川投资备【2204-511722-04-01-844127】FGQB-0160号</w:t>
            </w:r>
            <w:r>
              <w:rPr>
                <w:rFonts w:hint="eastAsia" w:ascii="Times New Roman" w:hAnsi="Times New Roman" w:cs="Times New Roman"/>
                <w:color w:val="auto"/>
                <w:szCs w:val="21"/>
                <w:highlight w:val="none"/>
                <w:lang w:val="en-US" w:eastAsia="zh-CN"/>
              </w:rPr>
              <w:t>。因此，本项目符合现行相关产业政策。</w:t>
            </w:r>
          </w:p>
          <w:p>
            <w:pPr>
              <w:autoSpaceDE w:val="0"/>
              <w:autoSpaceDN w:val="0"/>
              <w:adjustRightInd w:val="0"/>
              <w:snapToGrid w:val="0"/>
              <w:spacing w:line="400" w:lineRule="exact"/>
              <w:ind w:right="-31" w:rightChars="-15"/>
              <w:rPr>
                <w:rFonts w:hint="default" w:eastAsia="黑体"/>
                <w:color w:val="auto"/>
                <w:kern w:val="0"/>
                <w:sz w:val="22"/>
                <w:szCs w:val="22"/>
                <w:lang w:val="en-US" w:eastAsia="zh-CN"/>
              </w:rPr>
            </w:pPr>
            <w:r>
              <w:rPr>
                <w:rFonts w:hint="eastAsia" w:eastAsia="黑体"/>
                <w:color w:val="auto"/>
                <w:kern w:val="0"/>
                <w:sz w:val="22"/>
                <w:szCs w:val="22"/>
                <w:lang w:val="en-US" w:eastAsia="zh-CN"/>
              </w:rPr>
              <w:t>2、与饮用水源的关系</w:t>
            </w:r>
          </w:p>
          <w:p>
            <w:pPr>
              <w:autoSpaceDE w:val="0"/>
              <w:autoSpaceDN w:val="0"/>
              <w:adjustRightInd w:val="0"/>
              <w:snapToGrid w:val="0"/>
              <w:spacing w:line="400" w:lineRule="exact"/>
              <w:ind w:left="-31" w:leftChars="-15" w:right="-31" w:rightChars="-15" w:firstLine="422" w:firstLineChars="200"/>
              <w:rPr>
                <w:b/>
                <w:color w:val="auto"/>
                <w:szCs w:val="21"/>
                <w:lang w:val="zh-CN"/>
              </w:rPr>
            </w:pPr>
            <w:r>
              <w:rPr>
                <w:b/>
                <w:color w:val="auto"/>
                <w:szCs w:val="21"/>
                <w:lang w:val="zh-CN"/>
              </w:rPr>
              <w:t>（</w:t>
            </w:r>
            <w:r>
              <w:rPr>
                <w:b/>
                <w:color w:val="auto"/>
                <w:szCs w:val="21"/>
              </w:rPr>
              <w:t>1</w:t>
            </w:r>
            <w:r>
              <w:rPr>
                <w:b/>
                <w:color w:val="auto"/>
                <w:szCs w:val="21"/>
                <w:lang w:val="zh-CN"/>
              </w:rPr>
              <w:t>）生态</w:t>
            </w:r>
            <w:r>
              <w:rPr>
                <w:b/>
                <w:color w:val="auto"/>
                <w:szCs w:val="21"/>
              </w:rPr>
              <w:t>保护</w:t>
            </w:r>
            <w:r>
              <w:rPr>
                <w:b/>
                <w:color w:val="auto"/>
                <w:szCs w:val="21"/>
                <w:lang w:val="zh-CN"/>
              </w:rPr>
              <w:t>红线</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color w:val="auto"/>
                <w:szCs w:val="21"/>
              </w:rPr>
            </w:pPr>
            <w:r>
              <w:rPr>
                <w:rFonts w:hint="default"/>
                <w:color w:val="auto"/>
                <w:szCs w:val="21"/>
              </w:rPr>
              <w:t>本项目位于</w:t>
            </w:r>
            <w:r>
              <w:rPr>
                <w:rFonts w:hint="default"/>
                <w:color w:val="auto"/>
                <w:szCs w:val="21"/>
                <w:lang w:eastAsia="zh-CN"/>
              </w:rPr>
              <w:t>达州市宣汉县普光经济开发区柳池工业园弘泰电化厂区内</w:t>
            </w:r>
            <w:r>
              <w:rPr>
                <w:rFonts w:hint="default"/>
                <w:color w:val="auto"/>
                <w:szCs w:val="21"/>
                <w:lang w:val="en-US" w:eastAsia="zh-CN"/>
              </w:rPr>
              <w:t>。</w:t>
            </w:r>
            <w:r>
              <w:rPr>
                <w:rFonts w:hint="default"/>
                <w:color w:val="auto"/>
                <w:szCs w:val="21"/>
              </w:rPr>
              <w:t>根据达州市人民政府《关于划定</w:t>
            </w:r>
            <w:r>
              <w:rPr>
                <w:rFonts w:hint="default"/>
                <w:color w:val="auto"/>
                <w:szCs w:val="21"/>
                <w:lang w:val="en-US" w:eastAsia="zh-CN"/>
              </w:rPr>
              <w:t>万源市、宣汉县和大竹县</w:t>
            </w:r>
            <w:r>
              <w:rPr>
                <w:rFonts w:hint="default"/>
                <w:color w:val="auto"/>
                <w:szCs w:val="21"/>
              </w:rPr>
              <w:t>乡镇</w:t>
            </w:r>
            <w:r>
              <w:rPr>
                <w:rFonts w:hint="default"/>
                <w:color w:val="auto"/>
                <w:szCs w:val="21"/>
                <w:lang w:val="en-US" w:eastAsia="zh-CN"/>
              </w:rPr>
              <w:t>及以下</w:t>
            </w:r>
            <w:r>
              <w:rPr>
                <w:rFonts w:hint="default"/>
                <w:color w:val="auto"/>
                <w:szCs w:val="21"/>
              </w:rPr>
              <w:t>集中式饮用水水源保护</w:t>
            </w:r>
            <w:r>
              <w:rPr>
                <w:rFonts w:hint="default"/>
                <w:color w:val="auto"/>
                <w:szCs w:val="21"/>
                <w:lang w:val="en-US" w:eastAsia="zh-CN"/>
              </w:rPr>
              <w:t>地保护区</w:t>
            </w:r>
            <w:r>
              <w:rPr>
                <w:rFonts w:hint="default"/>
                <w:color w:val="auto"/>
                <w:szCs w:val="21"/>
              </w:rPr>
              <w:t>的批复》（达市府函[</w:t>
            </w:r>
            <w:r>
              <w:rPr>
                <w:rFonts w:hint="default"/>
                <w:color w:val="auto"/>
                <w:szCs w:val="21"/>
                <w:lang w:val="en-US" w:eastAsia="zh-CN"/>
              </w:rPr>
              <w:t>2020</w:t>
            </w:r>
            <w:r>
              <w:rPr>
                <w:rFonts w:hint="default"/>
                <w:color w:val="auto"/>
                <w:szCs w:val="21"/>
              </w:rPr>
              <w:t>]1</w:t>
            </w:r>
            <w:r>
              <w:rPr>
                <w:rFonts w:hint="default"/>
                <w:color w:val="auto"/>
                <w:szCs w:val="21"/>
                <w:lang w:val="en-US" w:eastAsia="zh-CN"/>
              </w:rPr>
              <w:t>24</w:t>
            </w:r>
            <w:r>
              <w:rPr>
                <w:rFonts w:hint="default"/>
                <w:color w:val="auto"/>
                <w:szCs w:val="21"/>
              </w:rPr>
              <w:t>号），项目所在区域</w:t>
            </w:r>
            <w:r>
              <w:rPr>
                <w:rFonts w:hint="eastAsia"/>
                <w:color w:val="auto"/>
                <w:szCs w:val="21"/>
                <w:lang w:val="en-US" w:eastAsia="zh-CN"/>
              </w:rPr>
              <w:t>西面约250m的凉水井水库为宣汉县蒲江街道凉水井水库(村级)集中式饮用水水源地（湖库型）。供水水厂</w:t>
            </w:r>
            <w:r>
              <w:rPr>
                <w:rFonts w:hint="default"/>
                <w:color w:val="auto"/>
                <w:szCs w:val="21"/>
              </w:rPr>
              <w:t>为</w:t>
            </w:r>
            <w:r>
              <w:rPr>
                <w:rFonts w:hint="default"/>
                <w:color w:val="auto"/>
                <w:szCs w:val="21"/>
                <w:lang w:val="en-US" w:eastAsia="zh-CN"/>
              </w:rPr>
              <w:t>宣汉县星源水利建设管理站凉水井供水站</w:t>
            </w:r>
            <w:r>
              <w:rPr>
                <w:rFonts w:hint="default"/>
                <w:color w:val="auto"/>
                <w:szCs w:val="21"/>
              </w:rPr>
              <w:t>，供水规模为</w:t>
            </w:r>
            <w:r>
              <w:rPr>
                <w:rFonts w:hint="eastAsia"/>
                <w:color w:val="auto"/>
                <w:szCs w:val="21"/>
                <w:lang w:val="en-US" w:eastAsia="zh-CN"/>
              </w:rPr>
              <w:t>5</w:t>
            </w:r>
            <w:r>
              <w:rPr>
                <w:rFonts w:hint="default"/>
                <w:color w:val="auto"/>
                <w:szCs w:val="21"/>
              </w:rPr>
              <w:t>00吨/天，供水范围为</w:t>
            </w:r>
            <w:r>
              <w:rPr>
                <w:rFonts w:hint="default"/>
                <w:color w:val="auto"/>
                <w:szCs w:val="21"/>
                <w:lang w:val="en-US" w:eastAsia="zh-CN"/>
              </w:rPr>
              <w:t>蒲江街道永安村、茅岭村、双河村，官渡村，兴隆村等5个村；</w:t>
            </w:r>
            <w:r>
              <w:rPr>
                <w:rFonts w:hint="default"/>
                <w:color w:val="auto"/>
                <w:szCs w:val="21"/>
              </w:rPr>
              <w:t>水厂取水水源为</w:t>
            </w:r>
            <w:r>
              <w:rPr>
                <w:rFonts w:hint="default"/>
                <w:color w:val="auto"/>
                <w:szCs w:val="21"/>
                <w:lang w:val="en-US" w:eastAsia="zh-CN"/>
              </w:rPr>
              <w:t>凉水井水库</w:t>
            </w:r>
            <w:r>
              <w:rPr>
                <w:rFonts w:hint="default"/>
                <w:color w:val="auto"/>
                <w:szCs w:val="21"/>
                <w:lang w:eastAsia="zh-CN"/>
              </w:rPr>
              <w:t>，</w:t>
            </w:r>
            <w:r>
              <w:rPr>
                <w:rFonts w:hint="default"/>
                <w:color w:val="auto"/>
                <w:szCs w:val="21"/>
              </w:rPr>
              <w:t>取水口位于</w:t>
            </w:r>
            <w:r>
              <w:rPr>
                <w:rFonts w:hint="default"/>
                <w:color w:val="auto"/>
                <w:szCs w:val="21"/>
                <w:lang w:val="en-US" w:eastAsia="zh-CN"/>
              </w:rPr>
              <w:t>普光镇柳坪村11组</w:t>
            </w:r>
            <w:r>
              <w:rPr>
                <w:rFonts w:hint="default"/>
                <w:color w:val="auto"/>
                <w:szCs w:val="21"/>
              </w:rPr>
              <w:t>（经度：E</w:t>
            </w:r>
            <w:r>
              <w:rPr>
                <w:rFonts w:hint="default"/>
                <w:color w:val="auto"/>
                <w:szCs w:val="21"/>
                <w:lang w:val="en-US" w:eastAsia="zh-CN"/>
              </w:rPr>
              <w:t>107°41′13.137″</w:t>
            </w:r>
            <w:r>
              <w:rPr>
                <w:rFonts w:hint="default"/>
                <w:color w:val="auto"/>
                <w:szCs w:val="21"/>
              </w:rPr>
              <w:t>，纬度：N</w:t>
            </w:r>
            <w:r>
              <w:rPr>
                <w:rFonts w:hint="default"/>
                <w:color w:val="auto"/>
                <w:szCs w:val="21"/>
                <w:lang w:val="en-US" w:eastAsia="zh-CN"/>
              </w:rPr>
              <w:t>31°225′28.86″</w:t>
            </w:r>
            <w:r>
              <w:rPr>
                <w:rFonts w:hint="default"/>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color w:val="auto"/>
                <w:szCs w:val="21"/>
              </w:rPr>
            </w:pPr>
            <w:r>
              <w:rPr>
                <w:rFonts w:hint="default"/>
                <w:color w:val="auto"/>
                <w:szCs w:val="21"/>
              </w:rPr>
              <w:t>项目与</w:t>
            </w:r>
            <w:r>
              <w:rPr>
                <w:rFonts w:hint="default"/>
                <w:color w:val="auto"/>
                <w:szCs w:val="21"/>
                <w:lang w:val="en-US" w:eastAsia="zh-CN"/>
              </w:rPr>
              <w:t>所在</w:t>
            </w:r>
            <w:r>
              <w:rPr>
                <w:rFonts w:hint="default" w:ascii="Times New Roman" w:hAnsi="Times New Roman" w:cs="Times New Roman"/>
                <w:color w:val="auto"/>
                <w:szCs w:val="21"/>
                <w:lang w:val="en-US" w:eastAsia="zh-CN"/>
              </w:rPr>
              <w:t>区域</w:t>
            </w:r>
            <w:r>
              <w:rPr>
                <w:rFonts w:hint="default"/>
                <w:color w:val="auto"/>
                <w:szCs w:val="21"/>
              </w:rPr>
              <w:t>饮用水取水点关系见下表。</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340" w:lineRule="exact"/>
              <w:ind w:firstLine="400" w:firstLineChars="200"/>
              <w:jc w:val="center"/>
              <w:textAlignment w:val="auto"/>
              <w:rPr>
                <w:rFonts w:hint="default" w:ascii="Times New Roman" w:hAnsi="Times New Roman" w:eastAsia="黑体" w:cs="Times New Roman"/>
                <w:color w:val="auto"/>
                <w:kern w:val="0"/>
                <w:sz w:val="18"/>
                <w:szCs w:val="18"/>
                <w:highlight w:val="none"/>
              </w:rPr>
            </w:pPr>
            <w:r>
              <w:rPr>
                <w:rFonts w:hint="default" w:ascii="Times New Roman" w:hAnsi="Times New Roman" w:eastAsia="黑体" w:cs="Times New Roman"/>
                <w:color w:val="auto"/>
                <w:kern w:val="0"/>
                <w:sz w:val="20"/>
                <w:szCs w:val="20"/>
                <w:lang w:val="zh-CN" w:eastAsia="zh-CN"/>
              </w:rPr>
              <w:t>表</w:t>
            </w:r>
            <w:r>
              <w:rPr>
                <w:rFonts w:hint="eastAsia" w:ascii="Times New Roman" w:hAnsi="Times New Roman" w:eastAsia="黑体" w:cs="Times New Roman"/>
                <w:color w:val="auto"/>
                <w:kern w:val="0"/>
                <w:sz w:val="20"/>
                <w:szCs w:val="20"/>
                <w:lang w:val="en-US" w:eastAsia="zh-CN"/>
              </w:rPr>
              <w:t>1-</w:t>
            </w:r>
            <w:r>
              <w:rPr>
                <w:rFonts w:hint="default" w:ascii="Times New Roman" w:hAnsi="Times New Roman"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lang w:val="zh-CN" w:eastAsia="zh-CN"/>
              </w:rPr>
              <w:t xml:space="preserve">  项目</w:t>
            </w:r>
            <w:r>
              <w:rPr>
                <w:rFonts w:hint="default" w:ascii="Times New Roman" w:hAnsi="Times New Roman" w:eastAsia="黑体" w:cs="Times New Roman"/>
                <w:color w:val="auto"/>
                <w:kern w:val="0"/>
                <w:sz w:val="20"/>
                <w:szCs w:val="20"/>
                <w:lang w:val="en-US" w:eastAsia="zh-CN"/>
              </w:rPr>
              <w:t>与所在区域</w:t>
            </w:r>
            <w:r>
              <w:rPr>
                <w:rFonts w:hint="default" w:ascii="Times New Roman" w:hAnsi="Times New Roman" w:eastAsia="黑体" w:cs="Times New Roman"/>
                <w:color w:val="auto"/>
                <w:kern w:val="0"/>
                <w:sz w:val="20"/>
                <w:szCs w:val="20"/>
                <w:lang w:val="zh-CN" w:eastAsia="zh-CN"/>
              </w:rPr>
              <w:t>饮用水取水点关系表</w:t>
            </w:r>
          </w:p>
          <w:tbl>
            <w:tblPr>
              <w:tblStyle w:val="15"/>
              <w:tblW w:w="6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04"/>
              <w:gridCol w:w="746"/>
              <w:gridCol w:w="440"/>
              <w:gridCol w:w="2147"/>
              <w:gridCol w:w="655"/>
              <w:gridCol w:w="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水源地名称</w:t>
                  </w:r>
                </w:p>
              </w:tc>
              <w:tc>
                <w:tcPr>
                  <w:tcW w:w="150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水厂信息</w:t>
                  </w:r>
                </w:p>
              </w:tc>
              <w:tc>
                <w:tcPr>
                  <w:tcW w:w="7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取水口信息</w:t>
                  </w:r>
                </w:p>
              </w:tc>
              <w:tc>
                <w:tcPr>
                  <w:tcW w:w="2587" w:type="dxa"/>
                  <w:gridSpan w:val="2"/>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保护范围</w:t>
                  </w:r>
                </w:p>
              </w:tc>
              <w:tc>
                <w:tcPr>
                  <w:tcW w:w="65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与</w:t>
                  </w:r>
                  <w:r>
                    <w:rPr>
                      <w:rFonts w:hint="eastAsia" w:ascii="Times New Roman" w:hAnsi="Times New Roman" w:cs="Times New Roman"/>
                      <w:b/>
                      <w:bCs/>
                      <w:color w:val="auto"/>
                      <w:kern w:val="0"/>
                      <w:sz w:val="18"/>
                      <w:szCs w:val="18"/>
                      <w:highlight w:val="none"/>
                      <w:lang w:val="en-US" w:eastAsia="zh-CN"/>
                    </w:rPr>
                    <w:t>项目区</w:t>
                  </w:r>
                  <w:r>
                    <w:rPr>
                      <w:rFonts w:hint="default" w:ascii="Times New Roman" w:hAnsi="Times New Roman" w:cs="Times New Roman"/>
                      <w:b/>
                      <w:bCs/>
                      <w:color w:val="auto"/>
                      <w:kern w:val="0"/>
                      <w:sz w:val="18"/>
                      <w:szCs w:val="18"/>
                      <w:highlight w:val="none"/>
                      <w:lang w:val="en-US" w:eastAsia="zh-CN"/>
                    </w:rPr>
                    <w:t>相对位置</w:t>
                  </w:r>
                </w:p>
              </w:tc>
              <w:tc>
                <w:tcPr>
                  <w:tcW w:w="59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6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宣汉县蒲江街道凉水井水库(村级)集中式饮用水水源地</w:t>
                  </w:r>
                  <w:r>
                    <w:rPr>
                      <w:rFonts w:hint="eastAsia" w:ascii="Times New Roman" w:hAnsi="Times New Roman" w:cs="Times New Roman"/>
                      <w:color w:val="auto"/>
                      <w:kern w:val="0"/>
                      <w:sz w:val="18"/>
                      <w:szCs w:val="18"/>
                      <w:highlight w:val="none"/>
                      <w:lang w:val="en-US" w:eastAsia="zh-CN"/>
                    </w:rPr>
                    <w:t>（湖库型）</w:t>
                  </w:r>
                </w:p>
              </w:tc>
              <w:tc>
                <w:tcPr>
                  <w:tcW w:w="1504"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b/>
                      <w:bCs/>
                      <w:color w:val="auto"/>
                      <w:kern w:val="0"/>
                      <w:sz w:val="18"/>
                      <w:szCs w:val="18"/>
                      <w:highlight w:val="none"/>
                      <w:lang w:val="en-US" w:eastAsia="zh-CN"/>
                    </w:rPr>
                    <w:t>水厂</w:t>
                  </w:r>
                  <w:r>
                    <w:rPr>
                      <w:rFonts w:hint="default" w:ascii="Times New Roman" w:hAnsi="Times New Roman" w:cs="Times New Roman"/>
                      <w:b/>
                      <w:bCs/>
                      <w:color w:val="auto"/>
                      <w:kern w:val="0"/>
                      <w:sz w:val="18"/>
                      <w:szCs w:val="18"/>
                      <w:highlight w:val="none"/>
                      <w:lang w:val="en-US" w:eastAsia="zh-CN"/>
                    </w:rPr>
                    <w:t>名称</w:t>
                  </w:r>
                  <w:r>
                    <w:rPr>
                      <w:rFonts w:hint="default" w:ascii="Times New Roman" w:hAnsi="Times New Roman" w:cs="Times New Roman"/>
                      <w:color w:val="auto"/>
                      <w:kern w:val="0"/>
                      <w:sz w:val="18"/>
                      <w:szCs w:val="18"/>
                      <w:highlight w:val="none"/>
                      <w:lang w:val="en-US" w:eastAsia="zh-CN"/>
                    </w:rPr>
                    <w:t>：宣汉县星源水利建设管理站凉水井供水站</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供水规模</w:t>
                  </w:r>
                  <w:r>
                    <w:rPr>
                      <w:rFonts w:hint="default"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t>5</w:t>
                  </w:r>
                  <w:r>
                    <w:rPr>
                      <w:rFonts w:hint="default" w:ascii="Times New Roman" w:hAnsi="Times New Roman" w:cs="Times New Roman"/>
                      <w:color w:val="auto"/>
                      <w:kern w:val="0"/>
                      <w:sz w:val="18"/>
                      <w:szCs w:val="18"/>
                      <w:highlight w:val="none"/>
                      <w:lang w:val="en-US" w:eastAsia="zh-CN"/>
                    </w:rPr>
                    <w:t>00t/d</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服务范围</w:t>
                  </w:r>
                  <w:r>
                    <w:rPr>
                      <w:rFonts w:hint="default" w:ascii="Times New Roman" w:hAnsi="Times New Roman" w:cs="Times New Roman"/>
                      <w:color w:val="auto"/>
                      <w:kern w:val="0"/>
                      <w:sz w:val="18"/>
                      <w:szCs w:val="18"/>
                      <w:highlight w:val="none"/>
                      <w:lang w:val="en-US" w:eastAsia="zh-CN"/>
                    </w:rPr>
                    <w:t>：蒲江街道永安村、茅岭村、双河村，官渡村，兴隆村等5个村</w:t>
                  </w:r>
                </w:p>
              </w:tc>
              <w:tc>
                <w:tcPr>
                  <w:tcW w:w="74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普光镇柳坪村11组</w:t>
                  </w:r>
                </w:p>
                <w:p>
                  <w:pPr>
                    <w:pStyle w:val="6"/>
                    <w:rPr>
                      <w:rFonts w:hint="default"/>
                      <w:color w:val="auto"/>
                      <w:lang w:val="en-US" w:eastAsia="zh-CN"/>
                    </w:rPr>
                  </w:pP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E10</w:t>
                  </w:r>
                  <w:r>
                    <w:rPr>
                      <w:rFonts w:hint="eastAsia" w:ascii="Times New Roman" w:hAnsi="Times New Roman" w:cs="Times New Roman"/>
                      <w:color w:val="auto"/>
                      <w:kern w:val="0"/>
                      <w:sz w:val="18"/>
                      <w:szCs w:val="18"/>
                      <w:highlight w:val="none"/>
                      <w:lang w:val="en-US" w:eastAsia="zh-CN"/>
                    </w:rPr>
                    <w:t>7</w:t>
                  </w:r>
                  <w:r>
                    <w:rPr>
                      <w:rFonts w:hint="default"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t>41</w:t>
                  </w:r>
                  <w:r>
                    <w:rPr>
                      <w:rFonts w:hint="default"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t>13.137</w:t>
                  </w:r>
                  <w:r>
                    <w:rPr>
                      <w:rFonts w:hint="default" w:ascii="Times New Roman" w:hAnsi="Times New Roman" w:cs="Times New Roman"/>
                      <w:color w:val="auto"/>
                      <w:kern w:val="0"/>
                      <w:sz w:val="18"/>
                      <w:szCs w:val="18"/>
                      <w:highlight w:val="none"/>
                      <w:lang w:val="en-US" w:eastAsia="zh-CN"/>
                    </w:rPr>
                    <w:t>″</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N31°</w:t>
                  </w:r>
                  <w:r>
                    <w:rPr>
                      <w:rFonts w:hint="eastAsia" w:ascii="Times New Roman" w:hAnsi="Times New Roman" w:cs="Times New Roman"/>
                      <w:color w:val="auto"/>
                      <w:kern w:val="0"/>
                      <w:sz w:val="18"/>
                      <w:szCs w:val="18"/>
                      <w:highlight w:val="none"/>
                      <w:lang w:val="en-US" w:eastAsia="zh-CN"/>
                    </w:rPr>
                    <w:t>225</w:t>
                  </w:r>
                  <w:r>
                    <w:rPr>
                      <w:rFonts w:hint="default"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t>28.86</w:t>
                  </w:r>
                  <w:r>
                    <w:rPr>
                      <w:rFonts w:hint="default" w:ascii="Times New Roman" w:hAnsi="Times New Roman" w:cs="Times New Roman"/>
                      <w:color w:val="auto"/>
                      <w:kern w:val="0"/>
                      <w:sz w:val="18"/>
                      <w:szCs w:val="18"/>
                      <w:highlight w:val="none"/>
                      <w:lang w:val="en-US" w:eastAsia="zh-CN"/>
                    </w:rPr>
                    <w:t>″</w:t>
                  </w:r>
                </w:p>
              </w:tc>
              <w:tc>
                <w:tcPr>
                  <w:tcW w:w="440"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214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：凉水井水库多年平均水位对应的高程线(64</w:t>
                  </w:r>
                  <w:r>
                    <w:rPr>
                      <w:rFonts w:hint="eastAsia"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rPr>
                    <w:t>9米)以下的全部水域范围。</w:t>
                  </w:r>
                </w:p>
              </w:tc>
              <w:tc>
                <w:tcPr>
                  <w:tcW w:w="65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东</w:t>
                  </w:r>
                  <w:r>
                    <w:rPr>
                      <w:rFonts w:hint="default" w:ascii="Times New Roman" w:hAnsi="Times New Roman" w:cs="Times New Roman"/>
                      <w:color w:val="auto"/>
                      <w:kern w:val="0"/>
                      <w:sz w:val="18"/>
                      <w:szCs w:val="18"/>
                      <w:highlight w:val="none"/>
                      <w:lang w:val="en-US" w:eastAsia="zh-CN"/>
                    </w:rPr>
                    <w:t>面</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250</w:t>
                  </w:r>
                  <w:r>
                    <w:rPr>
                      <w:rFonts w:hint="default" w:ascii="Times New Roman" w:hAnsi="Times New Roman" w:cs="Times New Roman"/>
                      <w:color w:val="auto"/>
                      <w:kern w:val="0"/>
                      <w:sz w:val="18"/>
                      <w:szCs w:val="18"/>
                      <w:highlight w:val="none"/>
                      <w:lang w:val="en-US" w:eastAsia="zh-CN"/>
                    </w:rPr>
                    <w:t>m</w:t>
                  </w:r>
                </w:p>
              </w:tc>
              <w:tc>
                <w:tcPr>
                  <w:tcW w:w="59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6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504"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4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440"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214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：凉水井水库一级保护区水域外200米范围内</w:t>
                  </w:r>
                  <w:r>
                    <w:rPr>
                      <w:rFonts w:hint="eastAsia"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但不超过分水岭的全部陆域范围。</w:t>
                  </w:r>
                </w:p>
              </w:tc>
              <w:tc>
                <w:tcPr>
                  <w:tcW w:w="65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东</w:t>
                  </w:r>
                  <w:r>
                    <w:rPr>
                      <w:rFonts w:hint="default" w:ascii="Times New Roman" w:hAnsi="Times New Roman" w:cs="Times New Roman"/>
                      <w:color w:val="auto"/>
                      <w:kern w:val="0"/>
                      <w:sz w:val="18"/>
                      <w:szCs w:val="18"/>
                      <w:highlight w:val="none"/>
                      <w:lang w:val="en-US" w:eastAsia="zh-CN"/>
                    </w:rPr>
                    <w:t>南面</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166</w:t>
                  </w:r>
                  <w:r>
                    <w:rPr>
                      <w:rFonts w:hint="default" w:ascii="Times New Roman" w:hAnsi="Times New Roman" w:cs="Times New Roman"/>
                      <w:color w:val="auto"/>
                      <w:kern w:val="0"/>
                      <w:sz w:val="18"/>
                      <w:szCs w:val="18"/>
                      <w:highlight w:val="none"/>
                      <w:lang w:val="en-US" w:eastAsia="zh-CN"/>
                    </w:rPr>
                    <w:t>m</w:t>
                  </w:r>
                </w:p>
              </w:tc>
              <w:tc>
                <w:tcPr>
                  <w:tcW w:w="59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6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504"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4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44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214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除一级保护区外，凉水井水库坝顶以上汇水范围内的全部水域陆域范围。</w:t>
                  </w:r>
                </w:p>
              </w:tc>
              <w:tc>
                <w:tcPr>
                  <w:tcW w:w="65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南面</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425</w:t>
                  </w:r>
                  <w:r>
                    <w:rPr>
                      <w:rFonts w:hint="default" w:ascii="Times New Roman" w:hAnsi="Times New Roman" w:cs="Times New Roman"/>
                      <w:color w:val="auto"/>
                      <w:kern w:val="0"/>
                      <w:sz w:val="18"/>
                      <w:szCs w:val="18"/>
                      <w:highlight w:val="none"/>
                      <w:lang w:val="en-US" w:eastAsia="zh-CN"/>
                    </w:rPr>
                    <w:t>m</w:t>
                  </w:r>
                </w:p>
              </w:tc>
              <w:tc>
                <w:tcPr>
                  <w:tcW w:w="59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color w:val="auto"/>
                <w:szCs w:val="21"/>
                <w:lang w:val="en-US" w:eastAsia="zh-CN"/>
              </w:rPr>
            </w:pPr>
            <w:r>
              <w:rPr>
                <w:rFonts w:hint="default"/>
                <w:color w:val="auto"/>
                <w:szCs w:val="21"/>
              </w:rPr>
              <w:t>由上表可知，本项目</w:t>
            </w:r>
            <w:r>
              <w:rPr>
                <w:rFonts w:hint="eastAsia"/>
                <w:color w:val="auto"/>
                <w:szCs w:val="21"/>
                <w:lang w:val="en-US" w:eastAsia="zh-CN"/>
              </w:rPr>
              <w:t>用地范围</w:t>
            </w:r>
            <w:r>
              <w:rPr>
                <w:rFonts w:hint="default"/>
                <w:color w:val="auto"/>
                <w:szCs w:val="21"/>
              </w:rPr>
              <w:t>不在</w:t>
            </w:r>
            <w:r>
              <w:rPr>
                <w:rFonts w:hint="default"/>
                <w:color w:val="auto"/>
                <w:szCs w:val="21"/>
                <w:lang w:val="en-US" w:eastAsia="zh-CN"/>
              </w:rPr>
              <w:t>宣汉县蒲江街道凉水井水库(村级)集中式饮用水水源地</w:t>
            </w:r>
            <w:r>
              <w:rPr>
                <w:rFonts w:hint="default"/>
                <w:color w:val="auto"/>
                <w:szCs w:val="21"/>
              </w:rPr>
              <w:t>取水点</w:t>
            </w:r>
            <w:r>
              <w:rPr>
                <w:rFonts w:hint="default"/>
                <w:color w:val="auto"/>
                <w:szCs w:val="21"/>
                <w:lang w:val="en-US" w:eastAsia="zh-CN"/>
              </w:rPr>
              <w:t>及其</w:t>
            </w:r>
            <w:r>
              <w:rPr>
                <w:rFonts w:hint="default"/>
                <w:color w:val="auto"/>
                <w:szCs w:val="21"/>
              </w:rPr>
              <w:t>一、二级保护区内。</w:t>
            </w:r>
          </w:p>
          <w:p>
            <w:pPr>
              <w:autoSpaceDE w:val="0"/>
              <w:autoSpaceDN w:val="0"/>
              <w:adjustRightInd w:val="0"/>
              <w:snapToGrid w:val="0"/>
              <w:spacing w:line="400" w:lineRule="exact"/>
              <w:ind w:right="-31" w:rightChars="-15"/>
              <w:rPr>
                <w:rFonts w:eastAsia="黑体"/>
                <w:color w:val="auto"/>
                <w:kern w:val="0"/>
                <w:sz w:val="22"/>
                <w:szCs w:val="22"/>
              </w:rPr>
            </w:pPr>
            <w:r>
              <w:rPr>
                <w:rFonts w:hint="eastAsia" w:eastAsia="黑体"/>
                <w:color w:val="auto"/>
                <w:kern w:val="0"/>
                <w:sz w:val="22"/>
                <w:szCs w:val="22"/>
                <w:lang w:val="en-US" w:eastAsia="zh-CN"/>
              </w:rPr>
              <w:t>3、</w:t>
            </w:r>
            <w:r>
              <w:rPr>
                <w:rFonts w:eastAsia="黑体"/>
                <w:color w:val="auto"/>
                <w:kern w:val="0"/>
                <w:sz w:val="22"/>
                <w:szCs w:val="22"/>
              </w:rPr>
              <w:t>与“三线一单”的符合性</w:t>
            </w:r>
          </w:p>
          <w:p>
            <w:pPr>
              <w:autoSpaceDE w:val="0"/>
              <w:autoSpaceDN w:val="0"/>
              <w:adjustRightInd w:val="0"/>
              <w:snapToGrid w:val="0"/>
              <w:spacing w:line="400" w:lineRule="exact"/>
              <w:ind w:left="-31" w:leftChars="-15" w:right="-31" w:rightChars="-15" w:firstLine="420" w:firstLineChars="200"/>
              <w:rPr>
                <w:rFonts w:hint="default"/>
                <w:color w:val="auto"/>
                <w:szCs w:val="21"/>
              </w:rPr>
            </w:pPr>
            <w:r>
              <w:rPr>
                <w:rFonts w:hint="default"/>
                <w:color w:val="auto"/>
                <w:szCs w:val="21"/>
              </w:rPr>
              <w:t>根据环境保护部文件《关于以改善环境质量为核心加强环境影响评价管理的通知》（环环评〔2016〕150号）的要求，建设项目选址选线、规模、性质和工艺路线等应与“生态保护红线、环境质量底线、资源利用上线和环境准入负面清单”（以下简称“三线一单”）进行对照。</w:t>
            </w:r>
          </w:p>
          <w:p>
            <w:pPr>
              <w:autoSpaceDE w:val="0"/>
              <w:autoSpaceDN w:val="0"/>
              <w:adjustRightInd w:val="0"/>
              <w:snapToGrid w:val="0"/>
              <w:spacing w:line="400" w:lineRule="exact"/>
              <w:ind w:left="-31" w:leftChars="-15" w:right="-31" w:rightChars="-15" w:firstLine="422" w:firstLineChars="200"/>
              <w:rPr>
                <w:rFonts w:hint="default"/>
                <w:b/>
                <w:bCs/>
                <w:color w:val="auto"/>
                <w:szCs w:val="21"/>
              </w:rPr>
            </w:pPr>
            <w:r>
              <w:rPr>
                <w:rFonts w:hint="default"/>
                <w:b/>
                <w:bCs/>
                <w:color w:val="auto"/>
                <w:szCs w:val="21"/>
                <w:lang w:eastAsia="zh-CN"/>
              </w:rPr>
              <w:t>（</w:t>
            </w:r>
            <w:r>
              <w:rPr>
                <w:rFonts w:hint="default"/>
                <w:b/>
                <w:bCs/>
                <w:color w:val="auto"/>
                <w:szCs w:val="21"/>
                <w:lang w:val="en-US" w:eastAsia="zh-CN"/>
              </w:rPr>
              <w:t>1</w:t>
            </w:r>
            <w:r>
              <w:rPr>
                <w:rFonts w:hint="default"/>
                <w:b/>
                <w:bCs/>
                <w:color w:val="auto"/>
                <w:szCs w:val="21"/>
                <w:lang w:eastAsia="zh-CN"/>
              </w:rPr>
              <w:t>）</w:t>
            </w:r>
            <w:r>
              <w:rPr>
                <w:rFonts w:hint="default"/>
                <w:b/>
                <w:bCs/>
                <w:color w:val="auto"/>
                <w:szCs w:val="21"/>
              </w:rPr>
              <w:t>生态保护红线</w:t>
            </w:r>
          </w:p>
          <w:p>
            <w:pPr>
              <w:autoSpaceDE w:val="0"/>
              <w:autoSpaceDN w:val="0"/>
              <w:adjustRightInd w:val="0"/>
              <w:snapToGrid w:val="0"/>
              <w:spacing w:line="400" w:lineRule="exact"/>
              <w:ind w:left="-31" w:leftChars="-15" w:right="-31" w:rightChars="-15" w:firstLine="420" w:firstLineChars="200"/>
              <w:rPr>
                <w:rFonts w:hint="default"/>
                <w:color w:val="auto"/>
                <w:szCs w:val="21"/>
              </w:rPr>
            </w:pPr>
            <w:r>
              <w:rPr>
                <w:rFonts w:hint="default"/>
                <w:color w:val="auto"/>
                <w:szCs w:val="21"/>
              </w:rPr>
              <w:t>根据</w:t>
            </w:r>
            <w:r>
              <w:rPr>
                <w:rFonts w:hint="default"/>
                <w:color w:val="auto"/>
                <w:szCs w:val="21"/>
                <w:lang w:val="zh-CN"/>
              </w:rPr>
              <w:t>四川省人民政府《关于印发四川省生态保护红线方案的通知》（川府发〔2018〕24号）</w:t>
            </w:r>
            <w:r>
              <w:rPr>
                <w:rFonts w:hint="default"/>
                <w:color w:val="auto"/>
                <w:szCs w:val="21"/>
              </w:rPr>
              <w:t>，达州市宣汉县、万源市的部分地区涉及“大巴山生物多样性维护—水源涵养生态保护红线”；大竹县的部分地区涉及“川东南石漠化敏感生态保护红线”；</w:t>
            </w:r>
            <w:r>
              <w:rPr>
                <w:rFonts w:hint="default"/>
                <w:color w:val="auto"/>
                <w:szCs w:val="21"/>
                <w:lang w:val="zh-CN"/>
              </w:rPr>
              <w:t>达州市</w:t>
            </w:r>
            <w:r>
              <w:rPr>
                <w:rFonts w:hint="default"/>
                <w:color w:val="auto"/>
                <w:szCs w:val="21"/>
              </w:rPr>
              <w:t>及其区县的城市饮用水源保护区和零散分布于四川盆地的自然保护区、风景名胜区、湿地公园、地质公园等各类生态保护重要区域为“盆中城市饮用水源—水土保持生态保护红线”。</w:t>
            </w:r>
          </w:p>
          <w:p>
            <w:pPr>
              <w:autoSpaceDE w:val="0"/>
              <w:autoSpaceDN w:val="0"/>
              <w:adjustRightInd w:val="0"/>
              <w:snapToGrid w:val="0"/>
              <w:spacing w:line="400" w:lineRule="exact"/>
              <w:ind w:left="-31" w:leftChars="-15" w:right="-31" w:rightChars="-15" w:firstLine="420" w:firstLineChars="200"/>
              <w:rPr>
                <w:rFonts w:hint="default"/>
                <w:color w:val="auto"/>
                <w:szCs w:val="21"/>
                <w:lang w:val="zh-CN"/>
              </w:rPr>
            </w:pPr>
            <w:r>
              <w:rPr>
                <w:rFonts w:hint="default"/>
                <w:color w:val="auto"/>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00" w:lineRule="exact"/>
              <w:ind w:left="-31" w:leftChars="-15" w:right="-31" w:rightChars="-15" w:firstLine="422" w:firstLineChars="200"/>
              <w:rPr>
                <w:rFonts w:hint="default"/>
                <w:color w:val="auto"/>
                <w:szCs w:val="21"/>
                <w:lang w:val="zh-CN"/>
              </w:rPr>
            </w:pPr>
            <w:r>
              <w:rPr>
                <w:rFonts w:hint="default"/>
                <w:b/>
                <w:bCs/>
                <w:color w:val="auto"/>
                <w:szCs w:val="21"/>
                <w:lang w:val="zh-CN"/>
              </w:rPr>
              <w:t>优先保护单元。</w:t>
            </w:r>
            <w:r>
              <w:rPr>
                <w:rFonts w:hint="default"/>
                <w:color w:val="auto"/>
                <w:szCs w:val="21"/>
                <w:lang w:val="zh-CN"/>
              </w:rPr>
              <w:t>以生态环境保护为主的区域，全市划分优先保护单元17个，主要包括生态保护红线、自然保护地、饮用水水源保护区等。</w:t>
            </w:r>
          </w:p>
          <w:p>
            <w:pPr>
              <w:autoSpaceDE w:val="0"/>
              <w:autoSpaceDN w:val="0"/>
              <w:adjustRightInd w:val="0"/>
              <w:snapToGrid w:val="0"/>
              <w:spacing w:line="400" w:lineRule="exact"/>
              <w:ind w:left="-31" w:leftChars="-15" w:right="-31" w:rightChars="-15" w:firstLine="422" w:firstLineChars="200"/>
              <w:rPr>
                <w:rFonts w:hint="default"/>
                <w:color w:val="auto"/>
                <w:szCs w:val="21"/>
                <w:lang w:val="zh-CN"/>
              </w:rPr>
            </w:pPr>
            <w:r>
              <w:rPr>
                <w:rFonts w:hint="default"/>
                <w:b/>
                <w:bCs/>
                <w:color w:val="auto"/>
                <w:szCs w:val="21"/>
                <w:lang w:val="zh-CN"/>
              </w:rPr>
              <w:t>重点管控单元。</w:t>
            </w:r>
            <w:r>
              <w:rPr>
                <w:rFonts w:hint="default"/>
                <w:color w:val="auto"/>
                <w:szCs w:val="21"/>
                <w:lang w:val="zh-CN"/>
              </w:rPr>
              <w:t>涉及水、大气、土壤、自然资源等资源环境要素重点管控的区域，全市划分重点管控单元22个，主要包括人口密集的城镇规划区和产业集聚的工业园区（工业集聚区）等</w:t>
            </w:r>
            <w:r>
              <w:rPr>
                <w:rFonts w:hint="eastAsia"/>
                <w:color w:val="auto"/>
                <w:szCs w:val="21"/>
                <w:lang w:val="zh-CN"/>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adjustRightInd w:val="0"/>
              <w:snapToGrid w:val="0"/>
              <w:spacing w:line="400" w:lineRule="exact"/>
              <w:ind w:left="-31" w:leftChars="-15" w:right="-31" w:rightChars="-15" w:firstLine="422" w:firstLineChars="200"/>
              <w:rPr>
                <w:rFonts w:hint="default"/>
                <w:color w:val="auto"/>
                <w:szCs w:val="21"/>
                <w:lang w:val="zh-CN"/>
              </w:rPr>
            </w:pPr>
            <w:r>
              <w:rPr>
                <w:rFonts w:hint="default"/>
                <w:b/>
                <w:bCs/>
                <w:color w:val="auto"/>
                <w:szCs w:val="21"/>
                <w:lang w:val="zh-CN"/>
              </w:rPr>
              <w:t>一般管控单元。</w:t>
            </w:r>
            <w:r>
              <w:rPr>
                <w:rFonts w:hint="default"/>
                <w:color w:val="auto"/>
                <w:szCs w:val="21"/>
                <w:lang w:val="zh-CN"/>
              </w:rPr>
              <w:t>除优先保护单元和重点管控单元之外的其他区域，全市共划分一般管控单元7个。</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eastAsia="黑体" w:cs="Times New Roman"/>
                <w:color w:val="auto"/>
                <w:kern w:val="0"/>
                <w:sz w:val="20"/>
                <w:szCs w:val="20"/>
                <w:highlight w:val="none"/>
              </w:rPr>
            </w:pPr>
            <w:r>
              <w:rPr>
                <w:color w:val="auto"/>
                <w:szCs w:val="21"/>
                <w:lang w:val="zh-CN"/>
              </w:rPr>
              <w:t>本项目位于</w:t>
            </w:r>
            <w:r>
              <w:rPr>
                <w:rFonts w:hint="eastAsia"/>
                <w:color w:val="auto"/>
                <w:szCs w:val="21"/>
                <w:lang w:val="zh-CN"/>
              </w:rPr>
              <w:t>达州</w:t>
            </w:r>
            <w:r>
              <w:rPr>
                <w:rFonts w:hint="eastAsia" w:ascii="Times New Roman" w:hAnsi="Times New Roman" w:cs="Times New Roman"/>
                <w:color w:val="auto"/>
                <w:szCs w:val="21"/>
                <w:lang w:val="zh-CN"/>
              </w:rPr>
              <w:t>市宣汉县普光经济开发区柳池工业园</w:t>
            </w:r>
            <w:r>
              <w:rPr>
                <w:rFonts w:hint="default" w:ascii="Times New Roman" w:hAnsi="Times New Roman" w:cs="Times New Roman"/>
                <w:color w:val="auto"/>
                <w:szCs w:val="21"/>
                <w:lang w:val="zh-CN"/>
              </w:rPr>
              <w:t>，</w:t>
            </w:r>
            <w:r>
              <w:rPr>
                <w:rFonts w:hint="default" w:ascii="Times New Roman" w:hAnsi="Times New Roman" w:cs="Times New Roman"/>
                <w:color w:val="auto"/>
                <w:szCs w:val="21"/>
                <w:lang w:val="en-US" w:eastAsia="zh-CN"/>
              </w:rPr>
              <w:t>项目涉及到环境管控单元</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个，涉及到管控单元见下表。</w:t>
            </w:r>
          </w:p>
          <w:p>
            <w:pPr>
              <w:autoSpaceDE w:val="0"/>
              <w:autoSpaceDN w:val="0"/>
              <w:adjustRightInd w:val="0"/>
              <w:snapToGrid w:val="0"/>
              <w:spacing w:line="360" w:lineRule="exact"/>
              <w:jc w:val="center"/>
              <w:rPr>
                <w:rFonts w:hint="default" w:ascii="Times New Roman" w:hAnsi="Times New Roman" w:eastAsia="黑体" w:cs="Times New Roman"/>
                <w:color w:val="auto"/>
                <w:kern w:val="0"/>
                <w:szCs w:val="21"/>
                <w:lang w:val="en-US" w:eastAsia="zh-CN"/>
              </w:rPr>
            </w:pPr>
            <w:r>
              <w:rPr>
                <w:rFonts w:hint="default" w:ascii="Times New Roman" w:hAnsi="Times New Roman" w:eastAsia="黑体" w:cs="Times New Roman"/>
                <w:color w:val="auto"/>
                <w:kern w:val="0"/>
                <w:sz w:val="20"/>
                <w:szCs w:val="20"/>
                <w:lang w:val="zh-CN" w:eastAsia="zh-CN"/>
              </w:rPr>
              <w:t>表</w:t>
            </w:r>
            <w:r>
              <w:rPr>
                <w:rFonts w:hint="eastAsia" w:ascii="Times New Roman" w:hAnsi="Times New Roman" w:eastAsia="黑体" w:cs="Times New Roman"/>
                <w:color w:val="auto"/>
                <w:kern w:val="0"/>
                <w:sz w:val="20"/>
                <w:szCs w:val="20"/>
                <w:lang w:val="en-US" w:eastAsia="zh-CN"/>
              </w:rPr>
              <w:t xml:space="preserve">1-3 </w:t>
            </w:r>
            <w:r>
              <w:rPr>
                <w:rFonts w:hint="default" w:ascii="Times New Roman" w:hAnsi="Times New Roman" w:eastAsia="黑体" w:cs="Times New Roman"/>
                <w:color w:val="auto"/>
                <w:kern w:val="0"/>
                <w:sz w:val="20"/>
                <w:szCs w:val="20"/>
                <w:lang w:val="zh-CN" w:eastAsia="zh-CN"/>
              </w:rPr>
              <w:t xml:space="preserve"> 项目涉及到管控单元</w:t>
            </w:r>
            <w:r>
              <w:rPr>
                <w:rFonts w:hint="default" w:ascii="Times New Roman" w:hAnsi="Times New Roman" w:eastAsia="黑体" w:cs="Times New Roman"/>
                <w:color w:val="auto"/>
                <w:kern w:val="0"/>
                <w:sz w:val="20"/>
                <w:szCs w:val="20"/>
                <w:lang w:val="en-US" w:eastAsia="zh-CN"/>
              </w:rPr>
              <w:t>一览表</w:t>
            </w:r>
          </w:p>
          <w:tbl>
            <w:tblPr>
              <w:tblStyle w:val="14"/>
              <w:tblW w:w="6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517"/>
              <w:gridCol w:w="600"/>
              <w:gridCol w:w="611"/>
              <w:gridCol w:w="1297"/>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45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环境管控单元编码</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环境管控单元名称</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所属</w:t>
                  </w:r>
                </w:p>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城市</w:t>
                  </w: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所属</w:t>
                  </w:r>
                </w:p>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区县</w:t>
                  </w:r>
                </w:p>
              </w:tc>
              <w:tc>
                <w:tcPr>
                  <w:tcW w:w="12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准入清单类型</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b/>
                      <w:bCs/>
                      <w:color w:val="auto"/>
                      <w:spacing w:val="-1"/>
                      <w:sz w:val="18"/>
                      <w:szCs w:val="18"/>
                      <w:lang w:val="en-US" w:eastAsia="zh-CN"/>
                    </w:rPr>
                  </w:pPr>
                  <w:r>
                    <w:rPr>
                      <w:rFonts w:hint="default" w:ascii="Times New Roman" w:hAnsi="Times New Roman" w:cs="Times New Roman"/>
                      <w:b/>
                      <w:bCs/>
                      <w:color w:val="auto"/>
                      <w:spacing w:val="-1"/>
                      <w:sz w:val="18"/>
                      <w:szCs w:val="18"/>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blHeader/>
                <w:jc w:val="center"/>
              </w:trPr>
              <w:tc>
                <w:tcPr>
                  <w:tcW w:w="145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ZH51172220002</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四川达州普光经济开发区（含锂钾综合开发产业园）</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达州市</w:t>
                  </w: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宣汉县</w:t>
                  </w:r>
                </w:p>
              </w:tc>
              <w:tc>
                <w:tcPr>
                  <w:tcW w:w="12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环境管控单元-单元管控要求</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45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YS5117222210001</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州河宣汉县张鼓坪控制单元</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达州市</w:t>
                  </w: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宣汉县</w:t>
                  </w:r>
                </w:p>
              </w:tc>
              <w:tc>
                <w:tcPr>
                  <w:tcW w:w="12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水环境一般分区</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blHeader/>
                <w:jc w:val="center"/>
              </w:trPr>
              <w:tc>
                <w:tcPr>
                  <w:tcW w:w="145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YS5117222310001</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四川达州普光经济开发区（含锂钾综合开发产业园）</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达州市</w:t>
                  </w: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宣汉县</w:t>
                  </w:r>
                </w:p>
              </w:tc>
              <w:tc>
                <w:tcPr>
                  <w:tcW w:w="12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大气环境一般分区</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84" w:leftChars="-40" w:right="-84" w:rightChars="-4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大气环境高排放重点管控区</w:t>
                  </w:r>
                </w:p>
              </w:tc>
            </w:tr>
          </w:tbl>
          <w:p>
            <w:pPr>
              <w:autoSpaceDE w:val="0"/>
              <w:autoSpaceDN w:val="0"/>
              <w:adjustRightInd w:val="0"/>
              <w:snapToGrid w:val="0"/>
              <w:spacing w:line="400" w:lineRule="exact"/>
              <w:ind w:left="-31" w:leftChars="-15" w:right="-31" w:rightChars="-15" w:firstLine="420" w:firstLineChars="200"/>
              <w:rPr>
                <w:rFonts w:hint="eastAsia" w:eastAsia="宋体"/>
                <w:color w:val="auto"/>
                <w:szCs w:val="21"/>
                <w:lang w:eastAsia="zh-CN"/>
              </w:rPr>
            </w:pPr>
            <w:r>
              <w:rPr>
                <w:rFonts w:hint="default"/>
                <w:color w:val="auto"/>
                <w:szCs w:val="21"/>
                <w:lang w:eastAsia="zh-CN"/>
              </w:rPr>
              <w:t>达州市闽通环保科技有限公司</w:t>
            </w:r>
            <w:r>
              <w:rPr>
                <w:rFonts w:hint="eastAsia"/>
                <w:color w:val="auto"/>
                <w:szCs w:val="21"/>
                <w:lang w:eastAsia="zh-CN"/>
              </w:rPr>
              <w:t>宣汉闽通再生资源回收储存项目</w:t>
            </w:r>
            <w:r>
              <w:rPr>
                <w:rFonts w:hint="default"/>
                <w:color w:val="auto"/>
                <w:szCs w:val="21"/>
              </w:rPr>
              <w:t>项目位于达州市宣汉县环境综合管控单元工业重点管控单元（管控单元名称：四川达州普光经济开发区（含锂钾综合开发产业园），管控单元编号：ZH51172220002）</w:t>
            </w:r>
            <w:r>
              <w:rPr>
                <w:rFonts w:hint="eastAsia"/>
                <w:color w:val="auto"/>
                <w:szCs w:val="21"/>
                <w:lang w:eastAsia="zh-CN"/>
              </w:rPr>
              <w:t>。</w:t>
            </w:r>
          </w:p>
          <w:p>
            <w:pPr>
              <w:autoSpaceDE w:val="0"/>
              <w:autoSpaceDN w:val="0"/>
              <w:adjustRightInd w:val="0"/>
              <w:snapToGrid w:val="0"/>
              <w:spacing w:line="400" w:lineRule="exact"/>
              <w:ind w:left="-31" w:leftChars="-15" w:right="-31" w:rightChars="-15" w:firstLine="420" w:firstLineChars="200"/>
              <w:rPr>
                <w:rFonts w:hint="default"/>
                <w:color w:val="auto"/>
                <w:szCs w:val="21"/>
                <w:lang w:eastAsia="zh-CN"/>
              </w:rPr>
            </w:pPr>
            <w:r>
              <w:rPr>
                <w:rFonts w:hint="default"/>
                <w:color w:val="auto"/>
                <w:szCs w:val="21"/>
              </w:rPr>
              <w:t>项目与管控单元相对位置如下图所示</w:t>
            </w:r>
            <w:r>
              <w:rPr>
                <w:rFonts w:hint="default"/>
                <w:color w:val="auto"/>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pict>
                <v:shape id="_x0000_s1088" o:spid="_x0000_s1088" o:spt="75" type="#_x0000_t75" style="position:absolute;left:0pt;margin-left:3.3pt;margin-top:0.85pt;height:203.45pt;width:338.9pt;mso-wrap-distance-bottom:0pt;mso-wrap-distance-left:9pt;mso-wrap-distance-right:9pt;mso-wrap-distance-top:0pt;z-index:251664384;mso-width-relative:page;mso-height-relative:page;" filled="f" o:preferrelative="t" stroked="f" coordsize="21600,21600">
                  <v:path/>
                  <v:fill on="f" focussize="0,0"/>
                  <v:stroke on="f"/>
                  <v:imagedata r:id="rId13" o:title=""/>
                  <o:lock v:ext="edit" aspectratio="t"/>
                  <w10:wrap type="square"/>
                </v:shape>
              </w:pict>
            </w:r>
            <w:r>
              <w:rPr>
                <w:rFonts w:hint="default" w:ascii="Times New Roman" w:hAnsi="Times New Roman" w:eastAsia="黑体" w:cs="Times New Roman"/>
                <w:color w:val="auto"/>
                <w:kern w:val="0"/>
                <w:sz w:val="20"/>
                <w:szCs w:val="20"/>
                <w:lang w:val="en-US" w:eastAsia="zh-CN"/>
              </w:rPr>
              <w:t>图</w:t>
            </w:r>
            <w:r>
              <w:rPr>
                <w:rFonts w:hint="eastAsia" w:ascii="Times New Roman" w:hAnsi="Times New Roman" w:eastAsia="黑体" w:cs="Times New Roman"/>
                <w:color w:val="auto"/>
                <w:kern w:val="0"/>
                <w:sz w:val="20"/>
                <w:szCs w:val="20"/>
                <w:lang w:val="en-US" w:eastAsia="zh-CN"/>
              </w:rPr>
              <w:t>1-1</w:t>
            </w:r>
            <w:r>
              <w:rPr>
                <w:rFonts w:hint="default" w:ascii="Times New Roman" w:hAnsi="Times New Roman" w:eastAsia="黑体" w:cs="Times New Roman"/>
                <w:color w:val="auto"/>
                <w:kern w:val="0"/>
                <w:sz w:val="20"/>
                <w:szCs w:val="20"/>
                <w:lang w:val="en-US" w:eastAsia="zh-CN"/>
              </w:rPr>
              <w:t>：项目与环境综合管控单元的位置关系图</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eastAsia="zh-CN"/>
              </w:rPr>
              <w:t>项目所在区域属于工业重点管控单元，项目区</w:t>
            </w:r>
            <w:r>
              <w:rPr>
                <w:rFonts w:hint="default" w:ascii="Times New Roman" w:hAnsi="Times New Roman" w:cs="Times New Roman"/>
                <w:color w:val="auto"/>
                <w:szCs w:val="21"/>
                <w:lang w:val="zh-CN"/>
              </w:rPr>
              <w:t>不在饮用水源保护区、自然保护区、风景名胜区、湿地公园、地质公园等各类生态保护红线范围内。</w:t>
            </w:r>
          </w:p>
          <w:p>
            <w:pPr>
              <w:autoSpaceDE w:val="0"/>
              <w:autoSpaceDN w:val="0"/>
              <w:adjustRightInd w:val="0"/>
              <w:snapToGrid w:val="0"/>
              <w:spacing w:line="400" w:lineRule="exact"/>
              <w:ind w:left="-31" w:leftChars="-15" w:right="-31" w:rightChars="-15" w:firstLine="422" w:firstLineChars="200"/>
              <w:rPr>
                <w:b/>
                <w:color w:val="auto"/>
                <w:szCs w:val="21"/>
                <w:lang w:val="zh-CN"/>
              </w:rPr>
            </w:pPr>
            <w:r>
              <w:rPr>
                <w:b/>
                <w:color w:val="auto"/>
                <w:szCs w:val="21"/>
                <w:lang w:val="zh-CN"/>
              </w:rPr>
              <w:t>（</w:t>
            </w:r>
            <w:r>
              <w:rPr>
                <w:b/>
                <w:color w:val="auto"/>
                <w:szCs w:val="21"/>
              </w:rPr>
              <w:t>2</w:t>
            </w:r>
            <w:r>
              <w:rPr>
                <w:b/>
                <w:color w:val="auto"/>
                <w:szCs w:val="21"/>
                <w:lang w:val="zh-CN"/>
              </w:rPr>
              <w:t>）环境质量底线</w:t>
            </w:r>
          </w:p>
          <w:p>
            <w:pPr>
              <w:autoSpaceDE w:val="0"/>
              <w:autoSpaceDN w:val="0"/>
              <w:adjustRightInd w:val="0"/>
              <w:snapToGrid w:val="0"/>
              <w:spacing w:line="400" w:lineRule="exact"/>
              <w:ind w:left="-31" w:leftChars="-15" w:right="-31" w:rightChars="-15" w:firstLine="420" w:firstLineChars="200"/>
              <w:rPr>
                <w:color w:val="auto"/>
                <w:szCs w:val="21"/>
                <w:lang w:val="zh-CN"/>
              </w:rPr>
            </w:pPr>
            <w:r>
              <w:rPr>
                <w:color w:val="auto"/>
                <w:szCs w:val="21"/>
                <w:lang w:val="zh-CN"/>
              </w:rPr>
              <w:t>根据环境现状调查，项目</w:t>
            </w:r>
            <w:r>
              <w:rPr>
                <w:rFonts w:hint="eastAsia"/>
                <w:color w:val="auto"/>
                <w:szCs w:val="21"/>
                <w:lang w:val="en-US" w:eastAsia="zh-CN"/>
              </w:rPr>
              <w:t>位于</w:t>
            </w:r>
            <w:r>
              <w:rPr>
                <w:rFonts w:hint="eastAsia"/>
                <w:color w:val="auto"/>
                <w:szCs w:val="21"/>
                <w:lang w:val="zh-CN" w:eastAsia="zh-CN"/>
              </w:rPr>
              <w:t>达州市宣汉县普光经济开发区柳池工业园，区域</w:t>
            </w:r>
            <w:r>
              <w:rPr>
                <w:color w:val="auto"/>
                <w:szCs w:val="21"/>
                <w:lang w:val="zh-CN"/>
              </w:rPr>
              <w:t>属于环境空气质量达标区。项目区</w:t>
            </w:r>
            <w:r>
              <w:rPr>
                <w:rFonts w:hint="eastAsia"/>
                <w:color w:val="auto"/>
                <w:szCs w:val="21"/>
                <w:lang w:val="en-US" w:eastAsia="zh-CN"/>
              </w:rPr>
              <w:t>附近</w:t>
            </w:r>
            <w:r>
              <w:rPr>
                <w:color w:val="auto"/>
                <w:szCs w:val="21"/>
                <w:lang w:val="zh-CN"/>
              </w:rPr>
              <w:t>地表水体</w:t>
            </w:r>
            <w:r>
              <w:rPr>
                <w:rFonts w:hint="eastAsia"/>
                <w:color w:val="auto"/>
                <w:szCs w:val="21"/>
                <w:lang w:val="en-US" w:eastAsia="zh-CN"/>
              </w:rPr>
              <w:t>后</w:t>
            </w:r>
            <w:r>
              <w:rPr>
                <w:color w:val="auto"/>
                <w:szCs w:val="21"/>
              </w:rPr>
              <w:t>河</w:t>
            </w:r>
            <w:r>
              <w:rPr>
                <w:color w:val="auto"/>
                <w:szCs w:val="21"/>
                <w:lang w:val="zh-CN"/>
              </w:rPr>
              <w:t>水质符合《地表水环境质量标准》(GB3838-2002)表1的Ⅲ类标准</w:t>
            </w:r>
            <w:r>
              <w:rPr>
                <w:rFonts w:hint="eastAsia"/>
                <w:color w:val="auto"/>
                <w:szCs w:val="21"/>
                <w:lang w:val="zh-CN"/>
              </w:rPr>
              <w:t>，</w:t>
            </w:r>
            <w:r>
              <w:rPr>
                <w:rFonts w:hint="eastAsia"/>
                <w:color w:val="auto"/>
                <w:szCs w:val="21"/>
                <w:lang w:val="zh-CN" w:eastAsia="zh-CN"/>
              </w:rPr>
              <w:t>项目生活污水依托已有设施收集后</w:t>
            </w:r>
            <w:r>
              <w:rPr>
                <w:rFonts w:hint="eastAsia"/>
                <w:color w:val="auto"/>
                <w:szCs w:val="21"/>
                <w:lang w:val="en-US" w:eastAsia="zh-CN"/>
              </w:rPr>
              <w:t>排</w:t>
            </w:r>
            <w:r>
              <w:rPr>
                <w:rFonts w:hint="eastAsia"/>
                <w:color w:val="auto"/>
                <w:szCs w:val="21"/>
                <w:lang w:val="zh-CN" w:eastAsia="zh-CN"/>
              </w:rPr>
              <w:t>入园区污水处理厂，不外排</w:t>
            </w:r>
            <w:r>
              <w:rPr>
                <w:rFonts w:hint="default"/>
                <w:color w:val="auto"/>
                <w:szCs w:val="21"/>
                <w:lang w:val="zh-CN"/>
              </w:rPr>
              <w:t>。建设区域</w:t>
            </w:r>
            <w:r>
              <w:rPr>
                <w:rFonts w:hint="default"/>
                <w:color w:val="auto"/>
                <w:szCs w:val="21"/>
                <w:lang w:val="zh-CN" w:eastAsia="zh-CN"/>
              </w:rPr>
              <w:t>周围噪声</w:t>
            </w:r>
            <w:r>
              <w:rPr>
                <w:rFonts w:hint="default"/>
                <w:color w:val="auto"/>
                <w:szCs w:val="21"/>
                <w:lang w:val="zh-CN"/>
              </w:rPr>
              <w:t>监测点位的昼间噪声值满足《声环境质量标准》(GB3096-2008)中</w:t>
            </w:r>
            <w:r>
              <w:rPr>
                <w:rFonts w:hint="eastAsia"/>
                <w:color w:val="auto"/>
                <w:szCs w:val="21"/>
                <w:lang w:val="zh-CN" w:eastAsia="zh-CN"/>
              </w:rPr>
              <w:t>3</w:t>
            </w:r>
            <w:r>
              <w:rPr>
                <w:rFonts w:hint="default"/>
                <w:color w:val="auto"/>
                <w:szCs w:val="21"/>
                <w:lang w:val="zh-CN"/>
              </w:rPr>
              <w:t>类</w:t>
            </w:r>
            <w:r>
              <w:rPr>
                <w:rFonts w:hint="default"/>
                <w:color w:val="auto"/>
                <w:szCs w:val="21"/>
                <w:lang w:val="zh-CN" w:eastAsia="zh-CN"/>
              </w:rPr>
              <w:t>区</w:t>
            </w:r>
            <w:r>
              <w:rPr>
                <w:rFonts w:hint="default"/>
                <w:color w:val="auto"/>
                <w:szCs w:val="21"/>
                <w:lang w:val="zh-CN"/>
              </w:rPr>
              <w:t>标准限值</w:t>
            </w:r>
            <w:r>
              <w:rPr>
                <w:color w:val="auto"/>
                <w:szCs w:val="21"/>
                <w:lang w:val="zh-CN"/>
              </w:rPr>
              <w:t>，区域声环境质量现状良好。</w:t>
            </w:r>
          </w:p>
          <w:p>
            <w:pPr>
              <w:autoSpaceDE w:val="0"/>
              <w:autoSpaceDN w:val="0"/>
              <w:adjustRightInd w:val="0"/>
              <w:snapToGrid w:val="0"/>
              <w:spacing w:line="400" w:lineRule="exact"/>
              <w:ind w:left="-31" w:leftChars="-15" w:right="-31" w:rightChars="-15" w:firstLine="420" w:firstLineChars="200"/>
              <w:rPr>
                <w:color w:val="auto"/>
                <w:szCs w:val="21"/>
                <w:lang w:val="zh-CN"/>
              </w:rPr>
            </w:pPr>
            <w:r>
              <w:rPr>
                <w:rFonts w:hint="default"/>
                <w:color w:val="auto"/>
                <w:szCs w:val="21"/>
                <w:lang w:val="zh-CN"/>
              </w:rPr>
              <w:t>根据工程分析，项目营运期各类污染物通过采取有效的污染防治措施后，均能够实现达标排放或合理妥善处理，对建设区域环境影响较小，不会改变区域环境功能类别，能够守住建设区域的环境质量底线</w:t>
            </w:r>
            <w:r>
              <w:rPr>
                <w:color w:val="auto"/>
                <w:szCs w:val="21"/>
              </w:rPr>
              <w:t>。</w:t>
            </w:r>
          </w:p>
          <w:p>
            <w:pPr>
              <w:autoSpaceDE w:val="0"/>
              <w:autoSpaceDN w:val="0"/>
              <w:adjustRightInd w:val="0"/>
              <w:snapToGrid w:val="0"/>
              <w:spacing w:line="400" w:lineRule="exact"/>
              <w:ind w:left="-31" w:leftChars="-15" w:right="-31" w:rightChars="-15" w:firstLine="422" w:firstLineChars="200"/>
              <w:rPr>
                <w:b/>
                <w:color w:val="auto"/>
                <w:szCs w:val="21"/>
                <w:lang w:val="zh-CN"/>
              </w:rPr>
            </w:pPr>
            <w:r>
              <w:rPr>
                <w:b/>
                <w:color w:val="auto"/>
                <w:szCs w:val="21"/>
                <w:lang w:val="zh-CN"/>
              </w:rPr>
              <w:t>（</w:t>
            </w:r>
            <w:r>
              <w:rPr>
                <w:b/>
                <w:color w:val="auto"/>
                <w:szCs w:val="21"/>
              </w:rPr>
              <w:t>3</w:t>
            </w:r>
            <w:r>
              <w:rPr>
                <w:b/>
                <w:color w:val="auto"/>
                <w:szCs w:val="21"/>
                <w:lang w:val="zh-CN"/>
              </w:rPr>
              <w:t>）资源利用上线</w:t>
            </w:r>
          </w:p>
          <w:p>
            <w:pPr>
              <w:autoSpaceDE w:val="0"/>
              <w:autoSpaceDN w:val="0"/>
              <w:adjustRightInd w:val="0"/>
              <w:snapToGrid w:val="0"/>
              <w:spacing w:line="400" w:lineRule="exact"/>
              <w:ind w:left="-31" w:leftChars="-15" w:right="-31" w:rightChars="-15" w:firstLine="420" w:firstLineChars="200"/>
              <w:rPr>
                <w:color w:val="auto"/>
                <w:szCs w:val="21"/>
                <w:lang w:val="zh-CN"/>
              </w:rPr>
            </w:pPr>
            <w:r>
              <w:rPr>
                <w:rFonts w:hint="default"/>
                <w:color w:val="auto"/>
                <w:szCs w:val="21"/>
              </w:rPr>
              <w:t>本项目</w:t>
            </w:r>
            <w:r>
              <w:rPr>
                <w:rFonts w:hint="eastAsia"/>
                <w:color w:val="auto"/>
                <w:szCs w:val="21"/>
                <w:lang w:val="en-US" w:eastAsia="zh-CN"/>
              </w:rPr>
              <w:t>为废矿物油回收储存项目</w:t>
            </w:r>
            <w:r>
              <w:rPr>
                <w:rFonts w:hint="eastAsia"/>
                <w:color w:val="auto"/>
                <w:szCs w:val="21"/>
                <w:lang w:eastAsia="zh-CN"/>
              </w:rPr>
              <w:t>，</w:t>
            </w:r>
            <w:r>
              <w:rPr>
                <w:rFonts w:hint="default"/>
                <w:color w:val="auto"/>
                <w:szCs w:val="21"/>
              </w:rPr>
              <w:t>营运期使用的能源主要为电能、水资源等。项目用电来自所在区域内已有电网，电量充足，能够为项目的用电提供保障；水资源来自城市自来水，用水量较小，不会对区域水资源造成影响。</w:t>
            </w:r>
            <w:r>
              <w:rPr>
                <w:color w:val="auto"/>
                <w:szCs w:val="21"/>
              </w:rPr>
              <w:t>项目</w:t>
            </w:r>
            <w:r>
              <w:rPr>
                <w:rFonts w:hint="eastAsia"/>
                <w:color w:val="auto"/>
                <w:szCs w:val="21"/>
                <w:lang w:val="en-US" w:eastAsia="zh-CN"/>
              </w:rPr>
              <w:t>租</w:t>
            </w:r>
            <w:r>
              <w:rPr>
                <w:color w:val="auto"/>
                <w:szCs w:val="21"/>
              </w:rPr>
              <w:t>用</w:t>
            </w:r>
            <w:r>
              <w:rPr>
                <w:rFonts w:hint="eastAsia"/>
                <w:color w:val="auto"/>
                <w:szCs w:val="21"/>
                <w:lang w:val="en-US" w:eastAsia="zh-CN"/>
              </w:rPr>
              <w:t>宣汉县弘泰电化有限责任公司闲置</w:t>
            </w:r>
            <w:r>
              <w:rPr>
                <w:color w:val="auto"/>
                <w:szCs w:val="21"/>
              </w:rPr>
              <w:t>的</w:t>
            </w:r>
            <w:r>
              <w:rPr>
                <w:rFonts w:hint="eastAsia"/>
                <w:color w:val="auto"/>
                <w:szCs w:val="21"/>
                <w:lang w:val="en-US" w:eastAsia="zh-CN"/>
              </w:rPr>
              <w:t>厂房</w:t>
            </w:r>
            <w:r>
              <w:rPr>
                <w:color w:val="auto"/>
                <w:szCs w:val="21"/>
              </w:rPr>
              <w:t>建设，不新增占地，且不涉及</w:t>
            </w:r>
            <w:r>
              <w:rPr>
                <w:rFonts w:hint="eastAsia"/>
                <w:color w:val="auto"/>
                <w:szCs w:val="21"/>
              </w:rPr>
              <w:t>永久</w:t>
            </w:r>
            <w:r>
              <w:rPr>
                <w:color w:val="auto"/>
                <w:szCs w:val="21"/>
              </w:rPr>
              <w:t>基本农田</w:t>
            </w:r>
            <w:r>
              <w:rPr>
                <w:color w:val="auto"/>
                <w:szCs w:val="21"/>
                <w:lang w:val="zh-CN"/>
              </w:rPr>
              <w:t>。</w:t>
            </w:r>
            <w:r>
              <w:rPr>
                <w:rFonts w:hint="default"/>
                <w:color w:val="auto"/>
                <w:szCs w:val="21"/>
              </w:rPr>
              <w:t>本项目建成后，通过加强内部管理、污染物综合治理等方面采取合理可行的措施，以“节能、降耗、减污”为目标，有效控制污染。项目的电、气等能源，水、土地等资源的利用不会突破区域的资源利用上线</w:t>
            </w:r>
            <w:r>
              <w:rPr>
                <w:color w:val="auto"/>
                <w:szCs w:val="21"/>
              </w:rPr>
              <w:t>。</w:t>
            </w:r>
          </w:p>
          <w:p>
            <w:pPr>
              <w:autoSpaceDE w:val="0"/>
              <w:autoSpaceDN w:val="0"/>
              <w:adjustRightInd w:val="0"/>
              <w:snapToGrid w:val="0"/>
              <w:spacing w:line="400" w:lineRule="exact"/>
              <w:ind w:left="-31" w:leftChars="-15" w:right="-31" w:rightChars="-15" w:firstLine="422" w:firstLineChars="200"/>
              <w:rPr>
                <w:b/>
                <w:color w:val="auto"/>
                <w:szCs w:val="21"/>
                <w:lang w:val="zh-CN"/>
              </w:rPr>
            </w:pPr>
            <w:r>
              <w:rPr>
                <w:b/>
                <w:color w:val="auto"/>
                <w:szCs w:val="21"/>
                <w:lang w:val="zh-CN"/>
              </w:rPr>
              <w:t>（</w:t>
            </w:r>
            <w:r>
              <w:rPr>
                <w:b/>
                <w:color w:val="auto"/>
                <w:szCs w:val="21"/>
              </w:rPr>
              <w:t>4</w:t>
            </w:r>
            <w:r>
              <w:rPr>
                <w:b/>
                <w:color w:val="auto"/>
                <w:szCs w:val="21"/>
                <w:lang w:val="zh-CN"/>
              </w:rPr>
              <w:t>）环境准入负面清单</w:t>
            </w:r>
          </w:p>
          <w:p>
            <w:pPr>
              <w:autoSpaceDE w:val="0"/>
              <w:autoSpaceDN w:val="0"/>
              <w:adjustRightInd w:val="0"/>
              <w:snapToGrid w:val="0"/>
              <w:spacing w:line="400" w:lineRule="exact"/>
              <w:ind w:left="-31" w:leftChars="-15" w:right="-31" w:rightChars="-15" w:firstLine="420" w:firstLineChars="200"/>
              <w:rPr>
                <w:color w:val="auto"/>
                <w:szCs w:val="21"/>
                <w:lang w:val="zh-CN"/>
              </w:rPr>
            </w:pPr>
            <w:r>
              <w:rPr>
                <w:color w:val="auto"/>
                <w:szCs w:val="21"/>
              </w:rPr>
              <w:t>根据</w:t>
            </w:r>
            <w:r>
              <w:rPr>
                <w:color w:val="auto"/>
                <w:szCs w:val="21"/>
                <w:lang w:val="zh-CN"/>
              </w:rPr>
              <w:t>《四川省国家重点生态功能区产业准入负面清单(第一批)(试行)》、《四川省国家重点生态功能区产业准入负面清单(第二批)(试行)》</w:t>
            </w:r>
            <w:r>
              <w:rPr>
                <w:rFonts w:hint="default"/>
                <w:color w:val="auto"/>
                <w:szCs w:val="21"/>
                <w:lang w:val="zh-CN"/>
              </w:rPr>
              <w:t>和《四川省长江经济带发展负面清单实施细则（试行）》（川长江办[2019]8号）</w:t>
            </w:r>
            <w:r>
              <w:rPr>
                <w:color w:val="auto"/>
                <w:szCs w:val="21"/>
                <w:lang w:val="zh-CN"/>
              </w:rPr>
              <w:t>等规定，本项目不在</w:t>
            </w:r>
            <w:r>
              <w:rPr>
                <w:rFonts w:hint="eastAsia"/>
                <w:color w:val="auto"/>
                <w:szCs w:val="21"/>
              </w:rPr>
              <w:t>上述负面清单</w:t>
            </w:r>
            <w:r>
              <w:rPr>
                <w:color w:val="auto"/>
                <w:szCs w:val="21"/>
                <w:lang w:val="zh-CN"/>
              </w:rPr>
              <w:t>所列</w:t>
            </w:r>
            <w:r>
              <w:rPr>
                <w:rFonts w:hint="eastAsia"/>
                <w:color w:val="auto"/>
                <w:szCs w:val="21"/>
                <w:lang w:val="zh-CN"/>
              </w:rPr>
              <w:t>的</w:t>
            </w:r>
            <w:r>
              <w:rPr>
                <w:color w:val="auto"/>
                <w:szCs w:val="21"/>
                <w:lang w:val="zh-CN"/>
              </w:rPr>
              <w:t>区县或所列行业之列。</w:t>
            </w:r>
            <w:r>
              <w:rPr>
                <w:rFonts w:hint="eastAsia"/>
                <w:color w:val="auto"/>
                <w:szCs w:val="21"/>
                <w:lang w:val="zh-CN"/>
              </w:rPr>
              <w:t>本项目位于四川达州普光经济开发区柳池工业园内，符合园区的产业定位。对照《四川达州普光经济开发区总体规划（2019~2035）环境影响报告书》中产业准入环保负面清单，项目不属于禁止入驻园区的行业。</w:t>
            </w:r>
          </w:p>
          <w:p>
            <w:pPr>
              <w:tabs>
                <w:tab w:val="left" w:pos="689"/>
                <w:tab w:val="left" w:pos="3653"/>
              </w:tabs>
              <w:spacing w:line="400" w:lineRule="exact"/>
              <w:ind w:left="-31" w:leftChars="-15" w:right="-31" w:rightChars="-15" w:firstLine="420" w:firstLineChars="200"/>
              <w:jc w:val="left"/>
              <w:rPr>
                <w:color w:val="auto"/>
                <w:szCs w:val="21"/>
              </w:rPr>
            </w:pPr>
            <w:r>
              <w:rPr>
                <w:color w:val="auto"/>
                <w:szCs w:val="21"/>
              </w:rPr>
              <w:t>综上，本项目建设符合“三线一单”管控机制要求，项目建设可行。</w:t>
            </w:r>
          </w:p>
          <w:p>
            <w:pPr>
              <w:autoSpaceDE w:val="0"/>
              <w:autoSpaceDN w:val="0"/>
              <w:adjustRightInd w:val="0"/>
              <w:snapToGrid w:val="0"/>
              <w:spacing w:line="400" w:lineRule="exact"/>
              <w:ind w:right="-31" w:rightChars="-15"/>
              <w:rPr>
                <w:rFonts w:eastAsia="黑体"/>
                <w:color w:val="auto"/>
                <w:kern w:val="0"/>
                <w:sz w:val="22"/>
                <w:szCs w:val="22"/>
              </w:rPr>
            </w:pPr>
            <w:r>
              <w:rPr>
                <w:rFonts w:hint="eastAsia" w:eastAsia="黑体"/>
                <w:color w:val="auto"/>
                <w:kern w:val="0"/>
                <w:sz w:val="22"/>
                <w:szCs w:val="22"/>
              </w:rPr>
              <w:t>2</w:t>
            </w:r>
            <w:r>
              <w:rPr>
                <w:rFonts w:eastAsia="黑体"/>
                <w:color w:val="auto"/>
                <w:kern w:val="0"/>
                <w:sz w:val="22"/>
                <w:szCs w:val="22"/>
              </w:rPr>
              <w:t>、生态环境分区管控</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根据达州市人民政府</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关于落实生态保护红线、环境质量底线、资源利用上线制定生态环境准入清单实施生态环境分区管控的通知</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达市府发〔2021〕17号</w:t>
            </w:r>
            <w:r>
              <w:rPr>
                <w:rFonts w:hint="default" w:ascii="Times New Roman" w:hAnsi="Times New Roman" w:cs="Times New Roman"/>
                <w:color w:val="auto"/>
                <w:kern w:val="0"/>
                <w:szCs w:val="21"/>
                <w:lang w:eastAsia="zh-CN"/>
              </w:rPr>
              <w:t>），全市行政区域从生态环境保护角度划分为优先保护、重点管控和一般管控三类环境管控单元。</w:t>
            </w:r>
            <w:r>
              <w:rPr>
                <w:rFonts w:hint="default" w:ascii="Times New Roman" w:hAnsi="Times New Roman" w:cs="Times New Roman"/>
                <w:color w:val="auto"/>
                <w:kern w:val="0"/>
                <w:szCs w:val="21"/>
                <w:lang w:val="en-US" w:eastAsia="zh-CN"/>
              </w:rPr>
              <w:t>对照《达州市环境管控单元分布图》</w:t>
            </w:r>
            <w:r>
              <w:rPr>
                <w:rFonts w:hint="default" w:ascii="Times New Roman" w:hAnsi="Times New Roman" w:cs="Times New Roman"/>
                <w:color w:val="auto"/>
                <w:kern w:val="0"/>
                <w:szCs w:val="21"/>
              </w:rPr>
              <w:t>，本项目位于</w:t>
            </w:r>
            <w:r>
              <w:rPr>
                <w:rFonts w:hint="eastAsia" w:ascii="Times New Roman" w:hAnsi="Times New Roman" w:cs="Times New Roman"/>
                <w:color w:val="auto"/>
                <w:kern w:val="0"/>
                <w:szCs w:val="21"/>
                <w:lang w:val="en-US" w:eastAsia="zh-CN"/>
              </w:rPr>
              <w:t>宣汉县</w:t>
            </w:r>
            <w:r>
              <w:rPr>
                <w:rFonts w:hint="eastAsia" w:cs="Times New Roman"/>
                <w:color w:val="auto"/>
                <w:kern w:val="0"/>
                <w:szCs w:val="21"/>
                <w:lang w:val="en-US" w:eastAsia="zh-CN"/>
              </w:rPr>
              <w:t>工业重点管控单元</w:t>
            </w:r>
            <w:r>
              <w:rPr>
                <w:rFonts w:hint="default" w:ascii="Times New Roman" w:hAnsi="Times New Roman" w:cs="Times New Roman"/>
                <w:color w:val="auto"/>
                <w:kern w:val="0"/>
                <w:szCs w:val="21"/>
                <w:lang w:val="en-US" w:eastAsia="zh-CN"/>
              </w:rPr>
              <w:t>，对应的管控要求为：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adjustRightInd w:val="0"/>
              <w:snapToGrid w:val="0"/>
              <w:spacing w:line="400" w:lineRule="exact"/>
              <w:ind w:left="-31" w:leftChars="-15" w:right="-31" w:rightChars="-15" w:firstLine="42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宣汉县</w:t>
            </w:r>
            <w:r>
              <w:rPr>
                <w:rFonts w:hint="default" w:ascii="Times New Roman" w:hAnsi="Times New Roman" w:cs="Times New Roman"/>
                <w:color w:val="auto"/>
                <w:kern w:val="0"/>
                <w:szCs w:val="21"/>
              </w:rPr>
              <w:t>总体生态环境管控要求为：</w:t>
            </w:r>
            <w:r>
              <w:rPr>
                <w:rFonts w:hint="eastAsia" w:ascii="Times New Roman" w:hAnsi="Times New Roman" w:cs="Times New Roman"/>
                <w:color w:val="auto"/>
                <w:kern w:val="0"/>
                <w:szCs w:val="21"/>
                <w:lang w:val="en-US" w:eastAsia="zh-CN"/>
              </w:rPr>
              <w:t>①</w:t>
            </w:r>
            <w:r>
              <w:rPr>
                <w:rFonts w:hint="default" w:ascii="Times New Roman" w:hAnsi="Times New Roman" w:cs="Times New Roman"/>
                <w:color w:val="auto"/>
                <w:kern w:val="0"/>
                <w:szCs w:val="21"/>
              </w:rPr>
              <w:t>加强小流域水环境保护，推动农村环保基础设施建设，全面推进农村环境综合整治、生活污水处理项目</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大力开展沿河畜禽养殖污染整治，大力推广生态种植，减少农药化肥使用量；</w:t>
            </w:r>
            <w:r>
              <w:rPr>
                <w:rFonts w:hint="eastAsia" w:ascii="Times New Roman" w:hAnsi="Times New Roman" w:cs="Times New Roman"/>
                <w:color w:val="auto"/>
                <w:kern w:val="0"/>
                <w:szCs w:val="21"/>
                <w:lang w:val="en-US" w:eastAsia="zh-CN"/>
              </w:rPr>
              <w:t>②</w:t>
            </w:r>
            <w:r>
              <w:rPr>
                <w:rFonts w:hint="default" w:ascii="Times New Roman" w:hAnsi="Times New Roman" w:cs="Times New Roman"/>
                <w:color w:val="auto"/>
                <w:kern w:val="0"/>
                <w:szCs w:val="21"/>
              </w:rPr>
              <w:t>打好升级版污染防治攻坚战。持续优化调整产业布局，以PM</w:t>
            </w:r>
            <w:r>
              <w:rPr>
                <w:rFonts w:hint="default" w:ascii="Times New Roman" w:hAnsi="Times New Roman" w:cs="Times New Roman"/>
                <w:color w:val="auto"/>
                <w:kern w:val="0"/>
                <w:szCs w:val="21"/>
                <w:vertAlign w:val="subscript"/>
              </w:rPr>
              <w:t>2.5</w:t>
            </w:r>
            <w:r>
              <w:rPr>
                <w:rFonts w:hint="default" w:ascii="Times New Roman" w:hAnsi="Times New Roman" w:cs="Times New Roman"/>
                <w:color w:val="auto"/>
                <w:kern w:val="0"/>
                <w:szCs w:val="21"/>
              </w:rPr>
              <w:t>和臭氧污染协同控制为重点，全面开展VOCs治理，实施移动源整治，持续推进空气质量精细化管理；</w:t>
            </w:r>
            <w:r>
              <w:rPr>
                <w:rFonts w:hint="eastAsia" w:ascii="Times New Roman" w:hAnsi="Times New Roman" w:cs="Times New Roman"/>
                <w:color w:val="auto"/>
                <w:kern w:val="0"/>
                <w:szCs w:val="21"/>
                <w:lang w:val="en-US" w:eastAsia="zh-CN"/>
              </w:rPr>
              <w:t>③</w:t>
            </w:r>
            <w:r>
              <w:rPr>
                <w:rFonts w:hint="default" w:ascii="Times New Roman" w:hAnsi="Times New Roman" w:cs="Times New Roman"/>
                <w:color w:val="auto"/>
                <w:kern w:val="0"/>
                <w:szCs w:val="21"/>
              </w:rPr>
              <w:t>优化天然气化工、硫化工、锂钾综合开发、冶金建材、新材料等产业布局，切实做好危险化学品生产、使用、贮运、废弃全过程的安全防范措施，妥善处理好锂钾综合开发产业副产物及“三废”的综合利用途径或处置去向。</w:t>
            </w:r>
          </w:p>
          <w:p>
            <w:pPr>
              <w:tabs>
                <w:tab w:val="left" w:pos="689"/>
                <w:tab w:val="left" w:pos="3653"/>
              </w:tabs>
              <w:spacing w:line="400" w:lineRule="exact"/>
              <w:ind w:left="-31" w:leftChars="-15" w:right="-31" w:rightChars="-15" w:firstLine="420" w:firstLineChars="200"/>
              <w:jc w:val="left"/>
              <w:rPr>
                <w:color w:val="auto"/>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为废矿物油回收储存项目</w:t>
            </w:r>
            <w:r>
              <w:rPr>
                <w:rFonts w:hint="default" w:ascii="Times New Roman" w:hAnsi="Times New Roman" w:cs="Times New Roman"/>
                <w:color w:val="auto"/>
                <w:kern w:val="0"/>
                <w:szCs w:val="21"/>
              </w:rPr>
              <w:t>，</w:t>
            </w:r>
            <w:r>
              <w:rPr>
                <w:color w:val="auto"/>
                <w:szCs w:val="21"/>
              </w:rPr>
              <w:t>报告针对</w:t>
            </w:r>
            <w:r>
              <w:rPr>
                <w:rFonts w:hint="eastAsia"/>
                <w:color w:val="auto"/>
                <w:szCs w:val="21"/>
              </w:rPr>
              <w:t>各</w:t>
            </w:r>
            <w:r>
              <w:rPr>
                <w:color w:val="auto"/>
                <w:szCs w:val="21"/>
              </w:rPr>
              <w:t>污染物提出了相应的控制措施及生态保护措施</w:t>
            </w:r>
            <w:r>
              <w:rPr>
                <w:rFonts w:hint="default" w:ascii="Times New Roman" w:hAnsi="Times New Roman" w:cs="Times New Roman"/>
                <w:color w:val="auto"/>
                <w:kern w:val="0"/>
                <w:szCs w:val="21"/>
              </w:rPr>
              <w:t>，减少各项污染物的排放量</w:t>
            </w:r>
            <w:r>
              <w:rPr>
                <w:color w:val="auto"/>
                <w:szCs w:val="21"/>
              </w:rPr>
              <w:t>，项目“三废”</w:t>
            </w:r>
            <w:r>
              <w:rPr>
                <w:rFonts w:hint="eastAsia"/>
                <w:color w:val="auto"/>
                <w:szCs w:val="21"/>
                <w:lang w:val="en-US" w:eastAsia="zh-CN"/>
              </w:rPr>
              <w:t>及噪声</w:t>
            </w:r>
            <w:r>
              <w:rPr>
                <w:color w:val="auto"/>
                <w:szCs w:val="21"/>
              </w:rPr>
              <w:t>经治理后达标排放，固废（含一般固废和危险废物）均得到合理处置，符合当地生态环境保护基本要求。</w:t>
            </w:r>
            <w:r>
              <w:rPr>
                <w:rFonts w:hint="default"/>
                <w:color w:val="auto"/>
                <w:szCs w:val="21"/>
              </w:rPr>
              <w:t>区域环境功能类别不会应本项目实施发生改变，能够守住建设区域的环境质量底线。</w:t>
            </w:r>
          </w:p>
          <w:p>
            <w:pPr>
              <w:autoSpaceDE w:val="0"/>
              <w:autoSpaceDN w:val="0"/>
              <w:adjustRightInd w:val="0"/>
              <w:snapToGrid w:val="0"/>
              <w:spacing w:line="360" w:lineRule="exact"/>
              <w:rPr>
                <w:rFonts w:hint="eastAsia" w:eastAsia="黑体"/>
                <w:color w:val="auto"/>
                <w:kern w:val="0"/>
                <w:sz w:val="22"/>
                <w:szCs w:val="22"/>
              </w:rPr>
            </w:pPr>
            <w:r>
              <w:rPr>
                <w:rFonts w:hint="eastAsia" w:eastAsia="黑体"/>
                <w:color w:val="auto"/>
                <w:kern w:val="0"/>
                <w:sz w:val="22"/>
                <w:szCs w:val="22"/>
              </w:rPr>
              <w:t>3</w:t>
            </w:r>
            <w:r>
              <w:rPr>
                <w:rFonts w:eastAsia="黑体"/>
                <w:color w:val="auto"/>
                <w:kern w:val="0"/>
                <w:sz w:val="22"/>
                <w:szCs w:val="22"/>
              </w:rPr>
              <w:t>、</w:t>
            </w:r>
            <w:r>
              <w:rPr>
                <w:rFonts w:hint="eastAsia" w:eastAsia="黑体"/>
                <w:color w:val="auto"/>
                <w:kern w:val="0"/>
                <w:sz w:val="22"/>
                <w:szCs w:val="22"/>
                <w:lang w:val="en-US" w:eastAsia="zh-CN"/>
              </w:rPr>
              <w:t>《四川省嘉陵江流域生态环境保护条例》</w:t>
            </w:r>
            <w:r>
              <w:rPr>
                <w:rFonts w:hint="eastAsia" w:eastAsia="黑体"/>
                <w:color w:val="auto"/>
                <w:kern w:val="0"/>
                <w:sz w:val="22"/>
                <w:szCs w:val="22"/>
              </w:rPr>
              <w:t>符合性分析</w:t>
            </w:r>
          </w:p>
          <w:p>
            <w:pPr>
              <w:tabs>
                <w:tab w:val="left" w:pos="689"/>
                <w:tab w:val="left" w:pos="3653"/>
              </w:tabs>
              <w:spacing w:line="400" w:lineRule="exact"/>
              <w:ind w:left="-31" w:leftChars="-15" w:right="-31" w:rightChars="-15" w:firstLine="420" w:firstLineChars="200"/>
              <w:jc w:val="left"/>
              <w:rPr>
                <w:color w:val="auto"/>
                <w:szCs w:val="21"/>
              </w:rPr>
            </w:pPr>
            <w:r>
              <w:rPr>
                <w:rFonts w:hint="eastAsia"/>
                <w:color w:val="auto"/>
                <w:szCs w:val="21"/>
                <w:lang w:val="en-US" w:eastAsia="zh-CN"/>
              </w:rPr>
              <w:t>2021年11月25日四川省第十三届人民代表大会常务委员会第三十一次会议通过了《四川省嘉陵江流域生态环境保护条例》</w:t>
            </w:r>
            <w:r>
              <w:rPr>
                <w:color w:val="auto"/>
                <w:szCs w:val="21"/>
              </w:rPr>
              <w:t>，本项目与其</w:t>
            </w:r>
            <w:r>
              <w:rPr>
                <w:rFonts w:hint="eastAsia"/>
                <w:color w:val="auto"/>
                <w:szCs w:val="21"/>
                <w:lang w:val="en-US" w:eastAsia="zh-CN"/>
              </w:rPr>
              <w:t>符合性分析见</w:t>
            </w:r>
            <w:r>
              <w:rPr>
                <w:color w:val="auto"/>
                <w:szCs w:val="21"/>
              </w:rPr>
              <w:t>下表。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表1-</w:t>
            </w:r>
            <w:r>
              <w:rPr>
                <w:rFonts w:hint="eastAsia" w:ascii="Times New Roman" w:hAnsi="Times New Roman" w:eastAsia="黑体" w:cs="Times New Roman"/>
                <w:color w:val="auto"/>
                <w:kern w:val="0"/>
                <w:sz w:val="20"/>
                <w:szCs w:val="20"/>
                <w:lang w:val="en-US" w:eastAsia="zh-CN"/>
              </w:rPr>
              <w:t>4</w:t>
            </w:r>
            <w:r>
              <w:rPr>
                <w:rFonts w:hint="default" w:ascii="Times New Roman" w:hAnsi="Times New Roman" w:eastAsia="黑体" w:cs="Times New Roman"/>
                <w:color w:val="auto"/>
                <w:kern w:val="0"/>
                <w:sz w:val="20"/>
                <w:szCs w:val="20"/>
                <w:lang w:val="zh-CN" w:eastAsia="zh-CN"/>
              </w:rPr>
              <w:t xml:space="preserve">  与</w:t>
            </w:r>
            <w:r>
              <w:rPr>
                <w:rFonts w:hint="eastAsia" w:ascii="Times New Roman" w:hAnsi="Times New Roman" w:eastAsia="黑体" w:cs="Times New Roman"/>
                <w:color w:val="auto"/>
                <w:kern w:val="0"/>
                <w:sz w:val="20"/>
                <w:szCs w:val="20"/>
                <w:lang w:val="en-US" w:eastAsia="zh-CN"/>
              </w:rPr>
              <w:t>《四川省嘉陵江流域生态环境保护条例》</w:t>
            </w:r>
            <w:r>
              <w:rPr>
                <w:rFonts w:hint="eastAsia" w:ascii="Times New Roman" w:hAnsi="Times New Roman" w:eastAsia="黑体" w:cs="Times New Roman"/>
                <w:color w:val="auto"/>
                <w:kern w:val="0"/>
                <w:sz w:val="20"/>
                <w:szCs w:val="20"/>
                <w:lang w:val="zh-CN" w:eastAsia="zh-CN"/>
              </w:rPr>
              <w:t>的</w:t>
            </w:r>
            <w:r>
              <w:rPr>
                <w:rFonts w:hint="default" w:ascii="Times New Roman" w:hAnsi="Times New Roman" w:eastAsia="黑体" w:cs="Times New Roman"/>
                <w:color w:val="auto"/>
                <w:kern w:val="0"/>
                <w:sz w:val="20"/>
                <w:szCs w:val="20"/>
                <w:lang w:val="zh-CN" w:eastAsia="zh-CN"/>
              </w:rPr>
              <w:t>符合性分析</w:t>
            </w:r>
          </w:p>
          <w:tbl>
            <w:tblPr>
              <w:tblStyle w:val="14"/>
              <w:tblW w:w="7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8"/>
              <w:gridCol w:w="3369"/>
              <w:gridCol w:w="2441"/>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eastAsia"/>
                      <w:color w:val="auto"/>
                      <w:sz w:val="18"/>
                      <w:szCs w:val="18"/>
                      <w:highlight w:val="none"/>
                    </w:rPr>
                  </w:pPr>
                  <w:r>
                    <w:rPr>
                      <w:rFonts w:hint="eastAsia"/>
                      <w:b/>
                      <w:bCs/>
                      <w:color w:val="auto"/>
                      <w:spacing w:val="1"/>
                      <w:sz w:val="18"/>
                      <w:szCs w:val="18"/>
                      <w:highlight w:val="none"/>
                    </w:rPr>
                    <w:t>序号</w:t>
                  </w:r>
                </w:p>
              </w:tc>
              <w:tc>
                <w:tcPr>
                  <w:tcW w:w="3369"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eastAsia"/>
                      <w:color w:val="auto"/>
                      <w:sz w:val="18"/>
                      <w:szCs w:val="18"/>
                      <w:highlight w:val="none"/>
                    </w:rPr>
                  </w:pPr>
                  <w:r>
                    <w:rPr>
                      <w:rFonts w:hint="eastAsia"/>
                      <w:b/>
                      <w:bCs/>
                      <w:color w:val="auto"/>
                      <w:spacing w:val="1"/>
                      <w:sz w:val="18"/>
                      <w:szCs w:val="18"/>
                      <w:highlight w:val="none"/>
                    </w:rPr>
                    <w:t>法律条款</w:t>
                  </w:r>
                </w:p>
              </w:tc>
              <w:tc>
                <w:tcPr>
                  <w:tcW w:w="244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z w:val="18"/>
                      <w:szCs w:val="18"/>
                      <w:highlight w:val="none"/>
                      <w:lang w:eastAsia="en-US"/>
                    </w:rPr>
                  </w:pPr>
                  <w:r>
                    <w:rPr>
                      <w:b/>
                      <w:bCs/>
                      <w:color w:val="auto"/>
                      <w:spacing w:val="1"/>
                      <w:sz w:val="18"/>
                      <w:szCs w:val="18"/>
                      <w:highlight w:val="none"/>
                      <w:lang w:eastAsia="en-US"/>
                    </w:rPr>
                    <w:t>本项目</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z w:val="18"/>
                      <w:szCs w:val="18"/>
                      <w:highlight w:val="none"/>
                      <w:lang w:eastAsia="en-US"/>
                    </w:rPr>
                  </w:pPr>
                  <w:r>
                    <w:rPr>
                      <w:b/>
                      <w:bCs/>
                      <w:color w:val="auto"/>
                      <w:spacing w:val="1"/>
                      <w:sz w:val="18"/>
                      <w:szCs w:val="18"/>
                      <w:highlight w:val="none"/>
                      <w:lang w:eastAsia="en-US"/>
                    </w:rPr>
                    <w:t>符</w:t>
                  </w:r>
                  <w:r>
                    <w:rPr>
                      <w:b/>
                      <w:bCs/>
                      <w:color w:val="auto"/>
                      <w:sz w:val="18"/>
                      <w:szCs w:val="18"/>
                      <w:highlight w:val="none"/>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第十</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rPr>
                  </w:pPr>
                  <w:r>
                    <w:rPr>
                      <w:rFonts w:hint="eastAsia" w:ascii="Times New Roman" w:hAnsi="Times New Roman" w:eastAsia="宋体" w:cs="Times New Roman"/>
                      <w:color w:val="auto"/>
                      <w:sz w:val="18"/>
                      <w:szCs w:val="18"/>
                      <w:highlight w:val="none"/>
                      <w:lang w:val="en-US" w:eastAsia="zh-CN"/>
                    </w:rPr>
                    <w:t>七</w:t>
                  </w:r>
                  <w:r>
                    <w:rPr>
                      <w:rFonts w:hint="default" w:ascii="Times New Roman" w:hAnsi="Times New Roman" w:eastAsia="宋体" w:cs="Times New Roman"/>
                      <w:color w:val="auto"/>
                      <w:sz w:val="18"/>
                      <w:szCs w:val="18"/>
                      <w:highlight w:val="none"/>
                      <w:lang w:eastAsia="zh-CN"/>
                    </w:rPr>
                    <w:t>条</w:t>
                  </w:r>
                </w:p>
              </w:tc>
              <w:tc>
                <w:tcPr>
                  <w:tcW w:w="33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eastAsia" w:ascii="Arial" w:hAnsi="Arial" w:cs="Arial"/>
                      <w:color w:val="auto"/>
                      <w:kern w:val="0"/>
                      <w:sz w:val="18"/>
                      <w:szCs w:val="18"/>
                      <w:highlight w:val="none"/>
                    </w:rPr>
                  </w:pPr>
                  <w:r>
                    <w:rPr>
                      <w:rFonts w:hint="eastAsia" w:ascii="Times New Roman" w:hAnsi="Times New Roman" w:eastAsia="宋体" w:cs="Times New Roman"/>
                      <w:color w:val="auto"/>
                      <w:sz w:val="18"/>
                      <w:szCs w:val="18"/>
                      <w:highlight w:val="none"/>
                      <w:lang w:eastAsia="zh-CN"/>
                    </w:rPr>
                    <w:t>禁止在嘉陵江干支流岸线一公里范围内新建、扩建化工园区和化工项目。</w:t>
                  </w:r>
                </w:p>
              </w:tc>
              <w:tc>
                <w:tcPr>
                  <w:tcW w:w="244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eastAsia="宋体"/>
                      <w:color w:val="auto"/>
                      <w:spacing w:val="-1"/>
                      <w:sz w:val="18"/>
                      <w:szCs w:val="18"/>
                      <w:highlight w:val="none"/>
                      <w:lang w:val="en-US" w:eastAsia="zh-CN"/>
                    </w:rPr>
                  </w:pPr>
                  <w:r>
                    <w:rPr>
                      <w:rFonts w:hint="eastAsia" w:ascii="Times New Roman" w:hAnsi="Times New Roman" w:cs="Times New Roman"/>
                      <w:color w:val="auto"/>
                      <w:sz w:val="18"/>
                      <w:szCs w:val="18"/>
                      <w:highlight w:val="none"/>
                      <w:lang w:val="en-US" w:eastAsia="zh-CN"/>
                    </w:rPr>
                    <w:t>为废矿物油回收储存项目，不属于化工项目。</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lang w:eastAsia="en-US"/>
                    </w:rPr>
                  </w:pPr>
                  <w:r>
                    <w:rPr>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color w:val="auto"/>
                      <w:sz w:val="18"/>
                      <w:szCs w:val="18"/>
                      <w:highlight w:val="none"/>
                    </w:rPr>
                  </w:pPr>
                  <w:r>
                    <w:rPr>
                      <w:rFonts w:hint="default" w:ascii="Times New Roman" w:hAnsi="Times New Roman" w:eastAsia="宋体" w:cs="Times New Roman"/>
                      <w:color w:val="auto"/>
                      <w:sz w:val="18"/>
                      <w:szCs w:val="18"/>
                      <w:highlight w:val="none"/>
                      <w:lang w:eastAsia="zh-CN"/>
                    </w:rPr>
                    <w:t>第二十一条</w:t>
                  </w:r>
                </w:p>
              </w:tc>
              <w:tc>
                <w:tcPr>
                  <w:tcW w:w="33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ascii="Arial" w:hAnsi="Arial" w:cs="Arial"/>
                      <w:color w:val="auto"/>
                      <w:kern w:val="0"/>
                      <w:sz w:val="18"/>
                      <w:szCs w:val="18"/>
                      <w:highlight w:val="none"/>
                    </w:rPr>
                  </w:pPr>
                  <w:r>
                    <w:rPr>
                      <w:rFonts w:hint="eastAsia" w:ascii="Times New Roman" w:hAnsi="Times New Roman" w:eastAsia="宋体" w:cs="Times New Roman"/>
                      <w:color w:val="auto"/>
                      <w:sz w:val="18"/>
                      <w:szCs w:val="18"/>
                      <w:highlight w:val="none"/>
                      <w:lang w:eastAsia="zh-CN"/>
                    </w:rPr>
                    <w:t>按照排污许可证的规定排放污染物；禁止未取得排污许可证或者违反排污许可证的规定排放污染物。</w:t>
                  </w:r>
                </w:p>
              </w:tc>
              <w:tc>
                <w:tcPr>
                  <w:tcW w:w="244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color w:val="auto"/>
                      <w:spacing w:val="-1"/>
                      <w:sz w:val="18"/>
                      <w:szCs w:val="18"/>
                      <w:highlight w:val="none"/>
                    </w:rPr>
                  </w:pPr>
                  <w:r>
                    <w:rPr>
                      <w:rFonts w:hint="eastAsia" w:ascii="Times New Roman" w:hAnsi="Times New Roman" w:eastAsia="宋体" w:cs="Times New Roman"/>
                      <w:color w:val="auto"/>
                      <w:sz w:val="18"/>
                      <w:szCs w:val="18"/>
                      <w:highlight w:val="none"/>
                      <w:lang w:val="en-US" w:eastAsia="zh-CN"/>
                    </w:rPr>
                    <w:t>建成后将按要求办理排污许可证</w:t>
                  </w:r>
                  <w:r>
                    <w:rPr>
                      <w:rFonts w:hint="eastAsia" w:ascii="Times New Roman" w:hAnsi="Times New Roman" w:cs="Times New Roman"/>
                      <w:color w:val="auto"/>
                      <w:sz w:val="18"/>
                      <w:szCs w:val="18"/>
                      <w:highlight w:val="none"/>
                      <w:lang w:val="en-US" w:eastAsia="zh-CN"/>
                    </w:rPr>
                    <w:t>，并按证排污</w:t>
                  </w:r>
                  <w:r>
                    <w:rPr>
                      <w:rFonts w:hint="eastAsia" w:ascii="Times New Roman" w:hAnsi="Times New Roman" w:eastAsia="宋体" w:cs="Times New Roman"/>
                      <w:color w:val="auto"/>
                      <w:sz w:val="18"/>
                      <w:szCs w:val="18"/>
                      <w:highlight w:val="none"/>
                    </w:rPr>
                    <w:t>。</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lang w:eastAsia="en-US"/>
                    </w:rPr>
                  </w:pPr>
                  <w:r>
                    <w:rPr>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z w:val="18"/>
                      <w:szCs w:val="18"/>
                      <w:highlight w:val="none"/>
                    </w:rPr>
                  </w:pPr>
                  <w:r>
                    <w:rPr>
                      <w:rFonts w:hint="default" w:ascii="Times New Roman" w:hAnsi="Times New Roman" w:eastAsia="宋体" w:cs="Times New Roman"/>
                      <w:color w:val="auto"/>
                      <w:sz w:val="18"/>
                      <w:szCs w:val="18"/>
                      <w:highlight w:val="none"/>
                      <w:lang w:eastAsia="zh-CN"/>
                    </w:rPr>
                    <w:t>第六十七条</w:t>
                  </w:r>
                </w:p>
              </w:tc>
              <w:tc>
                <w:tcPr>
                  <w:tcW w:w="33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eastAsia" w:ascii="Arial" w:hAnsi="Arial" w:cs="Arial"/>
                      <w:color w:val="auto"/>
                      <w:kern w:val="0"/>
                      <w:sz w:val="18"/>
                      <w:szCs w:val="18"/>
                      <w:highlight w:val="none"/>
                    </w:rPr>
                  </w:pPr>
                  <w:r>
                    <w:rPr>
                      <w:rFonts w:hint="eastAsia" w:ascii="Times New Roman" w:hAnsi="Times New Roman" w:eastAsia="宋体" w:cs="Times New Roman"/>
                      <w:color w:val="auto"/>
                      <w:sz w:val="18"/>
                      <w:szCs w:val="18"/>
                      <w:highlight w:val="none"/>
                      <w:lang w:eastAsia="zh-CN"/>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244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eastAsia="宋体"/>
                      <w:color w:val="auto"/>
                      <w:spacing w:val="-1"/>
                      <w:sz w:val="18"/>
                      <w:szCs w:val="18"/>
                      <w:highlight w:val="none"/>
                      <w:lang w:val="en-US" w:eastAsia="zh-CN"/>
                    </w:rPr>
                  </w:pPr>
                  <w:r>
                    <w:rPr>
                      <w:rFonts w:hint="eastAsia"/>
                      <w:color w:val="auto"/>
                      <w:spacing w:val="-1"/>
                      <w:sz w:val="18"/>
                      <w:szCs w:val="18"/>
                      <w:highlight w:val="none"/>
                      <w:lang w:val="en-US" w:eastAsia="zh-CN"/>
                    </w:rPr>
                    <w:t>项目无工业废水产生，仅少量冲洗废水、生活污水，厂区采取雨污分流制，废水经收集处理后排入园区污水处理厂集中处理，水质满足园区污水处理厂的接纳标准。</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lang w:eastAsia="en-US"/>
                    </w:rPr>
                  </w:pPr>
                  <w:r>
                    <w:rPr>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eastAsia"/>
                      <w:color w:val="auto"/>
                      <w:sz w:val="18"/>
                      <w:szCs w:val="18"/>
                      <w:highlight w:val="none"/>
                    </w:rPr>
                  </w:pPr>
                  <w:r>
                    <w:rPr>
                      <w:rFonts w:hint="eastAsia"/>
                      <w:color w:val="auto"/>
                      <w:sz w:val="18"/>
                      <w:szCs w:val="18"/>
                      <w:highlight w:val="none"/>
                    </w:rPr>
                    <w:t>6</w:t>
                  </w:r>
                </w:p>
              </w:tc>
              <w:tc>
                <w:tcPr>
                  <w:tcW w:w="3369"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eastAsia" w:ascii="Arial" w:hAnsi="Arial" w:eastAsia="宋体" w:cs="Arial"/>
                      <w:color w:val="auto"/>
                      <w:kern w:val="0"/>
                      <w:sz w:val="18"/>
                      <w:szCs w:val="18"/>
                      <w:highlight w:val="none"/>
                      <w:lang w:eastAsia="zh-CN"/>
                    </w:rPr>
                  </w:pPr>
                  <w:r>
                    <w:rPr>
                      <w:rFonts w:hint="eastAsia" w:ascii="Arial" w:hAnsi="Arial" w:cs="Arial"/>
                      <w:color w:val="auto"/>
                      <w:kern w:val="0"/>
                      <w:sz w:val="18"/>
                      <w:szCs w:val="18"/>
                      <w:highlight w:val="none"/>
                    </w:rPr>
                    <w:t>第七十一条 化学品生产企业以及工业集聚区、矿山开采区、尾矿库、危险废物处置场、垃圾填埋场等运营、管理单位，应当采取防渗漏、防垮塌等措施，并建设地下水水质监测井进行监测，防止地下水污染</w:t>
                  </w:r>
                  <w:r>
                    <w:rPr>
                      <w:rFonts w:hint="eastAsia" w:ascii="Arial" w:hAnsi="Arial" w:cs="Arial"/>
                      <w:color w:val="auto"/>
                      <w:kern w:val="0"/>
                      <w:sz w:val="18"/>
                      <w:szCs w:val="18"/>
                      <w:highlight w:val="none"/>
                      <w:lang w:eastAsia="zh-CN"/>
                    </w:rPr>
                    <w:t>。</w:t>
                  </w:r>
                </w:p>
              </w:tc>
              <w:tc>
                <w:tcPr>
                  <w:tcW w:w="244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highlight w:val="none"/>
                    </w:rPr>
                  </w:pPr>
                  <w:r>
                    <w:rPr>
                      <w:rFonts w:hint="eastAsia"/>
                      <w:color w:val="auto"/>
                      <w:spacing w:val="-1"/>
                      <w:sz w:val="18"/>
                      <w:szCs w:val="18"/>
                      <w:highlight w:val="none"/>
                    </w:rPr>
                    <w:t>本项目</w:t>
                  </w:r>
                  <w:r>
                    <w:rPr>
                      <w:rFonts w:hint="eastAsia"/>
                      <w:color w:val="auto"/>
                      <w:spacing w:val="-1"/>
                      <w:sz w:val="18"/>
                      <w:szCs w:val="18"/>
                      <w:highlight w:val="none"/>
                      <w:lang w:val="en-US" w:eastAsia="zh-CN"/>
                    </w:rPr>
                    <w:t>为废矿物油回收储存项目，厂区储油区、卸油区等按重点防渗要求建设，定期转运至下游</w:t>
                  </w:r>
                  <w:r>
                    <w:rPr>
                      <w:rFonts w:hint="eastAsia"/>
                      <w:color w:val="auto"/>
                      <w:spacing w:val="-1"/>
                      <w:sz w:val="18"/>
                      <w:szCs w:val="18"/>
                      <w:highlight w:val="none"/>
                    </w:rPr>
                    <w:t>有资质单位处理。</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lang w:eastAsia="en-US"/>
                    </w:rPr>
                  </w:pPr>
                  <w:r>
                    <w:rPr>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eastAsia"/>
                      <w:color w:val="auto"/>
                      <w:sz w:val="18"/>
                      <w:szCs w:val="18"/>
                      <w:highlight w:val="none"/>
                    </w:rPr>
                  </w:pPr>
                  <w:r>
                    <w:rPr>
                      <w:rFonts w:hint="eastAsia"/>
                      <w:color w:val="auto"/>
                      <w:sz w:val="18"/>
                      <w:szCs w:val="18"/>
                      <w:highlight w:val="none"/>
                    </w:rPr>
                    <w:t>7</w:t>
                  </w:r>
                </w:p>
              </w:tc>
              <w:tc>
                <w:tcPr>
                  <w:tcW w:w="3369"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ascii="Arial" w:hAnsi="Arial" w:cs="Arial"/>
                      <w:color w:val="auto"/>
                      <w:kern w:val="0"/>
                      <w:sz w:val="18"/>
                      <w:szCs w:val="18"/>
                      <w:highlight w:val="none"/>
                    </w:rPr>
                  </w:pPr>
                  <w:r>
                    <w:rPr>
                      <w:rFonts w:hint="eastAsia" w:ascii="Arial" w:hAnsi="Arial" w:cs="Arial"/>
                      <w:color w:val="auto"/>
                      <w:kern w:val="0"/>
                      <w:sz w:val="18"/>
                      <w:szCs w:val="18"/>
                      <w:highlight w:val="none"/>
                    </w:rPr>
                    <w:t>第七十三条</w:t>
                  </w:r>
                  <w:r>
                    <w:rPr>
                      <w:rFonts w:hint="eastAsia" w:ascii="Arial" w:hAnsi="Arial" w:cs="Arial"/>
                      <w:color w:val="auto"/>
                      <w:kern w:val="0"/>
                      <w:sz w:val="18"/>
                      <w:szCs w:val="18"/>
                      <w:highlight w:val="none"/>
                      <w:lang w:val="en-US" w:eastAsia="zh-CN"/>
                    </w:rPr>
                    <w:t xml:space="preserve"> </w:t>
                  </w:r>
                  <w:r>
                    <w:rPr>
                      <w:rFonts w:hint="eastAsia" w:ascii="Arial" w:hAnsi="Arial" w:cs="Arial"/>
                      <w:color w:val="auto"/>
                      <w:kern w:val="0"/>
                      <w:sz w:val="18"/>
                      <w:szCs w:val="18"/>
                      <w:highlight w:val="none"/>
                    </w:rPr>
                    <w:t>禁止在嘉陵江流域河湖管理范围内倾倒、填埋、堆放、弃置、处理固体废物。</w:t>
                  </w:r>
                </w:p>
              </w:tc>
              <w:tc>
                <w:tcPr>
                  <w:tcW w:w="244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highlight w:val="none"/>
                    </w:rPr>
                  </w:pPr>
                  <w:r>
                    <w:rPr>
                      <w:rFonts w:hint="eastAsia"/>
                      <w:color w:val="auto"/>
                      <w:spacing w:val="-1"/>
                      <w:sz w:val="18"/>
                      <w:szCs w:val="18"/>
                      <w:highlight w:val="none"/>
                    </w:rPr>
                    <w:t>本项目</w:t>
                  </w:r>
                  <w:r>
                    <w:rPr>
                      <w:rFonts w:hint="eastAsia"/>
                      <w:color w:val="auto"/>
                      <w:spacing w:val="-1"/>
                      <w:sz w:val="18"/>
                      <w:szCs w:val="18"/>
                      <w:highlight w:val="none"/>
                      <w:lang w:val="en-US" w:eastAsia="zh-CN"/>
                    </w:rPr>
                    <w:t>收集的废矿物油定期转运至下游</w:t>
                  </w:r>
                  <w:r>
                    <w:rPr>
                      <w:rFonts w:hint="eastAsia"/>
                      <w:color w:val="auto"/>
                      <w:spacing w:val="-1"/>
                      <w:sz w:val="18"/>
                      <w:szCs w:val="18"/>
                      <w:highlight w:val="none"/>
                    </w:rPr>
                    <w:t>有资质单位处理</w:t>
                  </w:r>
                  <w:r>
                    <w:rPr>
                      <w:rFonts w:hint="eastAsia"/>
                      <w:color w:val="auto"/>
                      <w:spacing w:val="-1"/>
                      <w:sz w:val="18"/>
                      <w:szCs w:val="18"/>
                      <w:highlight w:val="none"/>
                      <w:lang w:eastAsia="zh-CN"/>
                    </w:rPr>
                    <w:t>，</w:t>
                  </w:r>
                  <w:r>
                    <w:rPr>
                      <w:rFonts w:hint="eastAsia"/>
                      <w:color w:val="auto"/>
                      <w:spacing w:val="-1"/>
                      <w:sz w:val="18"/>
                      <w:szCs w:val="18"/>
                      <w:highlight w:val="none"/>
                      <w:lang w:val="en-US" w:eastAsia="zh-CN"/>
                    </w:rPr>
                    <w:t>并严格执行危险废物转移联单制度</w:t>
                  </w:r>
                  <w:r>
                    <w:rPr>
                      <w:rFonts w:hint="eastAsia"/>
                      <w:color w:val="auto"/>
                      <w:spacing w:val="-1"/>
                      <w:sz w:val="18"/>
                      <w:szCs w:val="18"/>
                      <w:highlight w:val="none"/>
                    </w:rPr>
                    <w:t>。</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rPr>
                  </w:pPr>
                  <w:r>
                    <w:rPr>
                      <w:color w:val="auto"/>
                      <w:spacing w:val="-1"/>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8</w:t>
                  </w:r>
                </w:p>
              </w:tc>
              <w:tc>
                <w:tcPr>
                  <w:tcW w:w="3369"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eastAsia" w:ascii="Arial" w:hAnsi="Arial" w:cs="Arial"/>
                      <w:color w:val="auto"/>
                      <w:kern w:val="0"/>
                      <w:sz w:val="18"/>
                      <w:szCs w:val="18"/>
                      <w:highlight w:val="none"/>
                    </w:rPr>
                  </w:pPr>
                  <w:r>
                    <w:rPr>
                      <w:rFonts w:hint="eastAsia" w:ascii="Arial" w:hAnsi="Arial" w:cs="Arial"/>
                      <w:color w:val="auto"/>
                      <w:kern w:val="0"/>
                      <w:sz w:val="18"/>
                      <w:szCs w:val="18"/>
                      <w:highlight w:val="none"/>
                    </w:rPr>
                    <w:t>第七十四条</w:t>
                  </w:r>
                  <w:r>
                    <w:rPr>
                      <w:rFonts w:hint="eastAsia" w:ascii="Arial" w:hAnsi="Arial" w:cs="Arial"/>
                      <w:color w:val="auto"/>
                      <w:kern w:val="0"/>
                      <w:sz w:val="18"/>
                      <w:szCs w:val="18"/>
                      <w:highlight w:val="none"/>
                      <w:lang w:val="en-US" w:eastAsia="zh-CN"/>
                    </w:rPr>
                    <w:t xml:space="preserve"> </w:t>
                  </w:r>
                  <w:r>
                    <w:rPr>
                      <w:rFonts w:hint="eastAsia" w:ascii="Arial" w:hAnsi="Arial" w:cs="Arial"/>
                      <w:color w:val="auto"/>
                      <w:kern w:val="0"/>
                      <w:sz w:val="18"/>
                      <w:szCs w:val="18"/>
                      <w:highlight w:val="none"/>
                    </w:rPr>
                    <w:t>禁止在嘉陵江流域水上运输剧毒化学品和国家规定禁止通过内河运输的其他危险化学品。</w:t>
                  </w:r>
                </w:p>
              </w:tc>
              <w:tc>
                <w:tcPr>
                  <w:tcW w:w="244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rFonts w:hint="default" w:eastAsia="宋体"/>
                      <w:color w:val="auto"/>
                      <w:spacing w:val="-1"/>
                      <w:sz w:val="18"/>
                      <w:szCs w:val="18"/>
                      <w:highlight w:val="none"/>
                      <w:lang w:val="en-US" w:eastAsia="zh-CN"/>
                    </w:rPr>
                  </w:pPr>
                  <w:r>
                    <w:rPr>
                      <w:rFonts w:hint="eastAsia"/>
                      <w:color w:val="auto"/>
                      <w:spacing w:val="-1"/>
                      <w:sz w:val="18"/>
                      <w:szCs w:val="18"/>
                      <w:highlight w:val="none"/>
                      <w:lang w:val="en-US" w:eastAsia="zh-CN"/>
                    </w:rPr>
                    <w:t>本项目全部采用陆路运输，不采用水运。</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rPr>
                  </w:pPr>
                  <w:r>
                    <w:rPr>
                      <w:color w:val="auto"/>
                      <w:spacing w:val="-1"/>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9</w:t>
                  </w:r>
                </w:p>
              </w:tc>
              <w:tc>
                <w:tcPr>
                  <w:tcW w:w="3369"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eastAsia" w:ascii="Arial" w:hAnsi="Arial" w:cs="Arial"/>
                      <w:color w:val="auto"/>
                      <w:kern w:val="0"/>
                      <w:sz w:val="18"/>
                      <w:szCs w:val="18"/>
                      <w:highlight w:val="none"/>
                    </w:rPr>
                  </w:pPr>
                  <w:r>
                    <w:rPr>
                      <w:rFonts w:hint="eastAsia" w:ascii="Arial" w:hAnsi="Arial" w:cs="Arial"/>
                      <w:color w:val="auto"/>
                      <w:kern w:val="0"/>
                      <w:sz w:val="18"/>
                      <w:szCs w:val="18"/>
                      <w:highlight w:val="none"/>
                    </w:rPr>
                    <w:t>第八十条</w:t>
                  </w:r>
                  <w:r>
                    <w:rPr>
                      <w:rFonts w:hint="eastAsia" w:ascii="Arial" w:hAnsi="Arial" w:cs="Arial"/>
                      <w:color w:val="auto"/>
                      <w:kern w:val="0"/>
                      <w:sz w:val="18"/>
                      <w:szCs w:val="18"/>
                      <w:highlight w:val="none"/>
                      <w:lang w:val="en-US" w:eastAsia="zh-CN"/>
                    </w:rPr>
                    <w:t xml:space="preserve"> </w:t>
                  </w:r>
                  <w:r>
                    <w:rPr>
                      <w:rFonts w:hint="eastAsia" w:ascii="Arial" w:hAnsi="Arial" w:cs="Arial"/>
                      <w:color w:val="auto"/>
                      <w:kern w:val="0"/>
                      <w:sz w:val="18"/>
                      <w:szCs w:val="18"/>
                      <w:highlight w:val="none"/>
                    </w:rPr>
                    <w:t>限期禁止生产、销售、进口、使用、转让严重污染水环境的工艺和设备。</w:t>
                  </w:r>
                </w:p>
              </w:tc>
              <w:tc>
                <w:tcPr>
                  <w:tcW w:w="244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rFonts w:hint="default" w:eastAsia="宋体"/>
                      <w:color w:val="auto"/>
                      <w:spacing w:val="-1"/>
                      <w:sz w:val="18"/>
                      <w:szCs w:val="18"/>
                      <w:highlight w:val="none"/>
                      <w:lang w:val="en-US" w:eastAsia="zh-CN"/>
                    </w:rPr>
                  </w:pPr>
                  <w:r>
                    <w:rPr>
                      <w:rFonts w:hint="eastAsia"/>
                      <w:color w:val="auto"/>
                      <w:spacing w:val="-1"/>
                      <w:sz w:val="18"/>
                      <w:szCs w:val="18"/>
                      <w:highlight w:val="none"/>
                      <w:lang w:val="en-US" w:eastAsia="zh-CN"/>
                    </w:rPr>
                    <w:t>项目所用的设备、工艺不属于严重污染水环境的工艺和设备</w:t>
                  </w:r>
                </w:p>
              </w:tc>
              <w:tc>
                <w:tcPr>
                  <w:tcW w:w="632"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highlight w:val="none"/>
                    </w:rPr>
                  </w:pPr>
                  <w:r>
                    <w:rPr>
                      <w:color w:val="auto"/>
                      <w:spacing w:val="-1"/>
                      <w:sz w:val="18"/>
                      <w:szCs w:val="18"/>
                      <w:highlight w:val="none"/>
                    </w:rPr>
                    <w:t>符合</w:t>
                  </w:r>
                </w:p>
              </w:tc>
            </w:tr>
          </w:tbl>
          <w:p>
            <w:pPr>
              <w:tabs>
                <w:tab w:val="left" w:pos="689"/>
                <w:tab w:val="left" w:pos="3653"/>
              </w:tabs>
              <w:spacing w:line="400" w:lineRule="exact"/>
              <w:ind w:left="-31" w:leftChars="-15" w:right="-31" w:rightChars="-15" w:firstLine="420" w:firstLineChars="200"/>
              <w:jc w:val="left"/>
              <w:rPr>
                <w:color w:val="auto"/>
                <w:szCs w:val="21"/>
              </w:rPr>
            </w:pPr>
            <w:r>
              <w:rPr>
                <w:rFonts w:hint="eastAsia"/>
                <w:color w:val="auto"/>
                <w:szCs w:val="21"/>
              </w:rPr>
              <w:t>由上表分析，本项目符合</w:t>
            </w:r>
            <w:r>
              <w:rPr>
                <w:rFonts w:hint="eastAsia"/>
                <w:color w:val="auto"/>
                <w:szCs w:val="21"/>
                <w:lang w:val="en-US" w:eastAsia="zh-CN"/>
              </w:rPr>
              <w:t>《四川省嘉陵江流域生态环境保护条例》</w:t>
            </w:r>
            <w:r>
              <w:rPr>
                <w:rFonts w:hint="eastAsia"/>
                <w:color w:val="auto"/>
                <w:szCs w:val="21"/>
              </w:rPr>
              <w:t>的相关规定</w:t>
            </w:r>
            <w:r>
              <w:rPr>
                <w:color w:val="auto"/>
                <w:szCs w:val="21"/>
              </w:rPr>
              <w:t>。</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4、项目与国家危险废物政策符合性分析</w:t>
            </w:r>
          </w:p>
          <w:p>
            <w:pPr>
              <w:autoSpaceDE w:val="0"/>
              <w:autoSpaceDN w:val="0"/>
              <w:adjustRightInd w:val="0"/>
              <w:snapToGrid w:val="0"/>
              <w:spacing w:line="400" w:lineRule="exact"/>
              <w:ind w:left="-31" w:leftChars="-15" w:right="-31" w:rightChars="-15" w:firstLine="422" w:firstLineChars="200"/>
              <w:rPr>
                <w:color w:val="auto"/>
                <w:kern w:val="0"/>
                <w:szCs w:val="21"/>
              </w:rPr>
            </w:pPr>
            <w:r>
              <w:rPr>
                <w:rFonts w:hint="eastAsia"/>
                <w:b/>
                <w:bCs/>
                <w:color w:val="auto"/>
                <w:kern w:val="0"/>
                <w:szCs w:val="21"/>
              </w:rPr>
              <w:t>（1）与</w:t>
            </w:r>
            <w:r>
              <w:rPr>
                <w:b/>
                <w:bCs/>
                <w:color w:val="auto"/>
                <w:kern w:val="0"/>
                <w:szCs w:val="21"/>
              </w:rPr>
              <w:t>《危险废物贮存污染控制标准》（GB18597-2001）</w:t>
            </w:r>
            <w:r>
              <w:rPr>
                <w:rFonts w:hint="eastAsia"/>
                <w:b/>
                <w:bCs/>
                <w:color w:val="auto"/>
                <w:kern w:val="0"/>
                <w:szCs w:val="21"/>
              </w:rPr>
              <w:t>及2013年修改单</w:t>
            </w:r>
            <w:r>
              <w:rPr>
                <w:b/>
                <w:bCs/>
                <w:color w:val="auto"/>
                <w:kern w:val="0"/>
                <w:szCs w:val="21"/>
              </w:rPr>
              <w:t>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表1-</w:t>
            </w:r>
            <w:r>
              <w:rPr>
                <w:rFonts w:hint="eastAsia" w:ascii="Times New Roman" w:hAnsi="Times New Roman" w:eastAsia="黑体" w:cs="Times New Roman"/>
                <w:color w:val="auto"/>
                <w:kern w:val="0"/>
                <w:sz w:val="20"/>
                <w:szCs w:val="20"/>
                <w:lang w:val="en-US" w:eastAsia="zh-CN"/>
              </w:rPr>
              <w:t>5</w:t>
            </w:r>
            <w:r>
              <w:rPr>
                <w:rFonts w:hint="default" w:ascii="Times New Roman" w:hAnsi="Times New Roman" w:eastAsia="黑体" w:cs="Times New Roman"/>
                <w:color w:val="auto"/>
                <w:kern w:val="0"/>
                <w:sz w:val="20"/>
                <w:szCs w:val="20"/>
                <w:lang w:val="zh-CN" w:eastAsia="zh-CN"/>
              </w:rPr>
              <w:t xml:space="preserve">  与《危险废物贮存污染控制标准》及</w:t>
            </w:r>
            <w:r>
              <w:rPr>
                <w:rFonts w:hint="eastAsia" w:ascii="Times New Roman" w:hAnsi="Times New Roman" w:eastAsia="黑体" w:cs="Times New Roman"/>
                <w:color w:val="auto"/>
                <w:kern w:val="0"/>
                <w:sz w:val="20"/>
                <w:szCs w:val="20"/>
                <w:lang w:val="zh-CN" w:eastAsia="zh-CN"/>
              </w:rPr>
              <w:t>2013年</w:t>
            </w:r>
            <w:r>
              <w:rPr>
                <w:rFonts w:hint="default" w:ascii="Times New Roman" w:hAnsi="Times New Roman" w:eastAsia="黑体" w:cs="Times New Roman"/>
                <w:color w:val="auto"/>
                <w:kern w:val="0"/>
                <w:sz w:val="20"/>
                <w:szCs w:val="20"/>
                <w:lang w:val="zh-CN" w:eastAsia="zh-CN"/>
              </w:rPr>
              <w:t>修改单符合性分析</w:t>
            </w:r>
          </w:p>
          <w:tbl>
            <w:tblPr>
              <w:tblStyle w:val="14"/>
              <w:tblW w:w="6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2988"/>
              <w:gridCol w:w="2995"/>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blHeader/>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r>
                    <w:rPr>
                      <w:rFonts w:ascii="宋体" w:hAnsi="宋体" w:cs="宋体"/>
                      <w:b/>
                      <w:bCs/>
                      <w:color w:val="auto"/>
                      <w:sz w:val="18"/>
                      <w:szCs w:val="18"/>
                      <w:lang w:eastAsia="en-US"/>
                    </w:rPr>
                    <w:t>要求 类别</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z w:val="18"/>
                      <w:szCs w:val="18"/>
                      <w:lang w:eastAsia="en-US"/>
                    </w:rPr>
                  </w:pPr>
                  <w:r>
                    <w:rPr>
                      <w:b/>
                      <w:bCs/>
                      <w:color w:val="auto"/>
                      <w:spacing w:val="1"/>
                      <w:sz w:val="18"/>
                      <w:szCs w:val="18"/>
                      <w:lang w:eastAsia="en-US"/>
                    </w:rPr>
                    <w:t>规范内容</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z w:val="18"/>
                      <w:szCs w:val="18"/>
                      <w:lang w:eastAsia="en-US"/>
                    </w:rPr>
                  </w:pPr>
                  <w:r>
                    <w:rPr>
                      <w:b/>
                      <w:bCs/>
                      <w:color w:val="auto"/>
                      <w:spacing w:val="1"/>
                      <w:sz w:val="18"/>
                      <w:szCs w:val="18"/>
                      <w:lang w:eastAsia="en-US"/>
                    </w:rPr>
                    <w:t>本项目</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z w:val="18"/>
                      <w:szCs w:val="18"/>
                      <w:lang w:eastAsia="en-US"/>
                    </w:rPr>
                  </w:pPr>
                  <w:r>
                    <w:rPr>
                      <w:b/>
                      <w:bCs/>
                      <w:color w:val="auto"/>
                      <w:spacing w:val="1"/>
                      <w:sz w:val="18"/>
                      <w:szCs w:val="18"/>
                      <w:lang w:eastAsia="en-US"/>
                    </w:rPr>
                    <w:t>符</w:t>
                  </w:r>
                  <w:r>
                    <w:rPr>
                      <w:b/>
                      <w:bCs/>
                      <w:color w:val="auto"/>
                      <w:sz w:val="18"/>
                      <w:szCs w:val="18"/>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r>
                    <w:rPr>
                      <w:rFonts w:ascii="宋体" w:hAnsi="宋体" w:cs="宋体"/>
                      <w:b/>
                      <w:bCs/>
                      <w:color w:val="auto"/>
                      <w:sz w:val="18"/>
                      <w:szCs w:val="18"/>
                      <w:lang w:eastAsia="en-US"/>
                    </w:rPr>
                    <w:t>一般</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r>
                    <w:rPr>
                      <w:rFonts w:ascii="宋体" w:hAnsi="宋体" w:cs="宋体"/>
                      <w:b/>
                      <w:bCs/>
                      <w:color w:val="auto"/>
                      <w:sz w:val="18"/>
                      <w:szCs w:val="18"/>
                      <w:lang w:eastAsia="en-US"/>
                    </w:rPr>
                    <w:t>要求</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所有危险废物产生者和危险废物经营者应建造专用的危险废物贮存设施，也可利用原有构筑物改建成危险废物贮存设施</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本项目新建储存间，按地面</w:t>
                  </w:r>
                  <w:r>
                    <w:rPr>
                      <w:rFonts w:hint="eastAsia"/>
                      <w:color w:val="auto"/>
                      <w:spacing w:val="-1"/>
                      <w:sz w:val="18"/>
                      <w:szCs w:val="18"/>
                    </w:rPr>
                    <w:t>采</w:t>
                  </w:r>
                  <w:r>
                    <w:rPr>
                      <w:color w:val="auto"/>
                      <w:spacing w:val="-1"/>
                      <w:sz w:val="18"/>
                      <w:szCs w:val="18"/>
                    </w:rPr>
                    <w:t>用“20cm混凝土硬化+</w:t>
                  </w:r>
                  <w:r>
                    <w:rPr>
                      <w:rFonts w:hint="eastAsia"/>
                      <w:color w:val="auto"/>
                      <w:spacing w:val="-1"/>
                      <w:sz w:val="18"/>
                      <w:szCs w:val="18"/>
                    </w:rPr>
                    <w:t>3</w:t>
                  </w:r>
                  <w:r>
                    <w:rPr>
                      <w:color w:val="auto"/>
                      <w:spacing w:val="-1"/>
                      <w:sz w:val="18"/>
                      <w:szCs w:val="18"/>
                    </w:rPr>
                    <w:t>mm</w:t>
                  </w:r>
                  <w:r>
                    <w:rPr>
                      <w:rFonts w:hint="eastAsia"/>
                      <w:color w:val="auto"/>
                      <w:spacing w:val="-1"/>
                      <w:sz w:val="18"/>
                      <w:szCs w:val="18"/>
                    </w:rPr>
                    <w:t>的SBS改性沥青卷材+2</w:t>
                  </w:r>
                  <w:r>
                    <w:rPr>
                      <w:color w:val="auto"/>
                      <w:spacing w:val="-1"/>
                      <w:sz w:val="18"/>
                      <w:szCs w:val="18"/>
                    </w:rPr>
                    <w:t>mm</w:t>
                  </w:r>
                  <w:r>
                    <w:rPr>
                      <w:rFonts w:hint="eastAsia"/>
                      <w:color w:val="auto"/>
                      <w:spacing w:val="-1"/>
                      <w:sz w:val="18"/>
                      <w:szCs w:val="18"/>
                      <w:lang w:eastAsia="zh-CN"/>
                    </w:rPr>
                    <w:t>高密度聚乙烯</w:t>
                  </w:r>
                  <w:r>
                    <w:rPr>
                      <w:color w:val="auto"/>
                      <w:spacing w:val="-1"/>
                      <w:sz w:val="18"/>
                      <w:szCs w:val="18"/>
                    </w:rPr>
                    <w:t>地坪漆”防渗，并设置防溢流围堰等防泄露设施</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在常温常压下易爆、易燃及排出有毒气体的危险废物必须进行预处理，使之稳定后贮存，否则，按易爆、易燃危险品贮存</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本项目为液态废</w:t>
                  </w:r>
                  <w:r>
                    <w:rPr>
                      <w:rFonts w:hint="eastAsia"/>
                      <w:color w:val="auto"/>
                      <w:spacing w:val="-1"/>
                      <w:sz w:val="18"/>
                      <w:szCs w:val="18"/>
                      <w:lang w:val="en-US" w:eastAsia="zh-CN"/>
                    </w:rPr>
                    <w:t>矿物</w:t>
                  </w:r>
                  <w:r>
                    <w:rPr>
                      <w:color w:val="auto"/>
                      <w:spacing w:val="-1"/>
                      <w:sz w:val="18"/>
                      <w:szCs w:val="18"/>
                    </w:rPr>
                    <w:t>油贮存，不涉及易爆、易燃及排出有毒气体的危险废物贮存</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在常温常压下不水解、不挥发的固体危险废物可在贮存设施内分别堆放</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本项目均使用专用统一贮存</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禁止将不相容（相互反应）的危险废物在同一容器内混装</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本项目仅为</w:t>
                  </w:r>
                  <w:r>
                    <w:rPr>
                      <w:rFonts w:hint="eastAsia"/>
                      <w:color w:val="auto"/>
                      <w:spacing w:val="-1"/>
                      <w:sz w:val="18"/>
                      <w:szCs w:val="18"/>
                      <w:lang w:val="en-US" w:eastAsia="zh-CN"/>
                    </w:rPr>
                    <w:t>废矿物油</w:t>
                  </w:r>
                  <w:r>
                    <w:rPr>
                      <w:color w:val="auto"/>
                      <w:spacing w:val="-1"/>
                      <w:sz w:val="18"/>
                      <w:szCs w:val="18"/>
                    </w:rPr>
                    <w:t>收集和贮存，不涉及其他危险废物</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装载液体、半固体危险废物的容器内须留足够空间，容器顶部与液体表面之间保留100毫米以上的空间</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本项目贮存用储罐均按相关要求设计，总储存量能够满足容器顶部与液体表面之间保留100毫米以上的空间</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r>
                    <w:rPr>
                      <w:rFonts w:ascii="宋体" w:hAnsi="宋体" w:cs="宋体"/>
                      <w:b/>
                      <w:bCs/>
                      <w:color w:val="auto"/>
                      <w:sz w:val="18"/>
                      <w:szCs w:val="18"/>
                      <w:lang w:eastAsia="en-US"/>
                    </w:rPr>
                    <w:t>选址</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r>
                    <w:rPr>
                      <w:rFonts w:ascii="宋体" w:hAnsi="宋体" w:cs="宋体"/>
                      <w:b/>
                      <w:bCs/>
                      <w:color w:val="auto"/>
                      <w:sz w:val="18"/>
                      <w:szCs w:val="18"/>
                      <w:lang w:eastAsia="en-US"/>
                    </w:rPr>
                    <w:t>选址</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地质结构稳定，地震烈度不超过7度的区域</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olor w:val="auto"/>
                      <w:spacing w:val="-1"/>
                      <w:sz w:val="18"/>
                      <w:szCs w:val="18"/>
                    </w:rPr>
                  </w:pPr>
                  <w:r>
                    <w:rPr>
                      <w:color w:val="auto"/>
                      <w:spacing w:val="-1"/>
                      <w:sz w:val="18"/>
                      <w:szCs w:val="18"/>
                    </w:rPr>
                    <w:t>项目区地质结构稳定，地震烈度</w:t>
                  </w:r>
                  <w:r>
                    <w:rPr>
                      <w:rFonts w:hint="eastAsia"/>
                      <w:color w:val="auto"/>
                      <w:spacing w:val="-1"/>
                      <w:sz w:val="18"/>
                      <w:szCs w:val="18"/>
                    </w:rPr>
                    <w:t>按6</w:t>
                  </w:r>
                  <w:r>
                    <w:rPr>
                      <w:color w:val="auto"/>
                      <w:spacing w:val="-1"/>
                      <w:sz w:val="18"/>
                      <w:szCs w:val="18"/>
                    </w:rPr>
                    <w:t>度</w:t>
                  </w:r>
                  <w:r>
                    <w:rPr>
                      <w:rFonts w:hint="eastAsia"/>
                      <w:color w:val="auto"/>
                      <w:spacing w:val="-1"/>
                      <w:sz w:val="18"/>
                      <w:szCs w:val="18"/>
                    </w:rPr>
                    <w:t>设防</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lang w:eastAsia="en-US"/>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设施底部必须高于地下水最高水位</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项目设施布置在地面，</w:t>
                  </w:r>
                  <w:r>
                    <w:rPr>
                      <w:rFonts w:hint="eastAsia"/>
                      <w:color w:val="auto"/>
                      <w:spacing w:val="-1"/>
                      <w:sz w:val="18"/>
                      <w:szCs w:val="18"/>
                      <w:lang w:val="en-US" w:eastAsia="zh-CN"/>
                    </w:rPr>
                    <w:t>现目区地表无地下水出露，</w:t>
                  </w:r>
                  <w:r>
                    <w:rPr>
                      <w:color w:val="auto"/>
                      <w:spacing w:val="-1"/>
                      <w:sz w:val="18"/>
                      <w:szCs w:val="18"/>
                    </w:rPr>
                    <w:t>能够满足要求</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lang w:eastAsia="en-US"/>
                    </w:rPr>
                  </w:pPr>
                  <w:r>
                    <w:rPr>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应避免建在溶洞区或易遭受严重自然灾害如洪水、滑坡，泥石流、潮汐等影响的地区</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本项目位置</w:t>
                  </w:r>
                  <w:r>
                    <w:rPr>
                      <w:rFonts w:hint="eastAsia"/>
                      <w:color w:val="auto"/>
                      <w:spacing w:val="-1"/>
                      <w:sz w:val="18"/>
                      <w:szCs w:val="18"/>
                      <w:lang w:val="en-US" w:eastAsia="zh-CN"/>
                    </w:rPr>
                    <w:t>地质条件较好</w:t>
                  </w:r>
                  <w:r>
                    <w:rPr>
                      <w:color w:val="auto"/>
                      <w:spacing w:val="-1"/>
                      <w:sz w:val="18"/>
                      <w:szCs w:val="18"/>
                    </w:rPr>
                    <w:t>，不涉及溶洞区或易遭受严重自然灾害如洪水、滑坡，泥石流、潮汐等影响的地区</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应在易燃、易爆等危险品仓库、高压输电线路防护区域以外</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本项目评价范围内不涉及易燃、易爆等危险品仓库、高压输电线路防护区</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集中贮存的废物堆选址除满足以上要求外，还应满足基础必须防渗的要求</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场区</w:t>
                  </w:r>
                  <w:r>
                    <w:rPr>
                      <w:bCs/>
                      <w:color w:val="auto"/>
                      <w:kern w:val="0"/>
                      <w:sz w:val="18"/>
                      <w:szCs w:val="18"/>
                    </w:rPr>
                    <w:t>地面</w:t>
                  </w:r>
                  <w:r>
                    <w:rPr>
                      <w:rFonts w:hint="eastAsia"/>
                      <w:bCs/>
                      <w:color w:val="auto"/>
                      <w:kern w:val="0"/>
                      <w:sz w:val="18"/>
                      <w:szCs w:val="18"/>
                    </w:rPr>
                    <w:t>采</w:t>
                  </w:r>
                  <w:r>
                    <w:rPr>
                      <w:bCs/>
                      <w:color w:val="auto"/>
                      <w:kern w:val="0"/>
                      <w:sz w:val="18"/>
                      <w:szCs w:val="18"/>
                    </w:rPr>
                    <w:t>用“20cm混凝土硬化</w:t>
                  </w:r>
                  <w:r>
                    <w:rPr>
                      <w:rFonts w:hint="eastAsia"/>
                      <w:bCs/>
                      <w:color w:val="auto"/>
                      <w:kern w:val="0"/>
                      <w:sz w:val="18"/>
                      <w:szCs w:val="18"/>
                    </w:rPr>
                    <w:t>+3</w:t>
                  </w:r>
                  <w:r>
                    <w:rPr>
                      <w:bCs/>
                      <w:color w:val="auto"/>
                      <w:kern w:val="0"/>
                      <w:sz w:val="18"/>
                      <w:szCs w:val="18"/>
                    </w:rPr>
                    <w:t>mm</w:t>
                  </w:r>
                  <w:r>
                    <w:rPr>
                      <w:rFonts w:hint="eastAsia"/>
                      <w:bCs/>
                      <w:color w:val="auto"/>
                      <w:kern w:val="0"/>
                      <w:sz w:val="18"/>
                      <w:szCs w:val="18"/>
                    </w:rPr>
                    <w:t>的SBS改性沥青卷材+2</w:t>
                  </w:r>
                  <w:r>
                    <w:rPr>
                      <w:bCs/>
                      <w:color w:val="auto"/>
                      <w:kern w:val="0"/>
                      <w:sz w:val="18"/>
                      <w:szCs w:val="18"/>
                    </w:rPr>
                    <w:t>mm</w:t>
                  </w:r>
                  <w:r>
                    <w:rPr>
                      <w:rFonts w:hint="eastAsia"/>
                      <w:bCs/>
                      <w:color w:val="auto"/>
                      <w:kern w:val="0"/>
                      <w:sz w:val="18"/>
                      <w:szCs w:val="18"/>
                      <w:lang w:eastAsia="zh-CN"/>
                    </w:rPr>
                    <w:t>高密度聚乙烯</w:t>
                  </w:r>
                  <w:r>
                    <w:rPr>
                      <w:bCs/>
                      <w:color w:val="auto"/>
                      <w:kern w:val="0"/>
                      <w:sz w:val="18"/>
                      <w:szCs w:val="18"/>
                    </w:rPr>
                    <w:t>地坪漆”防渗</w:t>
                  </w:r>
                  <w:r>
                    <w:rPr>
                      <w:color w:val="auto"/>
                      <w:spacing w:val="-1"/>
                      <w:sz w:val="18"/>
                      <w:szCs w:val="18"/>
                    </w:rPr>
                    <w:t>，防渗结构层渗透系数小于1.0×10</w:t>
                  </w:r>
                  <w:r>
                    <w:rPr>
                      <w:color w:val="auto"/>
                      <w:spacing w:val="-1"/>
                      <w:sz w:val="18"/>
                      <w:szCs w:val="18"/>
                      <w:vertAlign w:val="superscript"/>
                    </w:rPr>
                    <w:t>-10</w:t>
                  </w:r>
                  <w:r>
                    <w:rPr>
                      <w:color w:val="auto"/>
                      <w:spacing w:val="-1"/>
                      <w:sz w:val="18"/>
                      <w:szCs w:val="18"/>
                    </w:rPr>
                    <w:t>cm/s</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地面与裙脚要用坚固、防渗的材料建造，建筑材料必须与危险废物相容</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项目区地面采用混凝土硬化，储罐区四周采用实心砖砌</w:t>
                  </w:r>
                  <w:r>
                    <w:rPr>
                      <w:rFonts w:hint="eastAsia"/>
                      <w:color w:val="auto"/>
                      <w:spacing w:val="-1"/>
                      <w:sz w:val="18"/>
                      <w:szCs w:val="18"/>
                      <w:lang w:val="en-US" w:eastAsia="zh-CN"/>
                    </w:rPr>
                    <w:t>4</w:t>
                  </w:r>
                  <w:r>
                    <w:rPr>
                      <w:color w:val="auto"/>
                      <w:spacing w:val="-1"/>
                      <w:sz w:val="18"/>
                      <w:szCs w:val="18"/>
                    </w:rPr>
                    <w:t>0cm的防溢流围堰，</w:t>
                  </w:r>
                  <w:r>
                    <w:rPr>
                      <w:rFonts w:hint="eastAsia"/>
                      <w:color w:val="auto"/>
                      <w:spacing w:val="-1"/>
                      <w:sz w:val="18"/>
                      <w:szCs w:val="18"/>
                    </w:rPr>
                    <w:t>并与底面一同防渗，</w:t>
                  </w:r>
                  <w:r>
                    <w:rPr>
                      <w:color w:val="auto"/>
                      <w:spacing w:val="-1"/>
                      <w:sz w:val="18"/>
                      <w:szCs w:val="18"/>
                    </w:rPr>
                    <w:t>防渗结构层渗透系数小于1.0×10</w:t>
                  </w:r>
                  <w:r>
                    <w:rPr>
                      <w:color w:val="auto"/>
                      <w:spacing w:val="-1"/>
                      <w:sz w:val="18"/>
                      <w:szCs w:val="18"/>
                      <w:vertAlign w:val="superscript"/>
                    </w:rPr>
                    <w:t>-10</w:t>
                  </w:r>
                  <w:r>
                    <w:rPr>
                      <w:color w:val="auto"/>
                      <w:spacing w:val="-1"/>
                      <w:sz w:val="18"/>
                      <w:szCs w:val="18"/>
                    </w:rPr>
                    <w:t>cm/s</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贮存</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设施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设计</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原则</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必须有泄漏液体收集装置</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储罐区四周</w:t>
                  </w:r>
                  <w:r>
                    <w:rPr>
                      <w:rFonts w:hint="eastAsia"/>
                      <w:color w:val="auto"/>
                      <w:spacing w:val="-1"/>
                      <w:sz w:val="18"/>
                      <w:szCs w:val="18"/>
                    </w:rPr>
                    <w:t>建</w:t>
                  </w:r>
                  <w:r>
                    <w:rPr>
                      <w:rFonts w:hint="eastAsia"/>
                      <w:color w:val="auto"/>
                      <w:spacing w:val="-1"/>
                      <w:sz w:val="18"/>
                      <w:szCs w:val="18"/>
                      <w:lang w:val="en-US" w:eastAsia="zh-CN"/>
                    </w:rPr>
                    <w:t>4</w:t>
                  </w:r>
                  <w:r>
                    <w:rPr>
                      <w:color w:val="auto"/>
                      <w:spacing w:val="-1"/>
                      <w:sz w:val="18"/>
                      <w:szCs w:val="18"/>
                    </w:rPr>
                    <w:t>0cm的</w:t>
                  </w:r>
                  <w:r>
                    <w:rPr>
                      <w:rFonts w:hint="eastAsia"/>
                      <w:color w:val="auto"/>
                      <w:spacing w:val="-1"/>
                      <w:sz w:val="18"/>
                      <w:szCs w:val="18"/>
                    </w:rPr>
                    <w:t>高的</w:t>
                  </w:r>
                  <w:r>
                    <w:rPr>
                      <w:color w:val="auto"/>
                      <w:spacing w:val="-1"/>
                      <w:sz w:val="18"/>
                      <w:szCs w:val="18"/>
                    </w:rPr>
                    <w:t>防溢流围堰，</w:t>
                  </w:r>
                  <w:r>
                    <w:rPr>
                      <w:rFonts w:hint="eastAsia"/>
                      <w:color w:val="auto"/>
                      <w:spacing w:val="-1"/>
                      <w:sz w:val="18"/>
                      <w:szCs w:val="18"/>
                    </w:rPr>
                    <w:t>围堰外连接</w:t>
                  </w:r>
                  <w:r>
                    <w:rPr>
                      <w:color w:val="auto"/>
                      <w:spacing w:val="-1"/>
                      <w:sz w:val="18"/>
                      <w:szCs w:val="18"/>
                    </w:rPr>
                    <w:t>事故应急池</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用以存放装载液体、半固体危险废物容器的地方，必须有耐腐蚀的硬化地面，且表面无裂隙</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场区地面</w:t>
                  </w:r>
                  <w:r>
                    <w:rPr>
                      <w:rFonts w:hint="eastAsia"/>
                      <w:color w:val="auto"/>
                      <w:spacing w:val="-1"/>
                      <w:sz w:val="18"/>
                      <w:szCs w:val="18"/>
                    </w:rPr>
                    <w:t>采</w:t>
                  </w:r>
                  <w:r>
                    <w:rPr>
                      <w:color w:val="auto"/>
                      <w:spacing w:val="-1"/>
                      <w:sz w:val="18"/>
                      <w:szCs w:val="18"/>
                    </w:rPr>
                    <w:t>用“20cm混凝土硬化</w:t>
                  </w:r>
                  <w:r>
                    <w:rPr>
                      <w:rFonts w:hint="eastAsia"/>
                      <w:color w:val="auto"/>
                      <w:spacing w:val="-1"/>
                      <w:sz w:val="18"/>
                      <w:szCs w:val="18"/>
                    </w:rPr>
                    <w:t>+3</w:t>
                  </w:r>
                  <w:r>
                    <w:rPr>
                      <w:color w:val="auto"/>
                      <w:spacing w:val="-1"/>
                      <w:sz w:val="18"/>
                      <w:szCs w:val="18"/>
                    </w:rPr>
                    <w:t>mm</w:t>
                  </w:r>
                  <w:r>
                    <w:rPr>
                      <w:rFonts w:hint="eastAsia"/>
                      <w:color w:val="auto"/>
                      <w:spacing w:val="-1"/>
                      <w:sz w:val="18"/>
                      <w:szCs w:val="18"/>
                    </w:rPr>
                    <w:t>的SBS改性沥青卷材+2</w:t>
                  </w:r>
                  <w:r>
                    <w:rPr>
                      <w:color w:val="auto"/>
                      <w:spacing w:val="-1"/>
                      <w:sz w:val="18"/>
                      <w:szCs w:val="18"/>
                    </w:rPr>
                    <w:t>mm</w:t>
                  </w:r>
                  <w:r>
                    <w:rPr>
                      <w:rFonts w:hint="eastAsia"/>
                      <w:color w:val="auto"/>
                      <w:spacing w:val="-1"/>
                      <w:sz w:val="18"/>
                      <w:szCs w:val="18"/>
                      <w:lang w:eastAsia="zh-CN"/>
                    </w:rPr>
                    <w:t>高密度聚乙烯</w:t>
                  </w:r>
                  <w:r>
                    <w:rPr>
                      <w:color w:val="auto"/>
                      <w:spacing w:val="-1"/>
                      <w:sz w:val="18"/>
                      <w:szCs w:val="18"/>
                    </w:rPr>
                    <w:t>地坪漆”防渗，防渗结构层渗透系数小于1.0×10</w:t>
                  </w:r>
                  <w:r>
                    <w:rPr>
                      <w:color w:val="auto"/>
                      <w:spacing w:val="-1"/>
                      <w:sz w:val="18"/>
                      <w:szCs w:val="18"/>
                      <w:vertAlign w:val="superscript"/>
                    </w:rPr>
                    <w:t>-10</w:t>
                  </w:r>
                  <w:r>
                    <w:rPr>
                      <w:color w:val="auto"/>
                      <w:spacing w:val="-1"/>
                      <w:sz w:val="18"/>
                      <w:szCs w:val="18"/>
                    </w:rPr>
                    <w:t>cm/s</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应设计堵截泄漏的裙脚，地面与裙脚所围建的容积不低于堵截最大容器的最大储量或总储量的五分之一</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highlight w:val="none"/>
                    </w:rPr>
                  </w:pPr>
                  <w:r>
                    <w:rPr>
                      <w:color w:val="auto"/>
                      <w:spacing w:val="-1"/>
                      <w:sz w:val="18"/>
                      <w:szCs w:val="18"/>
                      <w:highlight w:val="none"/>
                    </w:rPr>
                    <w:t>本项目的</w:t>
                  </w:r>
                  <w:r>
                    <w:rPr>
                      <w:rFonts w:hint="eastAsia"/>
                      <w:color w:val="auto"/>
                      <w:spacing w:val="-1"/>
                      <w:sz w:val="18"/>
                      <w:szCs w:val="18"/>
                      <w:highlight w:val="none"/>
                      <w:lang w:eastAsia="zh-CN"/>
                    </w:rPr>
                    <w:t>废矿物油</w:t>
                  </w:r>
                  <w:r>
                    <w:rPr>
                      <w:color w:val="auto"/>
                      <w:spacing w:val="-1"/>
                      <w:sz w:val="18"/>
                      <w:szCs w:val="18"/>
                      <w:highlight w:val="none"/>
                    </w:rPr>
                    <w:t>按规范存储，并在储存罐四周设置围堰，围堰高度0.</w:t>
                  </w:r>
                  <w:r>
                    <w:rPr>
                      <w:rFonts w:hint="eastAsia"/>
                      <w:color w:val="auto"/>
                      <w:spacing w:val="-1"/>
                      <w:sz w:val="18"/>
                      <w:szCs w:val="18"/>
                      <w:highlight w:val="none"/>
                      <w:lang w:val="en-US" w:eastAsia="zh-CN"/>
                    </w:rPr>
                    <w:t>4</w:t>
                  </w:r>
                  <w:r>
                    <w:rPr>
                      <w:color w:val="auto"/>
                      <w:spacing w:val="-1"/>
                      <w:sz w:val="18"/>
                      <w:szCs w:val="18"/>
                      <w:highlight w:val="none"/>
                    </w:rPr>
                    <w:t>m，有效容积约</w:t>
                  </w:r>
                  <w:r>
                    <w:rPr>
                      <w:rFonts w:hint="eastAsia"/>
                      <w:color w:val="auto"/>
                      <w:spacing w:val="-1"/>
                      <w:sz w:val="18"/>
                      <w:szCs w:val="18"/>
                      <w:highlight w:val="none"/>
                      <w:lang w:val="en-US" w:eastAsia="zh-CN"/>
                    </w:rPr>
                    <w:t>40</w:t>
                  </w:r>
                  <w:r>
                    <w:rPr>
                      <w:color w:val="auto"/>
                      <w:spacing w:val="-1"/>
                      <w:sz w:val="18"/>
                      <w:szCs w:val="18"/>
                      <w:highlight w:val="none"/>
                    </w:rPr>
                    <w:t>m</w:t>
                  </w:r>
                  <w:r>
                    <w:rPr>
                      <w:color w:val="auto"/>
                      <w:spacing w:val="-1"/>
                      <w:sz w:val="18"/>
                      <w:szCs w:val="18"/>
                      <w:highlight w:val="none"/>
                      <w:vertAlign w:val="superscript"/>
                    </w:rPr>
                    <w:t>3</w:t>
                  </w:r>
                  <w:r>
                    <w:rPr>
                      <w:color w:val="auto"/>
                      <w:spacing w:val="-1"/>
                      <w:sz w:val="18"/>
                      <w:szCs w:val="18"/>
                      <w:highlight w:val="none"/>
                    </w:rPr>
                    <w:t>，大于最大储量的五分之一（</w:t>
                  </w:r>
                  <w:r>
                    <w:rPr>
                      <w:rFonts w:hint="eastAsia"/>
                      <w:color w:val="auto"/>
                      <w:spacing w:val="-1"/>
                      <w:sz w:val="18"/>
                      <w:szCs w:val="18"/>
                      <w:highlight w:val="none"/>
                      <w:lang w:val="en-US" w:eastAsia="zh-CN"/>
                    </w:rPr>
                    <w:t>20</w:t>
                  </w:r>
                  <w:r>
                    <w:rPr>
                      <w:color w:val="auto"/>
                      <w:spacing w:val="-1"/>
                      <w:sz w:val="18"/>
                      <w:szCs w:val="18"/>
                      <w:highlight w:val="none"/>
                    </w:rPr>
                    <w:t>m</w:t>
                  </w:r>
                  <w:r>
                    <w:rPr>
                      <w:color w:val="auto"/>
                      <w:spacing w:val="-1"/>
                      <w:sz w:val="18"/>
                      <w:szCs w:val="18"/>
                      <w:highlight w:val="none"/>
                      <w:vertAlign w:val="superscript"/>
                    </w:rPr>
                    <w:t>3</w:t>
                  </w:r>
                  <w:r>
                    <w:rPr>
                      <w:color w:val="auto"/>
                      <w:spacing w:val="-1"/>
                      <w:sz w:val="18"/>
                      <w:szCs w:val="18"/>
                      <w:highlight w:val="none"/>
                    </w:rPr>
                    <w:t>）</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不相容的危险废物必须分开存放，并设有隔离间隔断基础必须防渗</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highlight w:val="none"/>
                    </w:rPr>
                  </w:pPr>
                  <w:r>
                    <w:rPr>
                      <w:color w:val="auto"/>
                      <w:spacing w:val="-1"/>
                      <w:sz w:val="18"/>
                      <w:szCs w:val="18"/>
                      <w:highlight w:val="none"/>
                    </w:rPr>
                    <w:t>本项目仅贮存</w:t>
                  </w:r>
                  <w:r>
                    <w:rPr>
                      <w:rFonts w:hint="eastAsia"/>
                      <w:color w:val="auto"/>
                      <w:spacing w:val="-1"/>
                      <w:sz w:val="18"/>
                      <w:szCs w:val="18"/>
                      <w:highlight w:val="none"/>
                      <w:lang w:eastAsia="zh-CN"/>
                    </w:rPr>
                    <w:t>废矿物油</w:t>
                  </w:r>
                  <w:r>
                    <w:rPr>
                      <w:color w:val="auto"/>
                      <w:spacing w:val="-1"/>
                      <w:sz w:val="18"/>
                      <w:szCs w:val="18"/>
                      <w:highlight w:val="none"/>
                    </w:rPr>
                    <w:t>，不涉及不相容的危险废物</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堆放</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运行</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与管</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理</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堆放</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运行</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与管</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理</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堆放危险废物的高度应根据地面承载能力确定</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highlight w:val="none"/>
                    </w:rPr>
                  </w:pPr>
                  <w:r>
                    <w:rPr>
                      <w:color w:val="auto"/>
                      <w:spacing w:val="-1"/>
                      <w:sz w:val="18"/>
                      <w:szCs w:val="18"/>
                      <w:highlight w:val="none"/>
                    </w:rPr>
                    <w:t>采用2个储量</w:t>
                  </w:r>
                  <w:r>
                    <w:rPr>
                      <w:rFonts w:hint="eastAsia"/>
                      <w:color w:val="auto"/>
                      <w:spacing w:val="-1"/>
                      <w:sz w:val="18"/>
                      <w:szCs w:val="18"/>
                      <w:highlight w:val="none"/>
                    </w:rPr>
                    <w:t>均</w:t>
                  </w:r>
                  <w:r>
                    <w:rPr>
                      <w:color w:val="auto"/>
                      <w:spacing w:val="-1"/>
                      <w:sz w:val="18"/>
                      <w:szCs w:val="18"/>
                      <w:highlight w:val="none"/>
                    </w:rPr>
                    <w:t>为</w:t>
                  </w:r>
                  <w:r>
                    <w:rPr>
                      <w:rFonts w:hint="eastAsia"/>
                      <w:color w:val="auto"/>
                      <w:spacing w:val="-1"/>
                      <w:sz w:val="18"/>
                      <w:szCs w:val="18"/>
                      <w:highlight w:val="none"/>
                      <w:lang w:val="en-US" w:eastAsia="zh-CN"/>
                    </w:rPr>
                    <w:t>5</w:t>
                  </w:r>
                  <w:r>
                    <w:rPr>
                      <w:rFonts w:hint="eastAsia"/>
                      <w:color w:val="auto"/>
                      <w:spacing w:val="-1"/>
                      <w:sz w:val="18"/>
                      <w:szCs w:val="18"/>
                      <w:highlight w:val="none"/>
                    </w:rPr>
                    <w:t>0</w:t>
                  </w:r>
                  <w:r>
                    <w:rPr>
                      <w:color w:val="auto"/>
                      <w:spacing w:val="-1"/>
                      <w:sz w:val="18"/>
                      <w:szCs w:val="18"/>
                      <w:highlight w:val="none"/>
                    </w:rPr>
                    <w:t>m</w:t>
                  </w:r>
                  <w:r>
                    <w:rPr>
                      <w:color w:val="auto"/>
                      <w:spacing w:val="-1"/>
                      <w:sz w:val="18"/>
                      <w:szCs w:val="18"/>
                      <w:highlight w:val="none"/>
                      <w:vertAlign w:val="superscript"/>
                    </w:rPr>
                    <w:t>3</w:t>
                  </w:r>
                  <w:r>
                    <w:rPr>
                      <w:color w:val="auto"/>
                      <w:spacing w:val="-1"/>
                      <w:sz w:val="18"/>
                      <w:szCs w:val="18"/>
                      <w:highlight w:val="none"/>
                    </w:rPr>
                    <w:t>的卧式储罐，最大贮存量为</w:t>
                  </w:r>
                  <w:r>
                    <w:rPr>
                      <w:rFonts w:hint="eastAsia"/>
                      <w:color w:val="auto"/>
                      <w:spacing w:val="-1"/>
                      <w:sz w:val="18"/>
                      <w:szCs w:val="18"/>
                      <w:highlight w:val="none"/>
                    </w:rPr>
                    <w:t>64t</w:t>
                  </w:r>
                  <w:r>
                    <w:rPr>
                      <w:color w:val="auto"/>
                      <w:spacing w:val="-1"/>
                      <w:sz w:val="18"/>
                      <w:szCs w:val="18"/>
                      <w:highlight w:val="none"/>
                    </w:rPr>
                    <w:t>（</w:t>
                  </w:r>
                  <w:r>
                    <w:rPr>
                      <w:rFonts w:hint="eastAsia"/>
                      <w:color w:val="auto"/>
                      <w:spacing w:val="-1"/>
                      <w:sz w:val="18"/>
                      <w:szCs w:val="18"/>
                      <w:highlight w:val="none"/>
                    </w:rPr>
                    <w:t>按储罐的80%计</w:t>
                  </w:r>
                  <w:r>
                    <w:rPr>
                      <w:color w:val="auto"/>
                      <w:spacing w:val="-1"/>
                      <w:sz w:val="18"/>
                      <w:szCs w:val="18"/>
                      <w:highlight w:val="none"/>
                    </w:rPr>
                    <w:t>），低于地面承载能力</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2"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危险废物堆放要防风、防雨、防晒，不相容的危险废物不能堆放在一起，从事危险废物贮存的单位，必须得到有资质单位出具的该危险废物样品物理和化学性质的分析报告，认定可以贮存后方可接受</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本项目采取卧式</w:t>
                  </w:r>
                  <w:r>
                    <w:rPr>
                      <w:rFonts w:hint="eastAsia"/>
                      <w:color w:val="auto"/>
                      <w:spacing w:val="-1"/>
                      <w:sz w:val="18"/>
                      <w:szCs w:val="18"/>
                      <w:lang w:val="en-US" w:eastAsia="zh-CN"/>
                    </w:rPr>
                    <w:t>双层</w:t>
                  </w:r>
                  <w:r>
                    <w:rPr>
                      <w:color w:val="auto"/>
                      <w:spacing w:val="-1"/>
                      <w:sz w:val="18"/>
                      <w:szCs w:val="18"/>
                    </w:rPr>
                    <w:t>储罐储存，地面按</w:t>
                  </w:r>
                  <w:r>
                    <w:rPr>
                      <w:rFonts w:hint="eastAsia"/>
                      <w:color w:val="auto"/>
                      <w:spacing w:val="-1"/>
                      <w:sz w:val="18"/>
                      <w:szCs w:val="18"/>
                      <w:lang w:val="en-US" w:eastAsia="zh-CN"/>
                    </w:rPr>
                    <w:t>重点</w:t>
                  </w:r>
                  <w:r>
                    <w:rPr>
                      <w:color w:val="auto"/>
                      <w:spacing w:val="-1"/>
                      <w:sz w:val="18"/>
                      <w:szCs w:val="18"/>
                    </w:rPr>
                    <w:t>防渗</w:t>
                  </w:r>
                  <w:r>
                    <w:rPr>
                      <w:rFonts w:hint="eastAsia"/>
                      <w:color w:val="auto"/>
                      <w:spacing w:val="-1"/>
                      <w:sz w:val="18"/>
                      <w:szCs w:val="18"/>
                      <w:lang w:val="en-US" w:eastAsia="zh-CN"/>
                    </w:rPr>
                    <w:t>要求建设</w:t>
                  </w:r>
                  <w:r>
                    <w:rPr>
                      <w:color w:val="auto"/>
                      <w:spacing w:val="-1"/>
                      <w:sz w:val="18"/>
                      <w:szCs w:val="18"/>
                    </w:rPr>
                    <w:t>。待项目通过验收正式运营后，办理</w:t>
                  </w:r>
                  <w:r>
                    <w:rPr>
                      <w:rFonts w:hint="eastAsia"/>
                      <w:color w:val="auto"/>
                      <w:spacing w:val="-1"/>
                      <w:sz w:val="18"/>
                      <w:szCs w:val="18"/>
                      <w:lang w:eastAsia="zh-CN"/>
                    </w:rPr>
                    <w:t>废矿物油</w:t>
                  </w:r>
                  <w:r>
                    <w:rPr>
                      <w:color w:val="auto"/>
                      <w:spacing w:val="-1"/>
                      <w:sz w:val="18"/>
                      <w:szCs w:val="18"/>
                    </w:rPr>
                    <w:t>危险废物收集经营许可证</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危险废物贮存前应进行检验，确保同预定接收的危险废物一致，并登记注册</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本项目仅收集、贮存</w:t>
                  </w:r>
                  <w:r>
                    <w:rPr>
                      <w:rFonts w:hint="eastAsia"/>
                      <w:color w:val="auto"/>
                      <w:spacing w:val="-1"/>
                      <w:sz w:val="18"/>
                      <w:szCs w:val="18"/>
                      <w:lang w:eastAsia="zh-CN"/>
                    </w:rPr>
                    <w:t>废矿物油</w:t>
                  </w:r>
                  <w:r>
                    <w:rPr>
                      <w:color w:val="auto"/>
                      <w:spacing w:val="-1"/>
                      <w:sz w:val="18"/>
                      <w:szCs w:val="18"/>
                    </w:rPr>
                    <w:t>，进场后进行检验，并登记注册</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不得接收未粘贴标签或标签未按规定填写的危险废物，每个堆间应留有搬运通道</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本项目收集的危废均按要求粘贴标签及按规定填写危险废物的标签项目设置安全通道</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不得将不相容的废物混合或合并存放</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本项目仅收集、贮存</w:t>
                  </w:r>
                  <w:r>
                    <w:rPr>
                      <w:rFonts w:hint="eastAsia"/>
                      <w:color w:val="auto"/>
                      <w:spacing w:val="-1"/>
                      <w:sz w:val="18"/>
                      <w:szCs w:val="18"/>
                      <w:lang w:eastAsia="zh-CN"/>
                    </w:rPr>
                    <w:t>废矿物油</w:t>
                  </w:r>
                  <w:r>
                    <w:rPr>
                      <w:color w:val="auto"/>
                      <w:spacing w:val="-1"/>
                      <w:sz w:val="18"/>
                      <w:szCs w:val="18"/>
                    </w:rPr>
                    <w:t>且单独存放</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危险废物产生者和危险废物贮存设施经营者均须作好危险废物情况的记录，须注明危险废物的名称、来源、数量、特性和包装容器的类别、入库日期</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项目投入运行后，公司将建立帐台，明确记录</w:t>
                  </w:r>
                  <w:r>
                    <w:rPr>
                      <w:rFonts w:hint="eastAsia"/>
                      <w:color w:val="auto"/>
                      <w:spacing w:val="-1"/>
                      <w:sz w:val="18"/>
                      <w:szCs w:val="18"/>
                      <w:lang w:eastAsia="zh-CN"/>
                    </w:rPr>
                    <w:t>废矿物油</w:t>
                  </w:r>
                  <w:r>
                    <w:rPr>
                      <w:color w:val="auto"/>
                      <w:spacing w:val="-1"/>
                      <w:sz w:val="18"/>
                      <w:szCs w:val="18"/>
                    </w:rPr>
                    <w:t>名称、来源、数量、特性和包装容器的类别、入库日期</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必须定期对所贮存的危险废物包装容器及贮存设施进行检查、发现破损，应及时采取措施清理</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公司环保、安全领导小组成员将定期对贮存设施进行检查，发现破损，应及时采取措施清理</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危险废物贮存设施必须按规定设置警示标志</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公司将按照要求设置警示标志</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安全</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防护</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与监</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ascii="宋体" w:hAnsi="宋体" w:cs="宋体"/>
                      <w:b/>
                      <w:bCs/>
                      <w:color w:val="auto"/>
                      <w:sz w:val="18"/>
                      <w:szCs w:val="18"/>
                    </w:rPr>
                  </w:pPr>
                  <w:r>
                    <w:rPr>
                      <w:rFonts w:ascii="宋体" w:hAnsi="宋体" w:cs="宋体"/>
                      <w:b/>
                      <w:bCs/>
                      <w:color w:val="auto"/>
                      <w:sz w:val="18"/>
                      <w:szCs w:val="18"/>
                    </w:rPr>
                    <w:t>测</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危险废物贮存设施周围应设置围墙或其他防护栅栏</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项目在贮存区四周设置高度为40cm的围堰</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危险废物贮存设施应配备通讯设施、照明设施、安全防护服装及工具，并设有应急防护措施</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公司将配备通讯设备、照明设施、安全防护服装及工具，并有应急防护设施</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b/>
                      <w:bCs/>
                      <w:color w:val="auto"/>
                      <w:sz w:val="18"/>
                      <w:szCs w:val="18"/>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按国家污染物管理要求对危险废物贮存设施进行监测</w:t>
                  </w:r>
                </w:p>
              </w:tc>
              <w:tc>
                <w:tcPr>
                  <w:tcW w:w="29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color w:val="auto"/>
                      <w:spacing w:val="-1"/>
                      <w:sz w:val="18"/>
                      <w:szCs w:val="18"/>
                    </w:rPr>
                  </w:pPr>
                  <w:r>
                    <w:rPr>
                      <w:color w:val="auto"/>
                      <w:spacing w:val="-1"/>
                      <w:sz w:val="18"/>
                      <w:szCs w:val="18"/>
                    </w:rPr>
                    <w:t>当地环境监测站将定期对场区进行监测</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color w:val="auto"/>
                      <w:spacing w:val="-1"/>
                      <w:sz w:val="18"/>
                      <w:szCs w:val="18"/>
                    </w:rPr>
                  </w:pPr>
                  <w:r>
                    <w:rPr>
                      <w:color w:val="auto"/>
                      <w:spacing w:val="-1"/>
                      <w:sz w:val="18"/>
                      <w:szCs w:val="18"/>
                    </w:rPr>
                    <w:t>符合</w:t>
                  </w:r>
                </w:p>
              </w:tc>
            </w:tr>
          </w:tbl>
          <w:p>
            <w:pPr>
              <w:autoSpaceDE w:val="0"/>
              <w:autoSpaceDN w:val="0"/>
              <w:adjustRightInd w:val="0"/>
              <w:snapToGrid w:val="0"/>
              <w:spacing w:line="360" w:lineRule="exact"/>
              <w:jc w:val="center"/>
              <w:rPr>
                <w:rFonts w:hint="eastAsia"/>
                <w:b/>
                <w:bCs/>
                <w:color w:val="auto"/>
                <w:spacing w:val="-6"/>
                <w:kern w:val="0"/>
                <w:szCs w:val="21"/>
              </w:rPr>
            </w:pPr>
            <w:r>
              <w:rPr>
                <w:rFonts w:hint="eastAsia"/>
                <w:b/>
                <w:bCs/>
                <w:color w:val="auto"/>
                <w:spacing w:val="-6"/>
                <w:kern w:val="0"/>
                <w:szCs w:val="21"/>
              </w:rPr>
              <w:t>（2）与《危险废物收集贮存运输技术规范》（HJ2025-2012）符合性分析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表1-</w:t>
            </w:r>
            <w:r>
              <w:rPr>
                <w:rFonts w:hint="eastAsia" w:ascii="Times New Roman" w:hAnsi="Times New Roman" w:eastAsia="黑体" w:cs="Times New Roman"/>
                <w:color w:val="auto"/>
                <w:kern w:val="0"/>
                <w:sz w:val="20"/>
                <w:szCs w:val="20"/>
                <w:lang w:val="en-US" w:eastAsia="zh-CN"/>
              </w:rPr>
              <w:t>6</w:t>
            </w:r>
            <w:r>
              <w:rPr>
                <w:rFonts w:hint="default" w:ascii="Times New Roman" w:hAnsi="Times New Roman" w:eastAsia="黑体" w:cs="Times New Roman"/>
                <w:color w:val="auto"/>
                <w:kern w:val="0"/>
                <w:sz w:val="20"/>
                <w:szCs w:val="20"/>
                <w:lang w:val="zh-CN" w:eastAsia="zh-CN"/>
              </w:rPr>
              <w:t xml:space="preserve">  本项目与《危险废物收集贮存运输技术规范》符合性分析</w:t>
            </w:r>
          </w:p>
          <w:tbl>
            <w:tblPr>
              <w:tblStyle w:val="15"/>
              <w:tblW w:w="7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336"/>
              <w:gridCol w:w="1558"/>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eastAsia="黑体"/>
                      <w:color w:val="auto"/>
                      <w:kern w:val="0"/>
                      <w:sz w:val="18"/>
                      <w:szCs w:val="18"/>
                    </w:rPr>
                  </w:pPr>
                  <w:r>
                    <w:rPr>
                      <w:rFonts w:hint="eastAsia" w:ascii="宋体" w:hAnsi="宋体" w:cs="宋体"/>
                      <w:b/>
                      <w:bCs/>
                      <w:color w:val="auto"/>
                      <w:sz w:val="18"/>
                      <w:szCs w:val="18"/>
                    </w:rPr>
                    <w:t>项目</w:t>
                  </w: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eastAsia="黑体"/>
                      <w:color w:val="auto"/>
                      <w:kern w:val="0"/>
                      <w:sz w:val="18"/>
                      <w:szCs w:val="18"/>
                    </w:rPr>
                  </w:pPr>
                  <w:r>
                    <w:rPr>
                      <w:rFonts w:hint="eastAsia" w:ascii="宋体" w:hAnsi="宋体" w:cs="宋体"/>
                      <w:b/>
                      <w:bCs/>
                      <w:color w:val="auto"/>
                      <w:sz w:val="18"/>
                      <w:szCs w:val="18"/>
                    </w:rPr>
                    <w:t>规范要求</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eastAsia="黑体"/>
                      <w:color w:val="auto"/>
                      <w:kern w:val="0"/>
                      <w:sz w:val="18"/>
                      <w:szCs w:val="18"/>
                    </w:rPr>
                  </w:pPr>
                  <w:r>
                    <w:rPr>
                      <w:rFonts w:hint="eastAsia" w:ascii="宋体" w:hAnsi="宋体" w:cs="宋体"/>
                      <w:b/>
                      <w:bCs/>
                      <w:color w:val="auto"/>
                      <w:sz w:val="18"/>
                      <w:szCs w:val="18"/>
                    </w:rPr>
                    <w:t>本项目</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eastAsia="黑体"/>
                      <w:color w:val="auto"/>
                      <w:kern w:val="0"/>
                      <w:sz w:val="18"/>
                      <w:szCs w:val="18"/>
                    </w:rPr>
                  </w:pPr>
                  <w:r>
                    <w:rPr>
                      <w:rFonts w:hint="eastAsia" w:ascii="宋体" w:hAnsi="宋体" w:cs="宋体"/>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trPr>
              <w:tc>
                <w:tcPr>
                  <w:tcW w:w="4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r>
                    <w:rPr>
                      <w:rFonts w:hint="eastAsia" w:ascii="宋体" w:hAnsi="宋体" w:cs="宋体"/>
                      <w:b/>
                      <w:bCs/>
                      <w:color w:val="auto"/>
                      <w:sz w:val="18"/>
                      <w:szCs w:val="18"/>
                    </w:rPr>
                    <w:t>危险废物的贮存</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r>
                    <w:rPr>
                      <w:rFonts w:hint="eastAsia" w:ascii="宋体" w:hAnsi="宋体" w:cs="宋体"/>
                      <w:b/>
                      <w:bCs/>
                      <w:color w:val="auto"/>
                      <w:sz w:val="18"/>
                      <w:szCs w:val="18"/>
                    </w:rPr>
                    <w:t>危险废物的贮存</w:t>
                  </w: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危险废物的收集应制定详细的操作规程，内容至少应包括适用范围、操作程序和方法、专用设备和工具、转移和交接、安全保障和应急防护等。</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本项目建成运营后，将严格按照规范要求制定详细的操作规程。</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危险废物收集和转运作业人员应根据工作需要配备必要的个人防护装备，如手套、防护镜、防护服、防毒面具或口罩等。</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项目收集和转运作业人员将配备手套、防护服或口罩等个人防护装备。</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在危险废物的收集和转运过程中，应采取相应的安全防护和污染防治措施，包括防爆、防火、防中毒、防感染、防泄露、防飞扬、防雨或其它防止污染环境的措施。</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本项目将在</w:t>
                  </w:r>
                  <w:r>
                    <w:rPr>
                      <w:rFonts w:hint="eastAsia" w:ascii="宋体" w:hAnsi="宋体" w:cs="宋体"/>
                      <w:color w:val="auto"/>
                      <w:sz w:val="18"/>
                      <w:szCs w:val="18"/>
                      <w:lang w:eastAsia="zh-CN"/>
                    </w:rPr>
                    <w:t>废矿物油</w:t>
                  </w:r>
                  <w:r>
                    <w:rPr>
                      <w:rFonts w:hint="eastAsia" w:ascii="宋体" w:hAnsi="宋体" w:cs="宋体"/>
                      <w:color w:val="auto"/>
                      <w:sz w:val="18"/>
                      <w:szCs w:val="18"/>
                    </w:rPr>
                    <w:t>的收集和转运过程中，严格按照规范要求，采取相应的安全防护和污染防治措施</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6"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危险废物收集时应根据危险废物的种类、数量、危险特性、物理形态、运输要求等因素确定包装形式，具体包装应符合如下要求：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(1)包装材质要与危险废物相容，可根据废物特性选择钢、铝、塑料等材质。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(2)性质类似的废物可收集到同一容器中，性质不相容的危险废物不应混合包装。</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(3)危险废物包装应能有效隔断危险废物迁移扩散途径，并达到防渗、防漏要求。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(4)包装好的危险废物应设置相应的标签，标签信息应填写完整翔实。</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(5)盛装过危险废物的包装袋或包装容器破损后应按危险废物进行管理和处置。</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(6)危险废物还应根据GB12463的有关要求进行运输包装。</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ascii="宋体" w:hAnsi="宋体" w:cs="宋体"/>
                      <w:color w:val="auto"/>
                      <w:sz w:val="18"/>
                      <w:szCs w:val="18"/>
                    </w:rPr>
                  </w:pPr>
                  <w:r>
                    <w:rPr>
                      <w:rFonts w:hint="eastAsia" w:ascii="宋体" w:hAnsi="宋体" w:cs="宋体"/>
                      <w:color w:val="auto"/>
                      <w:sz w:val="18"/>
                      <w:szCs w:val="18"/>
                    </w:rPr>
                    <w:t>在</w:t>
                  </w:r>
                  <w:r>
                    <w:rPr>
                      <w:rFonts w:hint="eastAsia" w:ascii="宋体" w:hAnsi="宋体" w:cs="宋体"/>
                      <w:color w:val="auto"/>
                      <w:sz w:val="18"/>
                      <w:szCs w:val="18"/>
                      <w:lang w:eastAsia="zh-CN"/>
                    </w:rPr>
                    <w:t>废矿物油</w:t>
                  </w:r>
                  <w:r>
                    <w:rPr>
                      <w:rFonts w:hint="eastAsia" w:ascii="宋体" w:hAnsi="宋体" w:cs="宋体"/>
                      <w:color w:val="auto"/>
                      <w:sz w:val="18"/>
                      <w:szCs w:val="18"/>
                    </w:rPr>
                    <w:t>收集时，严格按照规范要求确定包装形式、运输方式</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8"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危险废物的收集作业应满足如下要求：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(1)应根据收集设备、转运车辆以及现场人员等实际情况确定相应作业区域，同时要设置作业界限标志和警示牌。</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(2)作业区域内应设置危险废物收集专用通道和人员避险通道。</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(3)收集时应配备必要的收集工具和包装物，以及必要的应急监测设备及应急装备。</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(4)危险废物收集应参照本标准附录A填写记录表，并将记录表作为危险废物管理的重要档案妥善保存。</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(5)收集结束后应清理和恢复收集作业区域，确保作业区域环境整洁安全。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(6)收集过危险废物的容器、设备、设施、场所及其它物品转作它用时，应消除污染，确保其使用安全。</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lang w:eastAsia="zh-CN"/>
                    </w:rPr>
                    <w:t>废矿物油</w:t>
                  </w:r>
                  <w:r>
                    <w:rPr>
                      <w:rFonts w:hint="eastAsia" w:ascii="宋体" w:hAnsi="宋体" w:cs="宋体"/>
                      <w:color w:val="auto"/>
                      <w:sz w:val="18"/>
                      <w:szCs w:val="18"/>
                    </w:rPr>
                    <w:t>的收集作业满足规范中的相关要求。</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危险废物内部转运作业应满足如下要求：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(1）危险废物内部转运应综合考虑场区的实际情况确定转运路线，尽量避开办公室和生活区。</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(2）危险废物内部转运作业应采用专用的工具，危险废物内部转运应参照本标准附录B填写《危险废物厂内转运记录表》。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(3）危险废物内部转运结束后，应对转运路线进行检查和清理，确保无危险废物遗失在转运路线上，并对转运工具进行清洗。</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项目营运过程，内部转运作业满足规范的相关要求</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贮存可分为产生单位内部贮存、中转贮存及集中性贮存。所对应的贮存设施分别为：产生危险废物的单位用于暂时贮存的设施；拥有危险废物收集经营许可证的单位用于临时贮存废机油的设施；以及危险废物经营单位所配置的贮存设施。</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本项目进行收集和贮存，拟新建贮存区，能够满足用于临时贮存</w:t>
                  </w:r>
                  <w:r>
                    <w:rPr>
                      <w:rFonts w:hint="eastAsia" w:ascii="宋体" w:hAnsi="宋体" w:cs="宋体"/>
                      <w:color w:val="auto"/>
                      <w:sz w:val="18"/>
                      <w:szCs w:val="18"/>
                      <w:lang w:eastAsia="zh-CN"/>
                    </w:rPr>
                    <w:t>废矿物油</w:t>
                  </w:r>
                  <w:r>
                    <w:rPr>
                      <w:rFonts w:hint="eastAsia" w:ascii="宋体" w:hAnsi="宋体" w:cs="宋体"/>
                      <w:color w:val="auto"/>
                      <w:sz w:val="18"/>
                      <w:szCs w:val="18"/>
                    </w:rPr>
                    <w:t>的设施相关要求。</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4"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贮存危险废物时应按危险废物的种类和特性进行分区贮存，每个区之间应设置挡墙间隔，并设置防雨、防火、防雷、防扬尘装置。</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项目设置规范贮存区，仅进行</w:t>
                  </w:r>
                  <w:r>
                    <w:rPr>
                      <w:rFonts w:hint="eastAsia" w:ascii="宋体" w:hAnsi="宋体" w:cs="宋体"/>
                      <w:color w:val="auto"/>
                      <w:sz w:val="18"/>
                      <w:szCs w:val="18"/>
                      <w:lang w:eastAsia="zh-CN"/>
                    </w:rPr>
                    <w:t>废矿物油</w:t>
                  </w:r>
                  <w:r>
                    <w:rPr>
                      <w:rFonts w:hint="eastAsia" w:ascii="宋体" w:hAnsi="宋体" w:cs="宋体"/>
                      <w:color w:val="auto"/>
                      <w:sz w:val="18"/>
                      <w:szCs w:val="18"/>
                    </w:rPr>
                    <w:t>储存，并设置防雨、防火、防雷、防扬尘装置。</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b/>
                      <w:bCs/>
                      <w:color w:val="auto"/>
                      <w:sz w:val="18"/>
                      <w:szCs w:val="18"/>
                    </w:rPr>
                  </w:pPr>
                </w:p>
              </w:tc>
              <w:tc>
                <w:tcPr>
                  <w:tcW w:w="433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危险废物贮存单位应建立危险废物台账制度。</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宋体" w:hAnsi="宋体" w:cs="宋体"/>
                      <w:color w:val="auto"/>
                      <w:sz w:val="18"/>
                      <w:szCs w:val="18"/>
                    </w:rPr>
                  </w:pPr>
                  <w:r>
                    <w:rPr>
                      <w:rFonts w:hint="eastAsia" w:ascii="宋体" w:hAnsi="宋体" w:cs="宋体"/>
                      <w:color w:val="auto"/>
                      <w:sz w:val="18"/>
                      <w:szCs w:val="18"/>
                    </w:rPr>
                    <w:t>企业拟设置危险废物贮存台账制度</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eastAsia" w:ascii="宋体" w:hAnsi="宋体" w:cs="宋体"/>
                      <w:color w:val="auto"/>
                      <w:sz w:val="18"/>
                      <w:szCs w:val="18"/>
                    </w:rPr>
                  </w:pPr>
                  <w:r>
                    <w:rPr>
                      <w:rFonts w:hint="eastAsia" w:ascii="宋体" w:hAnsi="宋体" w:cs="宋体"/>
                      <w:color w:val="auto"/>
                      <w:sz w:val="18"/>
                      <w:szCs w:val="18"/>
                    </w:rPr>
                    <w:t>符合</w:t>
                  </w:r>
                </w:p>
              </w:tc>
            </w:tr>
          </w:tbl>
          <w:p>
            <w:pPr>
              <w:keepNext w:val="0"/>
              <w:keepLines w:val="0"/>
              <w:pageBreakBefore w:val="0"/>
              <w:widowControl w:val="0"/>
              <w:kinsoku/>
              <w:wordWrap/>
              <w:overflowPunct/>
              <w:topLinePunct w:val="0"/>
              <w:bidi w:val="0"/>
              <w:adjustRightInd w:val="0"/>
              <w:snapToGrid w:val="0"/>
              <w:spacing w:line="400" w:lineRule="exact"/>
              <w:ind w:left="-53" w:leftChars="-25" w:right="-53" w:rightChars="-25"/>
              <w:jc w:val="left"/>
              <w:textAlignment w:val="auto"/>
              <w:rPr>
                <w:rFonts w:hint="default" w:ascii="Times New Roman" w:hAnsi="Times New Roman" w:eastAsia="黑体" w:cs="Times New Roman"/>
                <w:bCs/>
                <w:color w:val="auto"/>
                <w:szCs w:val="21"/>
              </w:rPr>
            </w:pPr>
            <w:r>
              <w:rPr>
                <w:rFonts w:hint="eastAsia" w:eastAsia="黑体" w:cs="Times New Roman"/>
                <w:bCs/>
                <w:color w:val="auto"/>
                <w:szCs w:val="21"/>
                <w:lang w:val="en-US" w:eastAsia="zh-CN"/>
              </w:rPr>
              <w:t>5、</w:t>
            </w:r>
            <w:r>
              <w:rPr>
                <w:rFonts w:hint="default" w:ascii="Times New Roman" w:hAnsi="Times New Roman" w:eastAsia="黑体" w:cs="Times New Roman"/>
                <w:bCs/>
                <w:color w:val="auto"/>
                <w:szCs w:val="21"/>
              </w:rPr>
              <w:t>选址的合理性分析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eastAsia" w:cs="Times New Roman"/>
                <w:b/>
                <w:bCs/>
                <w:color w:val="auto"/>
                <w:kern w:val="0"/>
                <w:szCs w:val="21"/>
                <w:lang w:val="en-US" w:eastAsia="zh-CN"/>
              </w:rPr>
            </w:pPr>
            <w:r>
              <w:rPr>
                <w:rFonts w:hint="eastAsia" w:cs="Times New Roman"/>
                <w:b/>
                <w:bCs/>
                <w:color w:val="auto"/>
                <w:kern w:val="0"/>
                <w:szCs w:val="21"/>
                <w:lang w:eastAsia="zh-CN"/>
              </w:rPr>
              <w:t>（</w:t>
            </w:r>
            <w:r>
              <w:rPr>
                <w:rFonts w:hint="eastAsia" w:cs="Times New Roman"/>
                <w:b/>
                <w:bCs/>
                <w:color w:val="auto"/>
                <w:kern w:val="0"/>
                <w:szCs w:val="21"/>
                <w:lang w:val="en-US" w:eastAsia="zh-CN"/>
              </w:rPr>
              <w:t>1</w:t>
            </w:r>
            <w:r>
              <w:rPr>
                <w:rFonts w:hint="eastAsia" w:cs="Times New Roman"/>
                <w:b/>
                <w:bCs/>
                <w:color w:val="auto"/>
                <w:kern w:val="0"/>
                <w:szCs w:val="21"/>
                <w:lang w:eastAsia="zh-CN"/>
              </w:rPr>
              <w:t>）</w:t>
            </w:r>
            <w:r>
              <w:rPr>
                <w:rFonts w:hint="eastAsia" w:cs="Times New Roman"/>
                <w:b/>
                <w:bCs/>
                <w:color w:val="auto"/>
                <w:kern w:val="0"/>
                <w:szCs w:val="21"/>
                <w:lang w:val="en-US" w:eastAsia="zh-CN"/>
              </w:rPr>
              <w:t>外环境关系</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cs="Times New Roman"/>
                <w:color w:val="auto"/>
                <w:kern w:val="0"/>
                <w:szCs w:val="21"/>
                <w:lang w:val="en-US" w:eastAsia="zh-CN"/>
              </w:rPr>
            </w:pP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位于普光经开区西区的柳池功能区南部</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租用宣汉县弘泰电化有限责任公司（已停产）</w:t>
            </w:r>
            <w:r>
              <w:rPr>
                <w:rFonts w:hint="eastAsia" w:ascii="Times New Roman" w:hAnsi="Times New Roman" w:cs="Times New Roman"/>
                <w:color w:val="auto"/>
                <w:kern w:val="0"/>
                <w:szCs w:val="21"/>
                <w:lang w:val="en-US" w:eastAsia="zh-CN"/>
              </w:rPr>
              <w:t>闲置</w:t>
            </w:r>
            <w:r>
              <w:rPr>
                <w:rFonts w:hint="default" w:ascii="Times New Roman" w:hAnsi="Times New Roman" w:cs="Times New Roman"/>
                <w:color w:val="auto"/>
                <w:kern w:val="0"/>
                <w:szCs w:val="21"/>
                <w:lang w:val="en-US" w:eastAsia="zh-CN"/>
              </w:rPr>
              <w:t>厂房建设</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eastAsia="zh-CN"/>
              </w:rPr>
              <w:t>根据环评调查，</w:t>
            </w:r>
            <w:r>
              <w:rPr>
                <w:rFonts w:hint="default" w:ascii="Times New Roman" w:hAnsi="Times New Roman" w:cs="Times New Roman"/>
                <w:color w:val="auto"/>
                <w:kern w:val="0"/>
                <w:szCs w:val="21"/>
              </w:rPr>
              <w:t>外环境关系如下</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弘泰</w:t>
            </w:r>
            <w:r>
              <w:rPr>
                <w:rFonts w:hint="eastAsia" w:cs="Times New Roman"/>
                <w:color w:val="auto"/>
                <w:kern w:val="0"/>
                <w:szCs w:val="21"/>
                <w:lang w:val="en-US" w:eastAsia="zh-CN"/>
              </w:rPr>
              <w:t>公司厂区北面、东面、东南面均为山坡</w:t>
            </w:r>
            <w:r>
              <w:rPr>
                <w:rFonts w:hint="default" w:ascii="Times New Roman" w:hAnsi="Times New Roman" w:cs="Times New Roman"/>
                <w:color w:val="auto"/>
                <w:kern w:val="0"/>
                <w:szCs w:val="21"/>
                <w:lang w:eastAsia="zh-CN"/>
              </w:rPr>
              <w:t>，坡上植被茂密</w:t>
            </w:r>
            <w:bookmarkStart w:id="3" w:name="_Toc29003"/>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厂界南面为“宣汉县鑫泰电气化有限公司”，其厂界相邻；</w:t>
            </w:r>
            <w:r>
              <w:rPr>
                <w:rFonts w:hint="eastAsia" w:cs="Times New Roman"/>
                <w:color w:val="auto"/>
                <w:kern w:val="0"/>
                <w:szCs w:val="21"/>
                <w:lang w:val="en-US" w:eastAsia="zh-CN"/>
              </w:rPr>
              <w:t>厂界西侧为园区道路，宽约24m，道路以西为“达州美特思乳胶制品有限公司”，厂界相距约25m。厂界与东面距凉水井水库直线距离最近约170m，中间被一山脊阻隔。</w:t>
            </w:r>
          </w:p>
          <w:bookmarkEnd w:id="3"/>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本项目租用弘泰公司建设，用地面积约800m</w:t>
            </w:r>
            <w:r>
              <w:rPr>
                <w:rFonts w:hint="eastAsia" w:cs="Times New Roman"/>
                <w:color w:val="auto"/>
                <w:kern w:val="0"/>
                <w:szCs w:val="21"/>
                <w:vertAlign w:val="superscript"/>
                <w:lang w:val="en-US" w:eastAsia="zh-CN"/>
              </w:rPr>
              <w:t>2</w:t>
            </w:r>
            <w:r>
              <w:rPr>
                <w:rFonts w:hint="eastAsia" w:cs="Times New Roman"/>
                <w:color w:val="auto"/>
                <w:kern w:val="0"/>
                <w:szCs w:val="21"/>
                <w:lang w:val="en-US" w:eastAsia="zh-CN"/>
              </w:rPr>
              <w:t>，储油车间面积约450m</w:t>
            </w:r>
            <w:r>
              <w:rPr>
                <w:rFonts w:hint="eastAsia" w:cs="Times New Roman"/>
                <w:color w:val="auto"/>
                <w:kern w:val="0"/>
                <w:szCs w:val="21"/>
                <w:vertAlign w:val="superscript"/>
                <w:lang w:val="en-US" w:eastAsia="zh-CN"/>
              </w:rPr>
              <w:t>2</w:t>
            </w:r>
            <w:r>
              <w:rPr>
                <w:rFonts w:hint="eastAsia" w:cs="Times New Roman"/>
                <w:color w:val="auto"/>
                <w:kern w:val="0"/>
                <w:szCs w:val="21"/>
                <w:lang w:val="en-US" w:eastAsia="zh-CN"/>
              </w:rPr>
              <w:t xml:space="preserve">，位于公司西部，靠近进厂大门侧。车间东面为弘泰公司的生产车间（现已废弃）；南面隔一条内部道路后为厂区围墙；西面为办公楼，距离约10m；车间距西面园区道路约30m；北面为公司空地。拟用厂房与东面凉水井水库直线距离最近约250m。 </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2"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b/>
                <w:bCs/>
                <w:color w:val="auto"/>
                <w:kern w:val="0"/>
                <w:szCs w:val="21"/>
              </w:rPr>
              <w:t>（</w:t>
            </w:r>
            <w:r>
              <w:rPr>
                <w:rFonts w:hint="eastAsia" w:cs="Times New Roman"/>
                <w:b/>
                <w:bCs/>
                <w:color w:val="auto"/>
                <w:kern w:val="0"/>
                <w:szCs w:val="21"/>
                <w:lang w:val="en-US" w:eastAsia="zh-CN"/>
              </w:rPr>
              <w:t>2</w:t>
            </w:r>
            <w:r>
              <w:rPr>
                <w:rFonts w:hint="default" w:ascii="Times New Roman" w:hAnsi="Times New Roman" w:cs="Times New Roman"/>
                <w:b/>
                <w:bCs/>
                <w:color w:val="auto"/>
                <w:kern w:val="0"/>
                <w:szCs w:val="21"/>
              </w:rPr>
              <w:t>）</w:t>
            </w:r>
            <w:r>
              <w:rPr>
                <w:rFonts w:hint="eastAsia" w:cs="Times New Roman"/>
                <w:b/>
                <w:bCs/>
                <w:color w:val="auto"/>
                <w:kern w:val="0"/>
                <w:szCs w:val="21"/>
                <w:lang w:val="en-US" w:eastAsia="zh-CN"/>
              </w:rPr>
              <w:t>选址</w:t>
            </w:r>
            <w:r>
              <w:rPr>
                <w:rFonts w:hint="eastAsia" w:ascii="Times New Roman" w:hAnsi="Times New Roman" w:cs="Times New Roman"/>
                <w:b/>
                <w:bCs/>
                <w:color w:val="auto"/>
                <w:kern w:val="0"/>
                <w:szCs w:val="21"/>
                <w:lang w:val="en-US" w:eastAsia="zh-CN"/>
              </w:rPr>
              <w:t>合理性分析</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①项目租用已建闲置厂房建设，不增加用地，该地使用性质</w:t>
            </w:r>
            <w:r>
              <w:rPr>
                <w:rFonts w:hint="default" w:ascii="Times New Roman" w:hAnsi="Times New Roman" w:cs="Times New Roman"/>
                <w:color w:val="auto"/>
                <w:kern w:val="0"/>
                <w:szCs w:val="21"/>
                <w:lang w:eastAsia="zh-CN"/>
              </w:rPr>
              <w:t>属于工业用地，符合</w:t>
            </w:r>
            <w:r>
              <w:rPr>
                <w:rFonts w:hint="eastAsia" w:ascii="Times New Roman" w:hAnsi="Times New Roman" w:cs="Times New Roman"/>
                <w:color w:val="auto"/>
                <w:kern w:val="0"/>
                <w:szCs w:val="21"/>
                <w:lang w:val="en-US" w:eastAsia="zh-CN"/>
              </w:rPr>
              <w:t>宣汉县</w:t>
            </w:r>
            <w:r>
              <w:rPr>
                <w:rFonts w:hint="default" w:ascii="Times New Roman" w:hAnsi="Times New Roman" w:cs="Times New Roman"/>
                <w:color w:val="auto"/>
                <w:kern w:val="0"/>
                <w:szCs w:val="21"/>
                <w:lang w:eastAsia="zh-CN"/>
              </w:rPr>
              <w:t>土地利用总体规划</w:t>
            </w:r>
            <w:r>
              <w:rPr>
                <w:rFonts w:hint="eastAsia" w:cs="Times New Roman"/>
                <w:color w:val="auto"/>
                <w:kern w:val="0"/>
                <w:szCs w:val="21"/>
                <w:lang w:eastAsia="zh-CN"/>
              </w:rPr>
              <w:t>。</w:t>
            </w:r>
            <w:r>
              <w:rPr>
                <w:rFonts w:hint="eastAsia" w:cs="Times New Roman"/>
                <w:color w:val="auto"/>
                <w:kern w:val="0"/>
                <w:szCs w:val="21"/>
                <w:lang w:val="en-US" w:eastAsia="zh-CN"/>
              </w:rPr>
              <w:t>项目位于规划的工业园区内，符合四川达州普光经济开发区总体规划（2019-2035）。</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lang w:eastAsia="zh-CN"/>
              </w:rPr>
            </w:pPr>
            <w:r>
              <w:rPr>
                <w:rFonts w:hint="eastAsia" w:cs="Times New Roman"/>
                <w:color w:val="auto"/>
                <w:kern w:val="0"/>
                <w:szCs w:val="21"/>
                <w:lang w:val="en-US" w:eastAsia="zh-CN"/>
              </w:rPr>
              <w:t>②</w:t>
            </w:r>
            <w:r>
              <w:rPr>
                <w:rFonts w:hint="default" w:ascii="Times New Roman" w:hAnsi="Times New Roman" w:cs="Times New Roman"/>
                <w:color w:val="auto"/>
                <w:kern w:val="0"/>
                <w:szCs w:val="21"/>
              </w:rPr>
              <w:t>项目建设影响区范围不涉及特殊环境敏感目标。项目建设区</w:t>
            </w:r>
            <w:r>
              <w:rPr>
                <w:rFonts w:hint="eastAsia" w:cs="Times New Roman"/>
                <w:color w:val="auto"/>
                <w:kern w:val="0"/>
                <w:szCs w:val="21"/>
                <w:lang w:val="en-US" w:eastAsia="zh-CN"/>
              </w:rPr>
              <w:t>不</w:t>
            </w:r>
            <w:r>
              <w:rPr>
                <w:rFonts w:hint="default" w:ascii="Times New Roman" w:hAnsi="Times New Roman" w:cs="Times New Roman"/>
                <w:color w:val="auto"/>
                <w:kern w:val="0"/>
                <w:szCs w:val="21"/>
              </w:rPr>
              <w:t>属于城市建成区，评价范围内不涉及自然保护区、风景名胜区、基本农田、饮用水源地保护区等特殊环境敏感目标。</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rPr>
            </w:pPr>
            <w:r>
              <w:rPr>
                <w:rFonts w:hint="eastAsia" w:cs="Times New Roman"/>
                <w:color w:val="auto"/>
                <w:kern w:val="0"/>
                <w:szCs w:val="21"/>
                <w:lang w:val="en-US" w:eastAsia="zh-CN"/>
              </w:rPr>
              <w:t>③本项目工程地质与水文条件良好，适于建设；西侧邻园区道路，交通便利；电力、给水等设施齐备；不属于环境敏感区、洪泛区，周边无重点文物保护区等。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④本项目租用弘泰公司闲置的原料车间（</w:t>
            </w:r>
            <w:r>
              <w:rPr>
                <w:rFonts w:hint="default" w:ascii="Times New Roman" w:hAnsi="Times New Roman" w:cs="Times New Roman"/>
                <w:color w:val="auto"/>
                <w:kern w:val="0"/>
                <w:szCs w:val="21"/>
                <w:lang w:eastAsia="zh-CN"/>
              </w:rPr>
              <w:t>约</w:t>
            </w:r>
            <w:r>
              <w:rPr>
                <w:rFonts w:hint="eastAsia" w:cs="Times New Roman"/>
                <w:color w:val="auto"/>
                <w:kern w:val="0"/>
                <w:szCs w:val="21"/>
                <w:lang w:val="en-US" w:eastAsia="zh-CN"/>
              </w:rPr>
              <w:t>450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2</w:t>
            </w:r>
            <w:r>
              <w:rPr>
                <w:rFonts w:hint="eastAsia" w:cs="Times New Roman"/>
                <w:color w:val="auto"/>
                <w:kern w:val="0"/>
                <w:szCs w:val="21"/>
                <w:lang w:val="en-US" w:eastAsia="zh-CN"/>
              </w:rPr>
              <w:t>）建设储油车间，能够充分利用闲置资源，发挥最大的价值；同时减少项目投资。</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⑤</w:t>
            </w:r>
            <w:r>
              <w:rPr>
                <w:rFonts w:hint="default" w:ascii="Times New Roman" w:hAnsi="Times New Roman" w:cs="Times New Roman"/>
                <w:color w:val="auto"/>
                <w:kern w:val="0"/>
                <w:szCs w:val="21"/>
              </w:rPr>
              <w:t>项目建设与周围环境相协调。项目</w:t>
            </w:r>
            <w:r>
              <w:rPr>
                <w:rFonts w:hint="default" w:ascii="Times New Roman" w:hAnsi="Times New Roman" w:cs="Times New Roman"/>
                <w:color w:val="auto"/>
                <w:kern w:val="0"/>
                <w:szCs w:val="21"/>
                <w:lang w:val="en-US" w:eastAsia="zh-CN"/>
              </w:rPr>
              <w:t>拟</w:t>
            </w:r>
            <w:r>
              <w:rPr>
                <w:rFonts w:hint="default" w:ascii="Times New Roman" w:hAnsi="Times New Roman" w:cs="Times New Roman"/>
                <w:color w:val="auto"/>
                <w:kern w:val="0"/>
                <w:szCs w:val="21"/>
              </w:rPr>
              <w:t>建区</w:t>
            </w:r>
            <w:r>
              <w:rPr>
                <w:rFonts w:hint="default" w:ascii="Times New Roman" w:hAnsi="Times New Roman" w:cs="Times New Roman"/>
                <w:color w:val="auto"/>
                <w:kern w:val="0"/>
                <w:szCs w:val="21"/>
                <w:lang w:val="en-US" w:eastAsia="zh-CN"/>
              </w:rPr>
              <w:t>域</w:t>
            </w:r>
            <w:r>
              <w:rPr>
                <w:rFonts w:hint="eastAsia" w:ascii="Times New Roman" w:hAnsi="Times New Roman" w:cs="Times New Roman"/>
                <w:color w:val="auto"/>
                <w:kern w:val="0"/>
                <w:szCs w:val="21"/>
                <w:lang w:val="en-US" w:eastAsia="zh-CN"/>
              </w:rPr>
              <w:t>位于工业园区，周围无住户，</w:t>
            </w:r>
            <w:r>
              <w:rPr>
                <w:rFonts w:hint="eastAsia" w:cs="Times New Roman"/>
                <w:color w:val="auto"/>
                <w:kern w:val="0"/>
                <w:szCs w:val="21"/>
                <w:lang w:val="en-US" w:eastAsia="zh-CN"/>
              </w:rPr>
              <w:t>最近的柳坪村位于项目西北面，最近约1.78km。根据调查，项目所在区域夏季常年主导风向为东北风，柳坪村处于侧风向，项目不会对其造成影响。</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综上分析，本项目选址合理可行。</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bCs/>
                <w:color w:val="FF0000"/>
                <w:szCs w:val="21"/>
                <w:lang w:val="en-US" w:eastAsia="zh-CN"/>
              </w:rPr>
            </w:pPr>
          </w:p>
          <w:p>
            <w:pPr>
              <w:autoSpaceDE w:val="0"/>
              <w:autoSpaceDN w:val="0"/>
              <w:adjustRightInd w:val="0"/>
              <w:snapToGrid w:val="0"/>
              <w:spacing w:line="400" w:lineRule="exact"/>
              <w:jc w:val="center"/>
              <w:rPr>
                <w:rFonts w:hint="eastAsia" w:eastAsia="宋体"/>
                <w:bCs/>
                <w:color w:val="FF0000"/>
                <w:szCs w:val="21"/>
                <w:lang w:val="en-US" w:eastAsia="zh-CN"/>
              </w:rPr>
            </w:pPr>
            <w:r>
              <w:rPr>
                <w:rFonts w:hint="eastAsia"/>
                <w:bCs/>
                <w:color w:val="FF0000"/>
                <w:szCs w:val="21"/>
                <w:lang w:val="en-US" w:eastAsia="zh-CN"/>
              </w:rPr>
              <w:t xml:space="preserve"> </w:t>
            </w:r>
          </w:p>
          <w:p>
            <w:pPr>
              <w:autoSpaceDE w:val="0"/>
              <w:autoSpaceDN w:val="0"/>
              <w:adjustRightInd w:val="0"/>
              <w:snapToGrid w:val="0"/>
              <w:spacing w:line="400" w:lineRule="exact"/>
              <w:jc w:val="center"/>
              <w:rPr>
                <w:color w:val="FF0000"/>
                <w:kern w:val="0"/>
                <w:szCs w:val="21"/>
              </w:rPr>
            </w:pPr>
          </w:p>
        </w:tc>
      </w:tr>
    </w:tbl>
    <w:p>
      <w:pPr>
        <w:spacing w:line="360" w:lineRule="auto"/>
        <w:outlineLvl w:val="0"/>
        <w:rPr>
          <w:rFonts w:eastAsia="黑体"/>
          <w:color w:val="FF0000"/>
          <w:sz w:val="30"/>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formProt w:val="1"/>
          <w:docGrid w:linePitch="312" w:charSpace="0"/>
        </w:sectPr>
      </w:pPr>
    </w:p>
    <w:p>
      <w:pPr>
        <w:widowControl/>
        <w:spacing w:before="100" w:beforeAutospacing="1" w:after="100" w:afterAutospacing="1"/>
        <w:jc w:val="center"/>
        <w:outlineLvl w:val="0"/>
        <w:rPr>
          <w:rFonts w:eastAsia="黑体"/>
          <w:snapToGrid w:val="0"/>
          <w:color w:val="auto"/>
          <w:kern w:val="0"/>
          <w:sz w:val="30"/>
          <w:szCs w:val="30"/>
        </w:rPr>
      </w:pPr>
      <w:r>
        <w:rPr>
          <w:rFonts w:eastAsia="黑体"/>
          <w:snapToGrid w:val="0"/>
          <w:color w:val="auto"/>
          <w:kern w:val="0"/>
          <w:sz w:val="30"/>
          <w:szCs w:val="30"/>
        </w:rPr>
        <w:t>二、建设项目工程分析</w:t>
      </w:r>
    </w:p>
    <w:tbl>
      <w:tblPr>
        <w:tblStyle w:val="1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2" w:hRule="atLeast"/>
          <w:jc w:val="center"/>
        </w:trPr>
        <w:tc>
          <w:tcPr>
            <w:tcW w:w="678" w:type="dxa"/>
            <w:noWrap w:val="0"/>
            <w:vAlign w:val="center"/>
          </w:tcPr>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r>
              <w:rPr>
                <w:b/>
                <w:bCs/>
                <w:color w:val="auto"/>
                <w:kern w:val="0"/>
                <w:szCs w:val="21"/>
              </w:rPr>
              <w:t>建设内容</w:t>
            </w: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r>
              <w:rPr>
                <w:b/>
                <w:bCs/>
                <w:color w:val="auto"/>
                <w:kern w:val="0"/>
                <w:szCs w:val="21"/>
              </w:rPr>
              <w:t>建设内容</w:t>
            </w: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r>
              <w:rPr>
                <w:b/>
                <w:bCs/>
                <w:color w:val="auto"/>
                <w:kern w:val="0"/>
                <w:szCs w:val="21"/>
              </w:rPr>
              <w:t>建设内容</w:t>
            </w: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rPr>
                <w:b/>
                <w:bCs/>
                <w:color w:val="auto"/>
                <w:kern w:val="0"/>
                <w:szCs w:val="21"/>
              </w:rPr>
            </w:pPr>
          </w:p>
        </w:tc>
        <w:tc>
          <w:tcPr>
            <w:tcW w:w="8306" w:type="dxa"/>
            <w:noWrap w:val="0"/>
            <w:vAlign w:val="top"/>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1、项目建设内容</w:t>
            </w:r>
          </w:p>
          <w:p>
            <w:pPr>
              <w:autoSpaceDE w:val="0"/>
              <w:autoSpaceDN w:val="0"/>
              <w:adjustRightInd w:val="0"/>
              <w:snapToGrid w:val="0"/>
              <w:spacing w:line="400" w:lineRule="exact"/>
              <w:ind w:left="-31" w:leftChars="-15" w:right="-31" w:rightChars="-15" w:firstLine="420" w:firstLineChars="200"/>
              <w:rPr>
                <w:color w:val="auto"/>
                <w:kern w:val="0"/>
                <w:szCs w:val="21"/>
              </w:rPr>
            </w:pPr>
            <w:r>
              <w:rPr>
                <w:rFonts w:hint="eastAsia"/>
                <w:color w:val="auto"/>
                <w:kern w:val="0"/>
                <w:szCs w:val="21"/>
                <w:lang w:val="en-US" w:eastAsia="zh-CN"/>
              </w:rPr>
              <w:t>本项目租用弘泰公司闲置的场地约800m</w:t>
            </w:r>
            <w:r>
              <w:rPr>
                <w:rFonts w:hint="eastAsia"/>
                <w:color w:val="auto"/>
                <w:kern w:val="0"/>
                <w:szCs w:val="21"/>
                <w:vertAlign w:val="superscript"/>
                <w:lang w:val="en-US" w:eastAsia="zh-CN"/>
              </w:rPr>
              <w:t>2</w:t>
            </w:r>
            <w:r>
              <w:rPr>
                <w:rFonts w:hint="eastAsia"/>
                <w:color w:val="auto"/>
                <w:kern w:val="0"/>
                <w:szCs w:val="21"/>
                <w:lang w:val="en-US" w:eastAsia="zh-CN"/>
              </w:rPr>
              <w:t>，其中原料车间（拟建设储油车间）1个，约450m</w:t>
            </w:r>
            <w:r>
              <w:rPr>
                <w:rFonts w:hint="eastAsia"/>
                <w:color w:val="auto"/>
                <w:kern w:val="0"/>
                <w:szCs w:val="21"/>
                <w:vertAlign w:val="superscript"/>
                <w:lang w:val="en-US" w:eastAsia="zh-CN"/>
              </w:rPr>
              <w:t>2</w:t>
            </w:r>
            <w:r>
              <w:rPr>
                <w:rFonts w:hint="eastAsia"/>
                <w:color w:val="auto"/>
                <w:kern w:val="0"/>
                <w:szCs w:val="21"/>
                <w:lang w:val="en-US" w:eastAsia="zh-CN"/>
              </w:rPr>
              <w:t>，同时租用</w:t>
            </w:r>
            <w:r>
              <w:rPr>
                <w:color w:val="auto"/>
                <w:kern w:val="0"/>
                <w:szCs w:val="21"/>
              </w:rPr>
              <w:t>办公</w:t>
            </w:r>
            <w:r>
              <w:rPr>
                <w:rFonts w:hint="eastAsia"/>
                <w:color w:val="auto"/>
                <w:kern w:val="0"/>
                <w:szCs w:val="21"/>
                <w:lang w:val="en-US" w:eastAsia="zh-CN"/>
              </w:rPr>
              <w:t>用房3间，面积约1</w:t>
            </w:r>
            <w:r>
              <w:rPr>
                <w:color w:val="auto"/>
                <w:kern w:val="0"/>
                <w:szCs w:val="21"/>
              </w:rPr>
              <w:t>00m</w:t>
            </w:r>
            <w:r>
              <w:rPr>
                <w:color w:val="auto"/>
                <w:kern w:val="0"/>
                <w:szCs w:val="21"/>
                <w:vertAlign w:val="superscript"/>
              </w:rPr>
              <w:t>2</w:t>
            </w:r>
            <w:r>
              <w:rPr>
                <w:rFonts w:hint="eastAsia"/>
                <w:color w:val="auto"/>
                <w:kern w:val="0"/>
                <w:szCs w:val="21"/>
                <w:lang w:eastAsia="zh-CN"/>
              </w:rPr>
              <w:t>，</w:t>
            </w:r>
            <w:r>
              <w:rPr>
                <w:rFonts w:hint="eastAsia"/>
                <w:color w:val="auto"/>
                <w:kern w:val="0"/>
                <w:szCs w:val="21"/>
                <w:lang w:val="en-US" w:eastAsia="zh-CN"/>
              </w:rPr>
              <w:t>空坝约250m</w:t>
            </w:r>
            <w:r>
              <w:rPr>
                <w:rFonts w:hint="eastAsia"/>
                <w:color w:val="auto"/>
                <w:kern w:val="0"/>
                <w:szCs w:val="21"/>
                <w:vertAlign w:val="superscript"/>
                <w:lang w:val="en-US" w:eastAsia="zh-CN"/>
              </w:rPr>
              <w:t>2</w:t>
            </w:r>
            <w:r>
              <w:rPr>
                <w:rFonts w:hint="eastAsia"/>
                <w:color w:val="auto"/>
                <w:kern w:val="0"/>
                <w:szCs w:val="21"/>
                <w:lang w:val="en-US" w:eastAsia="zh-CN"/>
              </w:rPr>
              <w:t>。建设废矿物油回收储存项目，</w:t>
            </w:r>
            <w:r>
              <w:rPr>
                <w:rFonts w:hint="eastAsia"/>
                <w:color w:val="auto"/>
                <w:kern w:val="0"/>
                <w:szCs w:val="21"/>
              </w:rPr>
              <w:t>拟</w:t>
            </w:r>
            <w:r>
              <w:rPr>
                <w:rFonts w:hint="eastAsia"/>
                <w:color w:val="auto"/>
                <w:kern w:val="0"/>
                <w:szCs w:val="21"/>
                <w:lang w:eastAsia="zh-CN"/>
              </w:rPr>
              <w:t>在</w:t>
            </w:r>
            <w:r>
              <w:rPr>
                <w:rFonts w:hint="eastAsia"/>
                <w:color w:val="auto"/>
                <w:kern w:val="0"/>
                <w:szCs w:val="21"/>
                <w:lang w:val="en-US" w:eastAsia="zh-CN"/>
              </w:rPr>
              <w:t>车间内</w:t>
            </w:r>
            <w:r>
              <w:rPr>
                <w:color w:val="auto"/>
                <w:kern w:val="0"/>
                <w:szCs w:val="21"/>
              </w:rPr>
              <w:t>安装储油罐2个</w:t>
            </w:r>
            <w:r>
              <w:rPr>
                <w:rFonts w:hint="eastAsia"/>
                <w:color w:val="auto"/>
                <w:kern w:val="0"/>
                <w:szCs w:val="21"/>
                <w:lang w:eastAsia="zh-CN"/>
              </w:rPr>
              <w:t>（</w:t>
            </w:r>
            <w:r>
              <w:rPr>
                <w:rFonts w:hint="eastAsia"/>
                <w:color w:val="auto"/>
                <w:kern w:val="0"/>
                <w:szCs w:val="21"/>
                <w:lang w:val="en-US" w:eastAsia="zh-CN"/>
              </w:rPr>
              <w:t>φ2.8×8.2m</w:t>
            </w:r>
            <w:r>
              <w:rPr>
                <w:rFonts w:hint="eastAsia"/>
                <w:color w:val="auto"/>
                <w:kern w:val="0"/>
                <w:szCs w:val="21"/>
                <w:lang w:eastAsia="zh-CN"/>
              </w:rPr>
              <w:t>），</w:t>
            </w:r>
            <w:r>
              <w:rPr>
                <w:rFonts w:hint="eastAsia"/>
                <w:color w:val="auto"/>
                <w:kern w:val="0"/>
                <w:szCs w:val="21"/>
                <w:lang w:val="en-US" w:eastAsia="zh-CN"/>
              </w:rPr>
              <w:t>容积约50m</w:t>
            </w:r>
            <w:r>
              <w:rPr>
                <w:rFonts w:hint="eastAsia"/>
                <w:color w:val="auto"/>
                <w:kern w:val="0"/>
                <w:szCs w:val="21"/>
                <w:vertAlign w:val="superscript"/>
                <w:lang w:val="en-US" w:eastAsia="zh-CN"/>
              </w:rPr>
              <w:t>3</w:t>
            </w:r>
            <w:r>
              <w:rPr>
                <w:rFonts w:hint="eastAsia"/>
                <w:color w:val="auto"/>
                <w:kern w:val="0"/>
                <w:szCs w:val="21"/>
                <w:lang w:val="en-US" w:eastAsia="zh-CN"/>
              </w:rPr>
              <w:t>（储油量约</w:t>
            </w:r>
            <w:r>
              <w:rPr>
                <w:rFonts w:hint="eastAsia"/>
                <w:color w:val="auto"/>
                <w:kern w:val="0"/>
                <w:szCs w:val="21"/>
              </w:rPr>
              <w:t>40t</w:t>
            </w:r>
            <w:r>
              <w:rPr>
                <w:rFonts w:hint="eastAsia"/>
                <w:color w:val="auto"/>
                <w:kern w:val="0"/>
                <w:szCs w:val="21"/>
                <w:lang w:val="en-US" w:eastAsia="zh-CN"/>
              </w:rPr>
              <w:t>）</w:t>
            </w:r>
            <w:r>
              <w:rPr>
                <w:rFonts w:hint="eastAsia"/>
                <w:color w:val="auto"/>
                <w:kern w:val="0"/>
                <w:szCs w:val="21"/>
                <w:lang w:eastAsia="zh-CN"/>
              </w:rPr>
              <w:t>，</w:t>
            </w:r>
            <w:r>
              <w:rPr>
                <w:rFonts w:hint="eastAsia"/>
                <w:color w:val="auto"/>
                <w:kern w:val="0"/>
                <w:szCs w:val="21"/>
                <w:lang w:val="en-US" w:eastAsia="zh-CN"/>
              </w:rPr>
              <w:t>同时</w:t>
            </w:r>
            <w:r>
              <w:rPr>
                <w:color w:val="auto"/>
                <w:kern w:val="0"/>
                <w:szCs w:val="21"/>
              </w:rPr>
              <w:t>配套</w:t>
            </w:r>
            <w:r>
              <w:rPr>
                <w:rFonts w:hint="eastAsia"/>
                <w:color w:val="auto"/>
                <w:kern w:val="0"/>
                <w:szCs w:val="21"/>
                <w:lang w:val="en-US" w:eastAsia="zh-CN"/>
              </w:rPr>
              <w:t>安装装卸油的</w:t>
            </w:r>
            <w:r>
              <w:rPr>
                <w:color w:val="auto"/>
                <w:kern w:val="0"/>
                <w:szCs w:val="21"/>
              </w:rPr>
              <w:t>动力泵，并对储存</w:t>
            </w:r>
            <w:r>
              <w:rPr>
                <w:rFonts w:hint="eastAsia"/>
                <w:color w:val="auto"/>
                <w:kern w:val="0"/>
                <w:szCs w:val="21"/>
                <w:lang w:val="en-US" w:eastAsia="zh-CN"/>
              </w:rPr>
              <w:t>区</w:t>
            </w:r>
            <w:r>
              <w:rPr>
                <w:rFonts w:hint="eastAsia"/>
                <w:color w:val="auto"/>
                <w:kern w:val="0"/>
                <w:szCs w:val="21"/>
                <w:lang w:eastAsia="zh-CN"/>
              </w:rPr>
              <w:t>、</w:t>
            </w:r>
            <w:r>
              <w:rPr>
                <w:rFonts w:hint="eastAsia"/>
                <w:color w:val="auto"/>
                <w:kern w:val="0"/>
                <w:szCs w:val="21"/>
                <w:lang w:val="en-US" w:eastAsia="zh-CN"/>
              </w:rPr>
              <w:t>装卸区</w:t>
            </w:r>
            <w:r>
              <w:rPr>
                <w:color w:val="auto"/>
                <w:kern w:val="0"/>
                <w:szCs w:val="21"/>
              </w:rPr>
              <w:t>进行防腐防渗，配套建设消防、环保等设施。</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项目组成和可能产生的环境问题见下表。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表2-1  项目组成和可能产生的环境问题</w:t>
            </w:r>
          </w:p>
          <w:tbl>
            <w:tblPr>
              <w:tblStyle w:val="14"/>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3"/>
              <w:gridCol w:w="882"/>
              <w:gridCol w:w="4577"/>
              <w:gridCol w:w="753"/>
              <w:gridCol w:w="827"/>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1345" w:type="dxa"/>
                  <w:gridSpan w:val="2"/>
                  <w:vMerge w:val="restart"/>
                  <w:noWrap w:val="0"/>
                  <w:tcMar>
                    <w:left w:w="0" w:type="dxa"/>
                    <w:right w:w="0" w:type="dxa"/>
                  </w:tcMar>
                  <w:vAlign w:val="center"/>
                </w:tcPr>
                <w:p>
                  <w:pPr>
                    <w:spacing w:line="260" w:lineRule="exact"/>
                    <w:ind w:left="21" w:leftChars="10" w:right="21" w:rightChars="10"/>
                    <w:jc w:val="center"/>
                    <w:rPr>
                      <w:b/>
                      <w:bCs/>
                      <w:color w:val="auto"/>
                      <w:sz w:val="18"/>
                      <w:szCs w:val="18"/>
                    </w:rPr>
                  </w:pPr>
                  <w:r>
                    <w:rPr>
                      <w:b/>
                      <w:bCs/>
                      <w:color w:val="auto"/>
                      <w:sz w:val="18"/>
                      <w:szCs w:val="18"/>
                    </w:rPr>
                    <w:t>名称</w:t>
                  </w:r>
                </w:p>
              </w:tc>
              <w:tc>
                <w:tcPr>
                  <w:tcW w:w="4577" w:type="dxa"/>
                  <w:vMerge w:val="restart"/>
                  <w:noWrap w:val="0"/>
                  <w:tcMar>
                    <w:left w:w="0" w:type="dxa"/>
                    <w:right w:w="0" w:type="dxa"/>
                  </w:tcMar>
                  <w:vAlign w:val="center"/>
                </w:tcPr>
                <w:p>
                  <w:pPr>
                    <w:spacing w:line="260" w:lineRule="exact"/>
                    <w:ind w:left="21" w:leftChars="10" w:right="21" w:rightChars="10"/>
                    <w:jc w:val="center"/>
                    <w:rPr>
                      <w:b/>
                      <w:bCs/>
                      <w:color w:val="auto"/>
                      <w:sz w:val="18"/>
                      <w:szCs w:val="18"/>
                    </w:rPr>
                  </w:pPr>
                  <w:r>
                    <w:rPr>
                      <w:b/>
                      <w:bCs/>
                      <w:color w:val="auto"/>
                      <w:sz w:val="18"/>
                      <w:szCs w:val="18"/>
                    </w:rPr>
                    <w:t>建设内容及规模</w:t>
                  </w:r>
                </w:p>
              </w:tc>
              <w:tc>
                <w:tcPr>
                  <w:tcW w:w="1580" w:type="dxa"/>
                  <w:gridSpan w:val="2"/>
                  <w:noWrap w:val="0"/>
                  <w:tcMar>
                    <w:left w:w="0" w:type="dxa"/>
                    <w:right w:w="0" w:type="dxa"/>
                  </w:tcMar>
                  <w:vAlign w:val="center"/>
                </w:tcPr>
                <w:p>
                  <w:pPr>
                    <w:spacing w:line="260" w:lineRule="exact"/>
                    <w:ind w:left="21" w:leftChars="10" w:right="21" w:rightChars="10"/>
                    <w:jc w:val="center"/>
                    <w:rPr>
                      <w:b/>
                      <w:bCs/>
                      <w:color w:val="auto"/>
                      <w:sz w:val="18"/>
                      <w:szCs w:val="18"/>
                    </w:rPr>
                  </w:pPr>
                  <w:r>
                    <w:rPr>
                      <w:b/>
                      <w:bCs/>
                      <w:color w:val="auto"/>
                      <w:sz w:val="18"/>
                      <w:szCs w:val="18"/>
                    </w:rPr>
                    <w:t>主要环境问题</w:t>
                  </w:r>
                </w:p>
              </w:tc>
              <w:tc>
                <w:tcPr>
                  <w:tcW w:w="537" w:type="dxa"/>
                  <w:vMerge w:val="restart"/>
                  <w:noWrap w:val="0"/>
                  <w:tcMar>
                    <w:left w:w="0" w:type="dxa"/>
                    <w:right w:w="0" w:type="dxa"/>
                  </w:tcMar>
                  <w:vAlign w:val="center"/>
                </w:tcPr>
                <w:p>
                  <w:pPr>
                    <w:spacing w:line="260" w:lineRule="exact"/>
                    <w:ind w:left="21" w:leftChars="10" w:right="21" w:rightChars="10"/>
                    <w:jc w:val="center"/>
                    <w:rPr>
                      <w:b/>
                      <w:bCs/>
                      <w:color w:val="auto"/>
                      <w:sz w:val="18"/>
                      <w:szCs w:val="18"/>
                    </w:rPr>
                  </w:pPr>
                  <w:r>
                    <w:rPr>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1345" w:type="dxa"/>
                  <w:gridSpan w:val="2"/>
                  <w:vMerge w:val="continue"/>
                  <w:noWrap w:val="0"/>
                  <w:tcMar>
                    <w:left w:w="0" w:type="dxa"/>
                    <w:right w:w="0" w:type="dxa"/>
                  </w:tcMar>
                  <w:vAlign w:val="center"/>
                </w:tcPr>
                <w:p>
                  <w:pPr>
                    <w:spacing w:line="260" w:lineRule="exact"/>
                    <w:ind w:left="21" w:leftChars="10" w:right="21" w:rightChars="10"/>
                    <w:jc w:val="center"/>
                    <w:rPr>
                      <w:b/>
                      <w:bCs/>
                      <w:color w:val="auto"/>
                      <w:sz w:val="18"/>
                      <w:szCs w:val="18"/>
                    </w:rPr>
                  </w:pPr>
                </w:p>
              </w:tc>
              <w:tc>
                <w:tcPr>
                  <w:tcW w:w="4577" w:type="dxa"/>
                  <w:vMerge w:val="continue"/>
                  <w:noWrap w:val="0"/>
                  <w:tcMar>
                    <w:left w:w="0" w:type="dxa"/>
                    <w:right w:w="0" w:type="dxa"/>
                  </w:tcMar>
                  <w:vAlign w:val="center"/>
                </w:tcPr>
                <w:p>
                  <w:pPr>
                    <w:spacing w:line="260" w:lineRule="exact"/>
                    <w:ind w:left="21" w:leftChars="10" w:right="21" w:rightChars="10"/>
                    <w:jc w:val="center"/>
                    <w:rPr>
                      <w:b/>
                      <w:bCs/>
                      <w:color w:val="auto"/>
                      <w:sz w:val="18"/>
                      <w:szCs w:val="18"/>
                    </w:rPr>
                  </w:pPr>
                </w:p>
              </w:tc>
              <w:tc>
                <w:tcPr>
                  <w:tcW w:w="753" w:type="dxa"/>
                  <w:noWrap w:val="0"/>
                  <w:tcMar>
                    <w:left w:w="0" w:type="dxa"/>
                    <w:right w:w="0" w:type="dxa"/>
                  </w:tcMar>
                  <w:vAlign w:val="center"/>
                </w:tcPr>
                <w:p>
                  <w:pPr>
                    <w:spacing w:line="260" w:lineRule="exact"/>
                    <w:ind w:left="21" w:leftChars="10" w:right="21" w:rightChars="10"/>
                    <w:jc w:val="center"/>
                    <w:rPr>
                      <w:b/>
                      <w:bCs/>
                      <w:color w:val="auto"/>
                      <w:sz w:val="18"/>
                      <w:szCs w:val="18"/>
                    </w:rPr>
                  </w:pPr>
                  <w:r>
                    <w:rPr>
                      <w:b/>
                      <w:bCs/>
                      <w:color w:val="auto"/>
                      <w:sz w:val="18"/>
                      <w:szCs w:val="18"/>
                    </w:rPr>
                    <w:t>施工期</w:t>
                  </w:r>
                </w:p>
              </w:tc>
              <w:tc>
                <w:tcPr>
                  <w:tcW w:w="827" w:type="dxa"/>
                  <w:noWrap w:val="0"/>
                  <w:tcMar>
                    <w:left w:w="0" w:type="dxa"/>
                    <w:right w:w="0" w:type="dxa"/>
                  </w:tcMar>
                  <w:vAlign w:val="center"/>
                </w:tcPr>
                <w:p>
                  <w:pPr>
                    <w:spacing w:line="260" w:lineRule="exact"/>
                    <w:ind w:left="21" w:leftChars="10" w:right="21" w:rightChars="10"/>
                    <w:jc w:val="center"/>
                    <w:rPr>
                      <w:b/>
                      <w:bCs/>
                      <w:color w:val="auto"/>
                      <w:sz w:val="18"/>
                      <w:szCs w:val="18"/>
                    </w:rPr>
                  </w:pPr>
                  <w:r>
                    <w:rPr>
                      <w:b/>
                      <w:bCs/>
                      <w:color w:val="auto"/>
                      <w:sz w:val="18"/>
                      <w:szCs w:val="18"/>
                    </w:rPr>
                    <w:t>营运期</w:t>
                  </w:r>
                </w:p>
              </w:tc>
              <w:tc>
                <w:tcPr>
                  <w:tcW w:w="537" w:type="dxa"/>
                  <w:vMerge w:val="continue"/>
                  <w:noWrap w:val="0"/>
                  <w:tcMar>
                    <w:left w:w="0" w:type="dxa"/>
                    <w:right w:w="0" w:type="dxa"/>
                  </w:tcMar>
                  <w:vAlign w:val="center"/>
                </w:tcPr>
                <w:p>
                  <w:pPr>
                    <w:spacing w:line="260" w:lineRule="exact"/>
                    <w:ind w:left="21" w:leftChars="10" w:right="21" w:rightChars="10"/>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4" w:hRule="atLeast"/>
                <w:jc w:val="center"/>
              </w:trPr>
              <w:tc>
                <w:tcPr>
                  <w:tcW w:w="463" w:type="dxa"/>
                  <w:noWrap w:val="0"/>
                  <w:tcMar>
                    <w:left w:w="0" w:type="dxa"/>
                    <w:right w:w="0" w:type="dxa"/>
                  </w:tcMar>
                  <w:vAlign w:val="center"/>
                </w:tcPr>
                <w:p>
                  <w:pPr>
                    <w:widowControl/>
                    <w:spacing w:line="260" w:lineRule="exact"/>
                    <w:ind w:left="21" w:leftChars="10" w:right="21" w:rightChars="10"/>
                    <w:jc w:val="center"/>
                    <w:rPr>
                      <w:color w:val="auto"/>
                      <w:sz w:val="18"/>
                      <w:szCs w:val="18"/>
                    </w:rPr>
                  </w:pPr>
                  <w:r>
                    <w:rPr>
                      <w:color w:val="auto"/>
                      <w:sz w:val="18"/>
                      <w:szCs w:val="18"/>
                    </w:rPr>
                    <w:t>主体</w:t>
                  </w:r>
                </w:p>
                <w:p>
                  <w:pPr>
                    <w:widowControl/>
                    <w:spacing w:line="260" w:lineRule="exact"/>
                    <w:ind w:left="21" w:leftChars="10" w:right="21" w:rightChars="10"/>
                    <w:jc w:val="center"/>
                    <w:rPr>
                      <w:color w:val="auto"/>
                      <w:sz w:val="18"/>
                      <w:szCs w:val="18"/>
                    </w:rPr>
                  </w:pPr>
                  <w:r>
                    <w:rPr>
                      <w:color w:val="auto"/>
                      <w:sz w:val="18"/>
                      <w:szCs w:val="18"/>
                    </w:rPr>
                    <w:t>工程</w:t>
                  </w:r>
                </w:p>
              </w:tc>
              <w:tc>
                <w:tcPr>
                  <w:tcW w:w="882" w:type="dxa"/>
                  <w:noWrap w:val="0"/>
                  <w:tcMar>
                    <w:left w:w="0" w:type="dxa"/>
                    <w:right w:w="0" w:type="dxa"/>
                  </w:tcMar>
                  <w:vAlign w:val="center"/>
                </w:tcPr>
                <w:p>
                  <w:pPr>
                    <w:widowControl/>
                    <w:spacing w:line="260" w:lineRule="exact"/>
                    <w:ind w:left="21" w:leftChars="10" w:right="21" w:rightChars="10"/>
                    <w:jc w:val="center"/>
                    <w:rPr>
                      <w:bCs/>
                      <w:color w:val="auto"/>
                      <w:sz w:val="18"/>
                      <w:szCs w:val="18"/>
                    </w:rPr>
                  </w:pPr>
                  <w:r>
                    <w:rPr>
                      <w:rFonts w:hint="eastAsia"/>
                      <w:bCs/>
                      <w:color w:val="auto"/>
                      <w:sz w:val="18"/>
                      <w:szCs w:val="18"/>
                      <w:lang w:eastAsia="zh-CN"/>
                    </w:rPr>
                    <w:t>废矿物油</w:t>
                  </w:r>
                  <w:r>
                    <w:rPr>
                      <w:bCs/>
                      <w:color w:val="auto"/>
                      <w:sz w:val="18"/>
                      <w:szCs w:val="18"/>
                    </w:rPr>
                    <w:t>储存间</w:t>
                  </w:r>
                </w:p>
              </w:tc>
              <w:tc>
                <w:tcPr>
                  <w:tcW w:w="4577" w:type="dxa"/>
                  <w:noWrap w:val="0"/>
                  <w:tcMar>
                    <w:left w:w="0" w:type="dxa"/>
                    <w:right w:w="0" w:type="dxa"/>
                  </w:tcMar>
                  <w:vAlign w:val="center"/>
                </w:tcPr>
                <w:p>
                  <w:pPr>
                    <w:widowControl/>
                    <w:spacing w:line="260" w:lineRule="exact"/>
                    <w:ind w:left="21" w:leftChars="10" w:right="21" w:rightChars="10"/>
                    <w:rPr>
                      <w:rFonts w:hint="eastAsia" w:eastAsia="宋体"/>
                      <w:bCs/>
                      <w:color w:val="auto"/>
                      <w:kern w:val="0"/>
                      <w:sz w:val="18"/>
                      <w:szCs w:val="18"/>
                      <w:lang w:eastAsia="zh-CN"/>
                    </w:rPr>
                  </w:pPr>
                  <w:r>
                    <w:rPr>
                      <w:bCs/>
                      <w:color w:val="auto"/>
                      <w:kern w:val="0"/>
                      <w:sz w:val="18"/>
                      <w:szCs w:val="18"/>
                    </w:rPr>
                    <w:t>拆除</w:t>
                  </w:r>
                  <w:r>
                    <w:rPr>
                      <w:rFonts w:hint="eastAsia"/>
                      <w:bCs/>
                      <w:color w:val="auto"/>
                      <w:kern w:val="0"/>
                      <w:sz w:val="18"/>
                      <w:szCs w:val="18"/>
                      <w:lang w:val="en-US" w:eastAsia="zh-CN"/>
                    </w:rPr>
                    <w:t>原车间内的设备，并对车间进行维护，四周采用轻钢板进行全封闭；在车间内划分储罐区（20m×5m）、卸油区（15m×8m）、危废暂存间、消防水池、消防沙池等。储罐区拟设在车间东部以北，</w:t>
                  </w:r>
                  <w:r>
                    <w:rPr>
                      <w:bCs/>
                      <w:color w:val="auto"/>
                      <w:kern w:val="0"/>
                      <w:sz w:val="18"/>
                      <w:szCs w:val="18"/>
                    </w:rPr>
                    <w:t>内设置</w:t>
                  </w:r>
                  <w:r>
                    <w:rPr>
                      <w:rFonts w:hint="eastAsia"/>
                      <w:bCs/>
                      <w:color w:val="auto"/>
                      <w:kern w:val="0"/>
                      <w:sz w:val="18"/>
                      <w:szCs w:val="18"/>
                      <w:lang w:val="en-US" w:eastAsia="zh-CN"/>
                    </w:rPr>
                    <w:t>50m</w:t>
                  </w:r>
                  <w:r>
                    <w:rPr>
                      <w:rFonts w:hint="eastAsia"/>
                      <w:bCs/>
                      <w:color w:val="auto"/>
                      <w:kern w:val="0"/>
                      <w:sz w:val="18"/>
                      <w:szCs w:val="18"/>
                      <w:vertAlign w:val="superscript"/>
                      <w:lang w:val="en-US" w:eastAsia="zh-CN"/>
                    </w:rPr>
                    <w:t>3</w:t>
                  </w:r>
                  <w:r>
                    <w:rPr>
                      <w:bCs/>
                      <w:color w:val="auto"/>
                      <w:kern w:val="0"/>
                      <w:sz w:val="18"/>
                      <w:szCs w:val="18"/>
                    </w:rPr>
                    <w:t>的</w:t>
                  </w:r>
                  <w:r>
                    <w:rPr>
                      <w:rFonts w:hint="eastAsia"/>
                      <w:bCs/>
                      <w:color w:val="auto"/>
                      <w:kern w:val="0"/>
                      <w:sz w:val="18"/>
                      <w:szCs w:val="18"/>
                    </w:rPr>
                    <w:t>卧式钢制双层</w:t>
                  </w:r>
                  <w:r>
                    <w:rPr>
                      <w:bCs/>
                      <w:color w:val="auto"/>
                      <w:kern w:val="0"/>
                      <w:sz w:val="18"/>
                      <w:szCs w:val="18"/>
                    </w:rPr>
                    <w:t>储油罐2个及配套的动力泵，</w:t>
                  </w:r>
                  <w:r>
                    <w:rPr>
                      <w:rFonts w:hint="eastAsia"/>
                      <w:bCs/>
                      <w:color w:val="auto"/>
                      <w:kern w:val="0"/>
                      <w:sz w:val="18"/>
                      <w:szCs w:val="18"/>
                    </w:rPr>
                    <w:t>储罐规格为φ</w:t>
                  </w:r>
                  <w:r>
                    <w:rPr>
                      <w:rFonts w:hint="eastAsia"/>
                      <w:bCs/>
                      <w:color w:val="auto"/>
                      <w:kern w:val="0"/>
                      <w:sz w:val="18"/>
                      <w:szCs w:val="18"/>
                      <w:lang w:val="en-US" w:eastAsia="zh-CN"/>
                    </w:rPr>
                    <w:t>2.8</w:t>
                  </w:r>
                  <w:r>
                    <w:rPr>
                      <w:rFonts w:hint="eastAsia"/>
                      <w:bCs/>
                      <w:color w:val="auto"/>
                      <w:kern w:val="0"/>
                      <w:sz w:val="18"/>
                      <w:szCs w:val="18"/>
                    </w:rPr>
                    <w:t>m×</w:t>
                  </w:r>
                  <w:r>
                    <w:rPr>
                      <w:rFonts w:hint="eastAsia"/>
                      <w:bCs/>
                      <w:color w:val="auto"/>
                      <w:kern w:val="0"/>
                      <w:sz w:val="18"/>
                      <w:szCs w:val="18"/>
                      <w:lang w:val="en-US" w:eastAsia="zh-CN"/>
                    </w:rPr>
                    <w:t>8.2</w:t>
                  </w:r>
                  <w:r>
                    <w:rPr>
                      <w:rFonts w:hint="eastAsia"/>
                      <w:bCs/>
                      <w:color w:val="auto"/>
                      <w:kern w:val="0"/>
                      <w:sz w:val="18"/>
                      <w:szCs w:val="18"/>
                    </w:rPr>
                    <w:t>m；</w:t>
                  </w:r>
                  <w:r>
                    <w:rPr>
                      <w:bCs/>
                      <w:color w:val="auto"/>
                      <w:kern w:val="0"/>
                      <w:sz w:val="18"/>
                      <w:szCs w:val="18"/>
                    </w:rPr>
                    <w:t>储油罐四周建设40cm高</w:t>
                  </w:r>
                  <w:r>
                    <w:rPr>
                      <w:rFonts w:hint="eastAsia"/>
                      <w:bCs/>
                      <w:color w:val="auto"/>
                      <w:kern w:val="0"/>
                      <w:sz w:val="18"/>
                      <w:szCs w:val="18"/>
                    </w:rPr>
                    <w:t>砖混结构</w:t>
                  </w:r>
                  <w:r>
                    <w:rPr>
                      <w:bCs/>
                      <w:color w:val="auto"/>
                      <w:kern w:val="0"/>
                      <w:sz w:val="18"/>
                      <w:szCs w:val="18"/>
                    </w:rPr>
                    <w:t>的防溢流围堰</w:t>
                  </w:r>
                  <w:r>
                    <w:rPr>
                      <w:rFonts w:hint="eastAsia"/>
                      <w:bCs/>
                      <w:color w:val="auto"/>
                      <w:kern w:val="0"/>
                      <w:sz w:val="18"/>
                      <w:szCs w:val="18"/>
                      <w:lang w:eastAsia="zh-CN"/>
                    </w:rPr>
                    <w:t>；</w:t>
                  </w:r>
                </w:p>
                <w:p>
                  <w:pPr>
                    <w:widowControl/>
                    <w:spacing w:line="260" w:lineRule="exact"/>
                    <w:ind w:left="21" w:leftChars="10" w:right="21" w:rightChars="10"/>
                    <w:rPr>
                      <w:rFonts w:hint="eastAsia"/>
                      <w:bCs/>
                      <w:color w:val="auto"/>
                      <w:kern w:val="0"/>
                      <w:sz w:val="18"/>
                      <w:szCs w:val="18"/>
                      <w:lang w:val="en-US" w:eastAsia="zh-CN"/>
                    </w:rPr>
                  </w:pPr>
                  <w:r>
                    <w:rPr>
                      <w:rFonts w:hint="eastAsia"/>
                      <w:bCs/>
                      <w:color w:val="auto"/>
                      <w:kern w:val="0"/>
                      <w:sz w:val="18"/>
                      <w:szCs w:val="18"/>
                      <w:lang w:val="en-US" w:eastAsia="zh-CN"/>
                    </w:rPr>
                    <w:t>储罐区西侧拟设为装卸平台</w:t>
                  </w:r>
                  <w:r>
                    <w:rPr>
                      <w:bCs/>
                      <w:color w:val="auto"/>
                      <w:kern w:val="0"/>
                      <w:sz w:val="18"/>
                      <w:szCs w:val="18"/>
                    </w:rPr>
                    <w:t>1个（两个罐共用</w:t>
                  </w:r>
                  <w:r>
                    <w:rPr>
                      <w:rFonts w:hint="eastAsia"/>
                      <w:bCs/>
                      <w:color w:val="auto"/>
                      <w:kern w:val="0"/>
                      <w:sz w:val="18"/>
                      <w:szCs w:val="18"/>
                    </w:rPr>
                    <w:t>，卸车和装车共用</w:t>
                  </w:r>
                  <w:r>
                    <w:rPr>
                      <w:bCs/>
                      <w:color w:val="auto"/>
                      <w:kern w:val="0"/>
                      <w:sz w:val="18"/>
                      <w:szCs w:val="18"/>
                    </w:rPr>
                    <w:t>）</w:t>
                  </w:r>
                  <w:r>
                    <w:rPr>
                      <w:rFonts w:hint="eastAsia"/>
                      <w:bCs/>
                      <w:color w:val="auto"/>
                      <w:kern w:val="0"/>
                      <w:sz w:val="18"/>
                      <w:szCs w:val="18"/>
                      <w:lang w:val="en-US" w:eastAsia="zh-CN"/>
                    </w:rPr>
                    <w:t>，</w:t>
                  </w:r>
                  <w:r>
                    <w:rPr>
                      <w:rFonts w:hint="eastAsia"/>
                      <w:bCs/>
                      <w:color w:val="auto"/>
                      <w:kern w:val="0"/>
                      <w:sz w:val="18"/>
                      <w:szCs w:val="18"/>
                    </w:rPr>
                    <w:t>四周建5cm的</w:t>
                  </w:r>
                  <w:r>
                    <w:rPr>
                      <w:rFonts w:hint="eastAsia"/>
                      <w:bCs/>
                      <w:color w:val="auto"/>
                      <w:kern w:val="0"/>
                      <w:sz w:val="18"/>
                      <w:szCs w:val="18"/>
                      <w:lang w:val="en-US" w:eastAsia="zh-CN"/>
                    </w:rPr>
                    <w:t>防</w:t>
                  </w:r>
                  <w:r>
                    <w:rPr>
                      <w:rFonts w:hint="eastAsia"/>
                      <w:bCs/>
                      <w:color w:val="auto"/>
                      <w:kern w:val="0"/>
                      <w:sz w:val="18"/>
                      <w:szCs w:val="18"/>
                    </w:rPr>
                    <w:t>溢流围堰；配置移动式接油托盘；储油罐至装卸平台设2套输油软管</w:t>
                  </w:r>
                  <w:r>
                    <w:rPr>
                      <w:bCs/>
                      <w:color w:val="auto"/>
                      <w:kern w:val="0"/>
                      <w:sz w:val="18"/>
                      <w:szCs w:val="18"/>
                    </w:rPr>
                    <w:t>。</w:t>
                  </w:r>
                </w:p>
                <w:p>
                  <w:pPr>
                    <w:widowControl/>
                    <w:spacing w:line="260" w:lineRule="exact"/>
                    <w:ind w:left="21" w:leftChars="10" w:right="21" w:rightChars="10"/>
                    <w:rPr>
                      <w:bCs/>
                      <w:color w:val="auto"/>
                      <w:kern w:val="0"/>
                      <w:sz w:val="18"/>
                      <w:szCs w:val="18"/>
                    </w:rPr>
                  </w:pPr>
                  <w:r>
                    <w:rPr>
                      <w:rFonts w:hint="eastAsia"/>
                      <w:bCs/>
                      <w:color w:val="auto"/>
                      <w:kern w:val="0"/>
                      <w:sz w:val="18"/>
                      <w:szCs w:val="18"/>
                      <w:lang w:val="en-US" w:eastAsia="zh-CN"/>
                    </w:rPr>
                    <w:t>储罐区、卸油平台及围堰等</w:t>
                  </w:r>
                  <w:r>
                    <w:rPr>
                      <w:bCs/>
                      <w:color w:val="auto"/>
                      <w:kern w:val="0"/>
                      <w:sz w:val="18"/>
                      <w:szCs w:val="18"/>
                    </w:rPr>
                    <w:t>进行防腐防渗（20cm混凝土硬化</w:t>
                  </w:r>
                  <w:r>
                    <w:rPr>
                      <w:rFonts w:hint="eastAsia"/>
                      <w:bCs/>
                      <w:color w:val="auto"/>
                      <w:kern w:val="0"/>
                      <w:sz w:val="18"/>
                      <w:szCs w:val="18"/>
                      <w:lang w:val="en-US" w:eastAsia="zh-CN"/>
                    </w:rPr>
                    <w:t>+</w:t>
                  </w:r>
                  <w:r>
                    <w:rPr>
                      <w:rFonts w:hint="eastAsia"/>
                      <w:bCs/>
                      <w:color w:val="auto"/>
                      <w:kern w:val="0"/>
                      <w:sz w:val="18"/>
                      <w:szCs w:val="18"/>
                    </w:rPr>
                    <w:t>3</w:t>
                  </w:r>
                  <w:r>
                    <w:rPr>
                      <w:bCs/>
                      <w:color w:val="auto"/>
                      <w:kern w:val="0"/>
                      <w:sz w:val="18"/>
                      <w:szCs w:val="18"/>
                    </w:rPr>
                    <w:t>mm</w:t>
                  </w:r>
                  <w:r>
                    <w:rPr>
                      <w:rFonts w:hint="eastAsia"/>
                      <w:bCs/>
                      <w:color w:val="auto"/>
                      <w:kern w:val="0"/>
                      <w:sz w:val="18"/>
                      <w:szCs w:val="18"/>
                    </w:rPr>
                    <w:t>的SBS改性沥青卷材+2</w:t>
                  </w:r>
                  <w:r>
                    <w:rPr>
                      <w:bCs/>
                      <w:color w:val="auto"/>
                      <w:kern w:val="0"/>
                      <w:sz w:val="18"/>
                      <w:szCs w:val="18"/>
                    </w:rPr>
                    <w:t>mm</w:t>
                  </w:r>
                  <w:r>
                    <w:rPr>
                      <w:rFonts w:hint="eastAsia"/>
                      <w:bCs/>
                      <w:color w:val="auto"/>
                      <w:kern w:val="0"/>
                      <w:sz w:val="18"/>
                      <w:szCs w:val="18"/>
                      <w:lang w:eastAsia="zh-CN"/>
                    </w:rPr>
                    <w:t>高密度聚乙烯</w:t>
                  </w:r>
                  <w:r>
                    <w:rPr>
                      <w:bCs/>
                      <w:color w:val="auto"/>
                      <w:kern w:val="0"/>
                      <w:sz w:val="18"/>
                      <w:szCs w:val="18"/>
                    </w:rPr>
                    <w:t>地坪漆），满足《建筑地面设计规范》（GB50037-2013）的“防油渗地面”及《环境影响评价技术导则 地下水环境》（HJ610-2016）中“重点防渗区”防渗要求。</w:t>
                  </w:r>
                </w:p>
              </w:tc>
              <w:tc>
                <w:tcPr>
                  <w:tcW w:w="753" w:type="dxa"/>
                  <w:vMerge w:val="restart"/>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施工废气、施工废水、噪声、固体废物等</w:t>
                  </w: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kern w:val="0"/>
                      <w:sz w:val="18"/>
                      <w:szCs w:val="18"/>
                    </w:rPr>
                  </w:pPr>
                  <w:r>
                    <w:rPr>
                      <w:bCs/>
                      <w:color w:val="auto"/>
                      <w:kern w:val="0"/>
                      <w:sz w:val="18"/>
                      <w:szCs w:val="18"/>
                    </w:rPr>
                    <w:t>噪声、环境风险</w:t>
                  </w:r>
                </w:p>
              </w:tc>
              <w:tc>
                <w:tcPr>
                  <w:tcW w:w="53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kern w:val="0"/>
                      <w:sz w:val="18"/>
                      <w:szCs w:val="18"/>
                    </w:rPr>
                  </w:pPr>
                  <w:r>
                    <w:rPr>
                      <w:bCs/>
                      <w:color w:val="auto"/>
                      <w:kern w:val="0"/>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3" w:type="dxa"/>
                  <w:vMerge w:val="restart"/>
                  <w:noWrap w:val="0"/>
                  <w:tcMar>
                    <w:left w:w="0" w:type="dxa"/>
                    <w:right w:w="0" w:type="dxa"/>
                  </w:tcMar>
                  <w:vAlign w:val="center"/>
                </w:tcPr>
                <w:p>
                  <w:pPr>
                    <w:spacing w:line="260" w:lineRule="exact"/>
                    <w:ind w:left="21" w:leftChars="10" w:right="21" w:rightChars="10"/>
                    <w:jc w:val="center"/>
                    <w:rPr>
                      <w:color w:val="auto"/>
                      <w:sz w:val="18"/>
                      <w:szCs w:val="18"/>
                    </w:rPr>
                  </w:pPr>
                  <w:r>
                    <w:rPr>
                      <w:color w:val="auto"/>
                      <w:sz w:val="18"/>
                      <w:szCs w:val="18"/>
                    </w:rPr>
                    <w:t>辅助</w:t>
                  </w:r>
                </w:p>
                <w:p>
                  <w:pPr>
                    <w:snapToGrid w:val="0"/>
                    <w:spacing w:line="260" w:lineRule="exact"/>
                    <w:ind w:left="21" w:leftChars="10" w:right="21" w:rightChars="10"/>
                    <w:jc w:val="center"/>
                    <w:rPr>
                      <w:color w:val="auto"/>
                      <w:sz w:val="18"/>
                      <w:szCs w:val="18"/>
                    </w:rPr>
                  </w:pPr>
                  <w:r>
                    <w:rPr>
                      <w:color w:val="auto"/>
                      <w:sz w:val="18"/>
                      <w:szCs w:val="18"/>
                    </w:rPr>
                    <w:t>工程</w:t>
                  </w:r>
                </w:p>
              </w:tc>
              <w:tc>
                <w:tcPr>
                  <w:tcW w:w="882" w:type="dxa"/>
                  <w:noWrap w:val="0"/>
                  <w:tcMar>
                    <w:left w:w="0" w:type="dxa"/>
                    <w:right w:w="0" w:type="dxa"/>
                  </w:tcMar>
                  <w:vAlign w:val="center"/>
                </w:tcPr>
                <w:p>
                  <w:pPr>
                    <w:widowControl/>
                    <w:spacing w:line="260" w:lineRule="exact"/>
                    <w:ind w:left="21" w:leftChars="10" w:right="21" w:rightChars="10"/>
                    <w:jc w:val="center"/>
                    <w:rPr>
                      <w:bCs/>
                      <w:color w:val="auto"/>
                      <w:kern w:val="0"/>
                      <w:sz w:val="18"/>
                      <w:szCs w:val="18"/>
                    </w:rPr>
                  </w:pPr>
                  <w:r>
                    <w:rPr>
                      <w:bCs/>
                      <w:color w:val="auto"/>
                      <w:kern w:val="0"/>
                      <w:sz w:val="18"/>
                      <w:szCs w:val="18"/>
                    </w:rPr>
                    <w:t>办公室</w:t>
                  </w:r>
                </w:p>
              </w:tc>
              <w:tc>
                <w:tcPr>
                  <w:tcW w:w="4577" w:type="dxa"/>
                  <w:noWrap w:val="0"/>
                  <w:tcMar>
                    <w:left w:w="0" w:type="dxa"/>
                    <w:right w:w="0" w:type="dxa"/>
                  </w:tcMar>
                  <w:vAlign w:val="center"/>
                </w:tcPr>
                <w:p>
                  <w:pPr>
                    <w:widowControl/>
                    <w:spacing w:line="260" w:lineRule="exact"/>
                    <w:ind w:left="21" w:leftChars="10" w:right="21" w:rightChars="10"/>
                    <w:rPr>
                      <w:rFonts w:hint="default" w:eastAsia="宋体"/>
                      <w:color w:val="auto"/>
                      <w:kern w:val="0"/>
                      <w:sz w:val="18"/>
                      <w:szCs w:val="18"/>
                      <w:lang w:val="en-US" w:eastAsia="zh-CN"/>
                    </w:rPr>
                  </w:pPr>
                  <w:r>
                    <w:rPr>
                      <w:color w:val="auto"/>
                      <w:kern w:val="0"/>
                      <w:sz w:val="18"/>
                      <w:szCs w:val="18"/>
                    </w:rPr>
                    <w:t>利用原有的办公用房</w:t>
                  </w:r>
                  <w:r>
                    <w:rPr>
                      <w:rFonts w:hint="eastAsia"/>
                      <w:color w:val="auto"/>
                      <w:kern w:val="0"/>
                      <w:sz w:val="18"/>
                      <w:szCs w:val="18"/>
                      <w:lang w:val="en-US" w:eastAsia="zh-CN"/>
                    </w:rPr>
                    <w:t>3</w:t>
                  </w:r>
                  <w:r>
                    <w:rPr>
                      <w:color w:val="auto"/>
                      <w:kern w:val="0"/>
                      <w:sz w:val="18"/>
                      <w:szCs w:val="18"/>
                    </w:rPr>
                    <w:t>间，面积</w:t>
                  </w:r>
                  <w:r>
                    <w:rPr>
                      <w:rFonts w:hint="eastAsia"/>
                      <w:color w:val="auto"/>
                      <w:kern w:val="0"/>
                      <w:sz w:val="18"/>
                      <w:szCs w:val="18"/>
                      <w:lang w:val="en-US" w:eastAsia="zh-CN"/>
                    </w:rPr>
                    <w:t>均</w:t>
                  </w:r>
                  <w:r>
                    <w:rPr>
                      <w:color w:val="auto"/>
                      <w:kern w:val="0"/>
                      <w:sz w:val="18"/>
                      <w:szCs w:val="18"/>
                    </w:rPr>
                    <w:t>约</w:t>
                  </w:r>
                  <w:r>
                    <w:rPr>
                      <w:rFonts w:hint="eastAsia"/>
                      <w:color w:val="auto"/>
                      <w:kern w:val="0"/>
                      <w:sz w:val="18"/>
                      <w:szCs w:val="18"/>
                      <w:lang w:val="en-US" w:eastAsia="zh-CN"/>
                    </w:rPr>
                    <w:t>3</w:t>
                  </w:r>
                  <w:r>
                    <w:rPr>
                      <w:color w:val="auto"/>
                      <w:kern w:val="0"/>
                      <w:sz w:val="18"/>
                      <w:szCs w:val="18"/>
                    </w:rPr>
                    <w:t>0m</w:t>
                  </w:r>
                  <w:r>
                    <w:rPr>
                      <w:color w:val="auto"/>
                      <w:kern w:val="0"/>
                      <w:sz w:val="18"/>
                      <w:szCs w:val="18"/>
                      <w:vertAlign w:val="superscript"/>
                    </w:rPr>
                    <w:t>2</w:t>
                  </w:r>
                  <w:r>
                    <w:rPr>
                      <w:color w:val="auto"/>
                      <w:kern w:val="0"/>
                      <w:sz w:val="18"/>
                      <w:szCs w:val="18"/>
                    </w:rPr>
                    <w:t>/间</w:t>
                  </w:r>
                  <w:r>
                    <w:rPr>
                      <w:rFonts w:hint="eastAsia"/>
                      <w:color w:val="auto"/>
                      <w:kern w:val="0"/>
                      <w:sz w:val="18"/>
                      <w:szCs w:val="18"/>
                      <w:lang w:eastAsia="zh-CN"/>
                    </w:rPr>
                    <w:t>，</w:t>
                  </w:r>
                  <w:r>
                    <w:rPr>
                      <w:rFonts w:hint="eastAsia"/>
                      <w:color w:val="auto"/>
                      <w:kern w:val="0"/>
                      <w:sz w:val="18"/>
                      <w:szCs w:val="18"/>
                      <w:lang w:val="en-US" w:eastAsia="zh-CN"/>
                    </w:rPr>
                    <w:t>其中2间作为职工值班房</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废水、固废</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bCs/>
                      <w:color w:val="auto"/>
                      <w:sz w:val="18"/>
                      <w:szCs w:val="18"/>
                    </w:rPr>
                  </w:pPr>
                  <w:r>
                    <w:rPr>
                      <w:bCs/>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widowControl/>
                    <w:spacing w:line="260" w:lineRule="exact"/>
                    <w:ind w:left="21" w:leftChars="10" w:right="21" w:rightChars="10"/>
                    <w:jc w:val="center"/>
                    <w:rPr>
                      <w:bCs/>
                      <w:color w:val="auto"/>
                      <w:kern w:val="0"/>
                      <w:sz w:val="18"/>
                      <w:szCs w:val="18"/>
                    </w:rPr>
                  </w:pPr>
                  <w:r>
                    <w:rPr>
                      <w:bCs/>
                      <w:color w:val="auto"/>
                      <w:kern w:val="0"/>
                      <w:sz w:val="18"/>
                      <w:szCs w:val="18"/>
                    </w:rPr>
                    <w:t>停车区</w:t>
                  </w:r>
                </w:p>
              </w:tc>
              <w:tc>
                <w:tcPr>
                  <w:tcW w:w="4577" w:type="dxa"/>
                  <w:noWrap w:val="0"/>
                  <w:tcMar>
                    <w:left w:w="0" w:type="dxa"/>
                    <w:right w:w="0" w:type="dxa"/>
                  </w:tcMar>
                  <w:vAlign w:val="center"/>
                </w:tcPr>
                <w:p>
                  <w:pPr>
                    <w:widowControl/>
                    <w:spacing w:line="260" w:lineRule="exact"/>
                    <w:ind w:left="21" w:leftChars="10" w:right="21" w:rightChars="10"/>
                    <w:rPr>
                      <w:rFonts w:hint="default" w:eastAsia="宋体"/>
                      <w:color w:val="auto"/>
                      <w:kern w:val="0"/>
                      <w:sz w:val="18"/>
                      <w:szCs w:val="18"/>
                      <w:lang w:val="en-US" w:eastAsia="zh-CN"/>
                    </w:rPr>
                  </w:pPr>
                  <w:r>
                    <w:rPr>
                      <w:rFonts w:hint="eastAsia"/>
                      <w:color w:val="auto"/>
                      <w:kern w:val="0"/>
                      <w:sz w:val="18"/>
                      <w:szCs w:val="18"/>
                      <w:lang w:val="en-US" w:eastAsia="zh-CN"/>
                    </w:rPr>
                    <w:t>车间内储罐区</w:t>
                  </w:r>
                  <w:r>
                    <w:rPr>
                      <w:color w:val="auto"/>
                      <w:kern w:val="0"/>
                      <w:sz w:val="18"/>
                      <w:szCs w:val="18"/>
                    </w:rPr>
                    <w:t>南面</w:t>
                  </w:r>
                  <w:r>
                    <w:rPr>
                      <w:rFonts w:hint="eastAsia"/>
                      <w:color w:val="auto"/>
                      <w:kern w:val="0"/>
                      <w:sz w:val="18"/>
                      <w:szCs w:val="18"/>
                      <w:lang w:val="en-US" w:eastAsia="zh-CN"/>
                    </w:rPr>
                    <w:t>设置为收集车辆停车区</w:t>
                  </w:r>
                  <w:r>
                    <w:rPr>
                      <w:color w:val="auto"/>
                      <w:kern w:val="0"/>
                      <w:sz w:val="18"/>
                      <w:szCs w:val="18"/>
                    </w:rPr>
                    <w:t>，面积约1</w:t>
                  </w:r>
                  <w:r>
                    <w:rPr>
                      <w:rFonts w:hint="eastAsia"/>
                      <w:color w:val="auto"/>
                      <w:kern w:val="0"/>
                      <w:sz w:val="18"/>
                      <w:szCs w:val="18"/>
                      <w:lang w:val="en-US" w:eastAsia="zh-CN"/>
                    </w:rPr>
                    <w:t>50</w:t>
                  </w:r>
                  <w:r>
                    <w:rPr>
                      <w:color w:val="auto"/>
                      <w:kern w:val="0"/>
                      <w:sz w:val="18"/>
                      <w:szCs w:val="18"/>
                    </w:rPr>
                    <w:t>m</w:t>
                  </w:r>
                  <w:r>
                    <w:rPr>
                      <w:color w:val="auto"/>
                      <w:kern w:val="0"/>
                      <w:sz w:val="18"/>
                      <w:szCs w:val="18"/>
                      <w:vertAlign w:val="superscript"/>
                    </w:rPr>
                    <w:t>2</w:t>
                  </w:r>
                  <w:r>
                    <w:rPr>
                      <w:color w:val="auto"/>
                      <w:kern w:val="0"/>
                      <w:sz w:val="18"/>
                      <w:szCs w:val="18"/>
                    </w:rPr>
                    <w:t>，采取混凝土硬化，作为</w:t>
                  </w:r>
                  <w:r>
                    <w:rPr>
                      <w:rFonts w:hint="eastAsia"/>
                      <w:color w:val="auto"/>
                      <w:kern w:val="0"/>
                      <w:sz w:val="18"/>
                      <w:szCs w:val="18"/>
                      <w:lang w:val="en-US" w:eastAsia="zh-CN"/>
                    </w:rPr>
                    <w:t>收油罐车的</w:t>
                  </w:r>
                  <w:r>
                    <w:rPr>
                      <w:color w:val="auto"/>
                      <w:kern w:val="0"/>
                      <w:sz w:val="18"/>
                      <w:szCs w:val="18"/>
                    </w:rPr>
                    <w:t>停车场地</w:t>
                  </w:r>
                  <w:r>
                    <w:rPr>
                      <w:rFonts w:hint="eastAsia"/>
                      <w:color w:val="auto"/>
                      <w:kern w:val="0"/>
                      <w:sz w:val="18"/>
                      <w:szCs w:val="18"/>
                      <w:lang w:eastAsia="zh-CN"/>
                    </w:rPr>
                    <w:t>；</w:t>
                  </w:r>
                  <w:r>
                    <w:rPr>
                      <w:rFonts w:hint="eastAsia"/>
                      <w:color w:val="auto"/>
                      <w:kern w:val="0"/>
                      <w:sz w:val="18"/>
                      <w:szCs w:val="18"/>
                      <w:lang w:val="en-US" w:eastAsia="zh-CN"/>
                    </w:rPr>
                    <w:t>车间外约250m</w:t>
                  </w:r>
                  <w:r>
                    <w:rPr>
                      <w:rFonts w:hint="eastAsia"/>
                      <w:color w:val="auto"/>
                      <w:kern w:val="0"/>
                      <w:sz w:val="18"/>
                      <w:szCs w:val="18"/>
                      <w:vertAlign w:val="superscript"/>
                      <w:lang w:val="en-US" w:eastAsia="zh-CN"/>
                    </w:rPr>
                    <w:t>2</w:t>
                  </w:r>
                  <w:r>
                    <w:rPr>
                      <w:rFonts w:hint="eastAsia"/>
                      <w:color w:val="auto"/>
                      <w:kern w:val="0"/>
                      <w:sz w:val="18"/>
                      <w:szCs w:val="18"/>
                      <w:lang w:val="en-US" w:eastAsia="zh-CN"/>
                    </w:rPr>
                    <w:t>作为其他车辆停放</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噪声、废气</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bCs/>
                      <w:color w:val="auto"/>
                      <w:sz w:val="18"/>
                      <w:szCs w:val="18"/>
                    </w:rPr>
                  </w:pPr>
                  <w:r>
                    <w:rPr>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widowControl/>
                    <w:spacing w:line="260" w:lineRule="exact"/>
                    <w:ind w:left="21" w:leftChars="10" w:right="21" w:rightChars="10"/>
                    <w:jc w:val="center"/>
                    <w:rPr>
                      <w:bCs/>
                      <w:color w:val="auto"/>
                      <w:kern w:val="0"/>
                      <w:sz w:val="18"/>
                      <w:szCs w:val="18"/>
                    </w:rPr>
                  </w:pPr>
                  <w:r>
                    <w:rPr>
                      <w:rFonts w:hint="eastAsia"/>
                      <w:bCs/>
                      <w:color w:val="auto"/>
                      <w:kern w:val="0"/>
                      <w:sz w:val="18"/>
                      <w:szCs w:val="18"/>
                    </w:rPr>
                    <w:t>运输车辆</w:t>
                  </w:r>
                </w:p>
              </w:tc>
              <w:tc>
                <w:tcPr>
                  <w:tcW w:w="4577" w:type="dxa"/>
                  <w:noWrap w:val="0"/>
                  <w:tcMar>
                    <w:left w:w="0" w:type="dxa"/>
                    <w:right w:w="0" w:type="dxa"/>
                  </w:tcMar>
                  <w:vAlign w:val="center"/>
                </w:tcPr>
                <w:p>
                  <w:pPr>
                    <w:widowControl/>
                    <w:spacing w:line="260" w:lineRule="exact"/>
                    <w:ind w:left="21" w:leftChars="10" w:right="21" w:rightChars="10"/>
                    <w:rPr>
                      <w:rFonts w:hint="default" w:eastAsia="宋体"/>
                      <w:color w:val="auto"/>
                      <w:kern w:val="0"/>
                      <w:sz w:val="18"/>
                      <w:szCs w:val="18"/>
                      <w:lang w:val="en-US" w:eastAsia="zh-CN"/>
                    </w:rPr>
                  </w:pPr>
                  <w:r>
                    <w:rPr>
                      <w:rFonts w:hint="eastAsia"/>
                      <w:color w:val="auto"/>
                      <w:kern w:val="0"/>
                      <w:sz w:val="18"/>
                      <w:szCs w:val="18"/>
                    </w:rPr>
                    <w:t>项目</w:t>
                  </w:r>
                  <w:r>
                    <w:rPr>
                      <w:rFonts w:hint="eastAsia"/>
                      <w:color w:val="auto"/>
                      <w:kern w:val="0"/>
                      <w:sz w:val="18"/>
                      <w:szCs w:val="18"/>
                      <w:lang w:val="en-US" w:eastAsia="zh-CN"/>
                    </w:rPr>
                    <w:t>废矿物油收集</w:t>
                  </w:r>
                  <w:r>
                    <w:rPr>
                      <w:rFonts w:hint="eastAsia"/>
                      <w:color w:val="auto"/>
                      <w:kern w:val="0"/>
                      <w:sz w:val="18"/>
                      <w:szCs w:val="18"/>
                    </w:rPr>
                    <w:t>运输作业委托</w:t>
                  </w:r>
                  <w:r>
                    <w:rPr>
                      <w:rFonts w:hint="eastAsia"/>
                      <w:color w:val="auto"/>
                      <w:kern w:val="0"/>
                      <w:sz w:val="18"/>
                      <w:szCs w:val="18"/>
                      <w:lang w:val="en-US" w:eastAsia="zh-CN"/>
                    </w:rPr>
                    <w:t>遂宁市佳安运输有限公司</w:t>
                  </w:r>
                  <w:r>
                    <w:rPr>
                      <w:rFonts w:hint="eastAsia"/>
                      <w:color w:val="auto"/>
                      <w:kern w:val="0"/>
                      <w:sz w:val="18"/>
                      <w:szCs w:val="18"/>
                    </w:rPr>
                    <w:t>进行</w:t>
                  </w:r>
                  <w:r>
                    <w:rPr>
                      <w:rFonts w:hint="eastAsia"/>
                      <w:color w:val="auto"/>
                      <w:kern w:val="0"/>
                      <w:sz w:val="18"/>
                      <w:szCs w:val="18"/>
                      <w:lang w:eastAsia="zh-CN"/>
                    </w:rPr>
                    <w:t>；</w:t>
                  </w:r>
                  <w:r>
                    <w:rPr>
                      <w:rFonts w:hint="eastAsia"/>
                      <w:color w:val="auto"/>
                      <w:kern w:val="0"/>
                      <w:sz w:val="18"/>
                      <w:szCs w:val="18"/>
                      <w:lang w:val="en-US" w:eastAsia="zh-CN"/>
                    </w:rPr>
                    <w:t>废矿物油外运由下游处置单位（四川金谷环保科技有限公司）负责运输</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rFonts w:hint="eastAsia"/>
                      <w:bCs/>
                      <w:color w:val="auto"/>
                      <w:sz w:val="18"/>
                      <w:szCs w:val="18"/>
                    </w:rPr>
                    <w:t>噪声、废气、环境风险</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rFonts w:hint="eastAsia"/>
                      <w:bCs/>
                      <w:color w:val="auto"/>
                      <w:sz w:val="18"/>
                      <w:szCs w:val="18"/>
                    </w:rPr>
                  </w:pPr>
                  <w:r>
                    <w:rPr>
                      <w:rFonts w:hint="eastAsia"/>
                      <w:bCs/>
                      <w:color w:val="auto"/>
                      <w:sz w:val="18"/>
                      <w:szCs w:val="18"/>
                    </w:rPr>
                    <w:t>外委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vMerge w:val="restart"/>
                  <w:noWrap w:val="0"/>
                  <w:tcMar>
                    <w:left w:w="0" w:type="dxa"/>
                    <w:right w:w="0" w:type="dxa"/>
                  </w:tcMar>
                  <w:vAlign w:val="center"/>
                </w:tcPr>
                <w:p>
                  <w:pPr>
                    <w:widowControl/>
                    <w:spacing w:line="260" w:lineRule="exact"/>
                    <w:ind w:left="21" w:leftChars="10" w:right="21" w:rightChars="10"/>
                    <w:jc w:val="center"/>
                    <w:rPr>
                      <w:bCs/>
                      <w:color w:val="auto"/>
                      <w:kern w:val="0"/>
                      <w:sz w:val="18"/>
                      <w:szCs w:val="18"/>
                    </w:rPr>
                  </w:pPr>
                  <w:r>
                    <w:rPr>
                      <w:bCs/>
                      <w:color w:val="auto"/>
                      <w:kern w:val="0"/>
                      <w:sz w:val="18"/>
                      <w:szCs w:val="18"/>
                    </w:rPr>
                    <w:t>消防</w:t>
                  </w:r>
                  <w:r>
                    <w:rPr>
                      <w:rFonts w:hint="eastAsia"/>
                      <w:bCs/>
                      <w:color w:val="auto"/>
                      <w:kern w:val="0"/>
                      <w:sz w:val="18"/>
                      <w:szCs w:val="18"/>
                    </w:rPr>
                    <w:t>设施</w:t>
                  </w:r>
                </w:p>
              </w:tc>
              <w:tc>
                <w:tcPr>
                  <w:tcW w:w="4577" w:type="dxa"/>
                  <w:noWrap w:val="0"/>
                  <w:tcMar>
                    <w:left w:w="0" w:type="dxa"/>
                    <w:right w:w="0" w:type="dxa"/>
                  </w:tcMar>
                  <w:vAlign w:val="center"/>
                </w:tcPr>
                <w:p>
                  <w:pPr>
                    <w:widowControl/>
                    <w:spacing w:line="260" w:lineRule="exact"/>
                    <w:ind w:left="21" w:leftChars="10" w:right="21" w:rightChars="10"/>
                    <w:rPr>
                      <w:rFonts w:hint="eastAsia"/>
                      <w:color w:val="auto"/>
                      <w:kern w:val="0"/>
                      <w:sz w:val="18"/>
                      <w:szCs w:val="18"/>
                    </w:rPr>
                  </w:pPr>
                  <w:r>
                    <w:rPr>
                      <w:bCs/>
                      <w:color w:val="auto"/>
                      <w:kern w:val="0"/>
                      <w:sz w:val="18"/>
                      <w:szCs w:val="18"/>
                    </w:rPr>
                    <w:t>消防水池1个，容积</w:t>
                  </w:r>
                  <w:r>
                    <w:rPr>
                      <w:rFonts w:hint="eastAsia"/>
                      <w:bCs/>
                      <w:color w:val="auto"/>
                      <w:kern w:val="0"/>
                      <w:sz w:val="18"/>
                      <w:szCs w:val="18"/>
                      <w:lang w:val="en-US" w:eastAsia="zh-CN"/>
                    </w:rPr>
                    <w:t>60</w:t>
                  </w:r>
                  <w:r>
                    <w:rPr>
                      <w:bCs/>
                      <w:color w:val="auto"/>
                      <w:kern w:val="0"/>
                      <w:sz w:val="18"/>
                      <w:szCs w:val="18"/>
                    </w:rPr>
                    <w:t>m</w:t>
                  </w:r>
                  <w:r>
                    <w:rPr>
                      <w:bCs/>
                      <w:color w:val="auto"/>
                      <w:kern w:val="0"/>
                      <w:sz w:val="18"/>
                      <w:szCs w:val="18"/>
                      <w:vertAlign w:val="superscript"/>
                    </w:rPr>
                    <w:t>3</w:t>
                  </w:r>
                  <w:r>
                    <w:rPr>
                      <w:bCs/>
                      <w:color w:val="auto"/>
                      <w:kern w:val="0"/>
                      <w:sz w:val="18"/>
                      <w:szCs w:val="18"/>
                    </w:rPr>
                    <w:t>，</w:t>
                  </w:r>
                  <w:r>
                    <w:rPr>
                      <w:rFonts w:hint="eastAsia"/>
                      <w:bCs/>
                      <w:color w:val="auto"/>
                      <w:kern w:val="0"/>
                      <w:sz w:val="18"/>
                      <w:szCs w:val="18"/>
                      <w:lang w:val="en-US" w:eastAsia="zh-CN"/>
                    </w:rPr>
                    <w:t>利用厂区内现有的水池改造</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rFonts w:hint="eastAsia"/>
                      <w:bCs/>
                      <w:color w:val="auto"/>
                      <w:sz w:val="18"/>
                      <w:szCs w:val="18"/>
                    </w:rPr>
                  </w:pPr>
                  <w:r>
                    <w:rPr>
                      <w:bCs/>
                      <w:color w:val="auto"/>
                      <w:kern w:val="0"/>
                      <w:sz w:val="18"/>
                      <w:szCs w:val="18"/>
                    </w:rPr>
                    <w:t>/</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rFonts w:hint="eastAsia"/>
                      <w:bCs/>
                      <w:color w:val="auto"/>
                      <w:sz w:val="18"/>
                      <w:szCs w:val="18"/>
                    </w:rPr>
                  </w:pPr>
                  <w:r>
                    <w:rPr>
                      <w:rFonts w:hint="eastAsia"/>
                      <w:bCs/>
                      <w:color w:val="auto"/>
                      <w:sz w:val="18"/>
                      <w:szCs w:val="18"/>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vMerge w:val="continue"/>
                  <w:noWrap w:val="0"/>
                  <w:tcMar>
                    <w:left w:w="0" w:type="dxa"/>
                    <w:right w:w="0" w:type="dxa"/>
                  </w:tcMar>
                  <w:vAlign w:val="center"/>
                </w:tcPr>
                <w:p>
                  <w:pPr>
                    <w:widowControl/>
                    <w:spacing w:line="260" w:lineRule="exact"/>
                    <w:ind w:left="21" w:leftChars="10" w:right="21" w:rightChars="10"/>
                    <w:jc w:val="center"/>
                    <w:rPr>
                      <w:bCs/>
                      <w:color w:val="auto"/>
                      <w:kern w:val="0"/>
                      <w:sz w:val="18"/>
                      <w:szCs w:val="18"/>
                    </w:rPr>
                  </w:pPr>
                </w:p>
              </w:tc>
              <w:tc>
                <w:tcPr>
                  <w:tcW w:w="4577" w:type="dxa"/>
                  <w:noWrap w:val="0"/>
                  <w:tcMar>
                    <w:left w:w="0" w:type="dxa"/>
                    <w:right w:w="0" w:type="dxa"/>
                  </w:tcMar>
                  <w:vAlign w:val="center"/>
                </w:tcPr>
                <w:p>
                  <w:pPr>
                    <w:widowControl/>
                    <w:spacing w:line="260" w:lineRule="exact"/>
                    <w:ind w:left="21" w:leftChars="10" w:right="21" w:rightChars="10"/>
                    <w:rPr>
                      <w:bCs/>
                      <w:color w:val="auto"/>
                      <w:kern w:val="0"/>
                      <w:sz w:val="18"/>
                      <w:szCs w:val="18"/>
                    </w:rPr>
                  </w:pPr>
                  <w:r>
                    <w:rPr>
                      <w:rFonts w:hint="eastAsia"/>
                      <w:bCs/>
                      <w:color w:val="auto"/>
                      <w:kern w:val="0"/>
                      <w:sz w:val="18"/>
                      <w:szCs w:val="18"/>
                      <w:lang w:val="en-US" w:eastAsia="zh-CN"/>
                    </w:rPr>
                    <w:t>储油罐区西面建</w:t>
                  </w:r>
                  <w:r>
                    <w:rPr>
                      <w:bCs/>
                      <w:color w:val="auto"/>
                      <w:kern w:val="0"/>
                      <w:sz w:val="18"/>
                      <w:szCs w:val="18"/>
                    </w:rPr>
                    <w:t>消防沙池1个，</w:t>
                  </w:r>
                  <w:r>
                    <w:rPr>
                      <w:rFonts w:hint="eastAsia"/>
                      <w:bCs/>
                      <w:color w:val="auto"/>
                      <w:kern w:val="0"/>
                      <w:sz w:val="18"/>
                      <w:szCs w:val="18"/>
                      <w:lang w:val="en-US" w:eastAsia="zh-CN"/>
                    </w:rPr>
                    <w:t>容积1.2</w:t>
                  </w:r>
                  <w:r>
                    <w:rPr>
                      <w:bCs/>
                      <w:color w:val="auto"/>
                      <w:kern w:val="0"/>
                      <w:sz w:val="18"/>
                      <w:szCs w:val="18"/>
                    </w:rPr>
                    <w:t>m</w:t>
                  </w:r>
                  <w:r>
                    <w:rPr>
                      <w:bCs/>
                      <w:color w:val="auto"/>
                      <w:kern w:val="0"/>
                      <w:sz w:val="18"/>
                      <w:szCs w:val="18"/>
                      <w:vertAlign w:val="superscript"/>
                    </w:rPr>
                    <w:t>3</w:t>
                  </w:r>
                  <w:r>
                    <w:rPr>
                      <w:rFonts w:hint="eastAsia"/>
                      <w:bCs/>
                      <w:color w:val="auto"/>
                      <w:kern w:val="0"/>
                      <w:sz w:val="18"/>
                      <w:szCs w:val="18"/>
                    </w:rPr>
                    <w:t>；储存间配备灭火器</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kern w:val="0"/>
                      <w:sz w:val="18"/>
                      <w:szCs w:val="18"/>
                    </w:rPr>
                  </w:pPr>
                  <w:r>
                    <w:rPr>
                      <w:bCs/>
                      <w:color w:val="auto"/>
                      <w:kern w:val="0"/>
                      <w:sz w:val="18"/>
                      <w:szCs w:val="18"/>
                    </w:rPr>
                    <w:t>/</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rFonts w:hint="eastAsia" w:eastAsia="宋体"/>
                      <w:bCs/>
                      <w:color w:val="auto"/>
                      <w:sz w:val="18"/>
                      <w:szCs w:val="18"/>
                      <w:lang w:eastAsia="zh-CN"/>
                    </w:rPr>
                  </w:pPr>
                  <w:r>
                    <w:rPr>
                      <w:rFonts w:hint="eastAsia"/>
                      <w:bCs/>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463" w:type="dxa"/>
                  <w:vMerge w:val="restart"/>
                  <w:noWrap w:val="0"/>
                  <w:tcMar>
                    <w:left w:w="0" w:type="dxa"/>
                    <w:right w:w="0" w:type="dxa"/>
                  </w:tcMar>
                  <w:vAlign w:val="center"/>
                </w:tcPr>
                <w:p>
                  <w:pPr>
                    <w:spacing w:line="260" w:lineRule="exact"/>
                    <w:ind w:left="21" w:leftChars="10" w:right="21" w:rightChars="10"/>
                    <w:jc w:val="center"/>
                    <w:rPr>
                      <w:color w:val="auto"/>
                      <w:sz w:val="18"/>
                      <w:szCs w:val="18"/>
                    </w:rPr>
                  </w:pPr>
                  <w:r>
                    <w:rPr>
                      <w:color w:val="auto"/>
                      <w:sz w:val="18"/>
                      <w:szCs w:val="18"/>
                    </w:rPr>
                    <w:t>公用</w:t>
                  </w:r>
                </w:p>
                <w:p>
                  <w:pPr>
                    <w:snapToGrid w:val="0"/>
                    <w:spacing w:line="260" w:lineRule="exact"/>
                    <w:ind w:left="21" w:leftChars="10" w:right="21" w:rightChars="10"/>
                    <w:jc w:val="center"/>
                    <w:rPr>
                      <w:color w:val="auto"/>
                      <w:sz w:val="18"/>
                      <w:szCs w:val="18"/>
                    </w:rPr>
                  </w:pPr>
                  <w:r>
                    <w:rPr>
                      <w:color w:val="auto"/>
                      <w:sz w:val="18"/>
                      <w:szCs w:val="18"/>
                    </w:rPr>
                    <w:t>工程</w:t>
                  </w:r>
                </w:p>
              </w:tc>
              <w:tc>
                <w:tcPr>
                  <w:tcW w:w="882" w:type="dxa"/>
                  <w:noWrap w:val="0"/>
                  <w:tcMar>
                    <w:left w:w="0" w:type="dxa"/>
                    <w:right w:w="0" w:type="dxa"/>
                  </w:tcMar>
                  <w:vAlign w:val="center"/>
                </w:tcPr>
                <w:p>
                  <w:pPr>
                    <w:widowControl/>
                    <w:spacing w:line="260" w:lineRule="exact"/>
                    <w:ind w:left="21" w:leftChars="10" w:right="21" w:rightChars="10"/>
                    <w:jc w:val="center"/>
                    <w:rPr>
                      <w:bCs/>
                      <w:color w:val="auto"/>
                      <w:sz w:val="18"/>
                      <w:szCs w:val="18"/>
                    </w:rPr>
                  </w:pPr>
                  <w:r>
                    <w:rPr>
                      <w:bCs/>
                      <w:color w:val="auto"/>
                      <w:sz w:val="18"/>
                      <w:szCs w:val="18"/>
                    </w:rPr>
                    <w:t>供水设施</w:t>
                  </w:r>
                </w:p>
              </w:tc>
              <w:tc>
                <w:tcPr>
                  <w:tcW w:w="4577" w:type="dxa"/>
                  <w:noWrap w:val="0"/>
                  <w:tcMar>
                    <w:left w:w="0" w:type="dxa"/>
                    <w:right w:w="0" w:type="dxa"/>
                  </w:tcMar>
                  <w:vAlign w:val="center"/>
                </w:tcPr>
                <w:p>
                  <w:pPr>
                    <w:widowControl/>
                    <w:spacing w:line="260" w:lineRule="exact"/>
                    <w:ind w:left="21" w:leftChars="10" w:right="21" w:rightChars="10"/>
                    <w:jc w:val="center"/>
                    <w:rPr>
                      <w:rFonts w:hint="default" w:eastAsia="宋体"/>
                      <w:color w:val="auto"/>
                      <w:sz w:val="18"/>
                      <w:szCs w:val="18"/>
                      <w:lang w:val="en-US" w:eastAsia="zh-CN"/>
                    </w:rPr>
                  </w:pPr>
                  <w:r>
                    <w:rPr>
                      <w:color w:val="auto"/>
                      <w:sz w:val="18"/>
                      <w:szCs w:val="18"/>
                    </w:rPr>
                    <w:t>来自</w:t>
                  </w:r>
                  <w:r>
                    <w:rPr>
                      <w:rFonts w:hint="eastAsia"/>
                      <w:color w:val="auto"/>
                      <w:sz w:val="18"/>
                      <w:szCs w:val="18"/>
                      <w:lang w:val="en-US" w:eastAsia="zh-CN"/>
                    </w:rPr>
                    <w:t>园区供水管网</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bCs/>
                      <w:color w:val="auto"/>
                      <w:sz w:val="18"/>
                      <w:szCs w:val="18"/>
                    </w:rPr>
                  </w:pPr>
                  <w:r>
                    <w:rPr>
                      <w:bCs/>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widowControl/>
                    <w:spacing w:line="260" w:lineRule="exact"/>
                    <w:ind w:left="21" w:leftChars="10" w:right="21" w:rightChars="10"/>
                    <w:jc w:val="center"/>
                    <w:rPr>
                      <w:bCs/>
                      <w:color w:val="auto"/>
                      <w:sz w:val="18"/>
                      <w:szCs w:val="18"/>
                    </w:rPr>
                  </w:pPr>
                  <w:r>
                    <w:rPr>
                      <w:bCs/>
                      <w:color w:val="auto"/>
                      <w:sz w:val="18"/>
                      <w:szCs w:val="18"/>
                    </w:rPr>
                    <w:t>排水设施</w:t>
                  </w:r>
                </w:p>
              </w:tc>
              <w:tc>
                <w:tcPr>
                  <w:tcW w:w="4577" w:type="dxa"/>
                  <w:noWrap w:val="0"/>
                  <w:tcMar>
                    <w:left w:w="0" w:type="dxa"/>
                    <w:right w:w="0" w:type="dxa"/>
                  </w:tcMar>
                  <w:vAlign w:val="center"/>
                </w:tcPr>
                <w:p>
                  <w:pPr>
                    <w:widowControl/>
                    <w:spacing w:line="260" w:lineRule="exact"/>
                    <w:ind w:left="21" w:leftChars="10" w:right="21" w:rightChars="10"/>
                    <w:rPr>
                      <w:rFonts w:hint="default" w:eastAsia="宋体"/>
                      <w:color w:val="auto"/>
                      <w:sz w:val="18"/>
                      <w:szCs w:val="18"/>
                      <w:lang w:val="en-US" w:eastAsia="zh-CN"/>
                    </w:rPr>
                  </w:pPr>
                  <w:r>
                    <w:rPr>
                      <w:color w:val="auto"/>
                      <w:sz w:val="18"/>
                      <w:szCs w:val="18"/>
                    </w:rPr>
                    <w:t>项目区内、外分别建雨水收集沟，场外</w:t>
                  </w:r>
                  <w:r>
                    <w:rPr>
                      <w:rFonts w:hint="eastAsia"/>
                      <w:color w:val="auto"/>
                      <w:sz w:val="18"/>
                      <w:szCs w:val="18"/>
                    </w:rPr>
                    <w:t>不进入场内</w:t>
                  </w:r>
                  <w:r>
                    <w:rPr>
                      <w:color w:val="auto"/>
                      <w:sz w:val="18"/>
                      <w:szCs w:val="18"/>
                    </w:rPr>
                    <w:t>；办公生活区已建</w:t>
                  </w:r>
                  <w:r>
                    <w:rPr>
                      <w:rFonts w:hint="eastAsia"/>
                      <w:color w:val="auto"/>
                      <w:sz w:val="18"/>
                      <w:szCs w:val="18"/>
                      <w:lang w:val="en-US" w:eastAsia="zh-CN"/>
                    </w:rPr>
                    <w:t>化粪池和排污</w:t>
                  </w:r>
                  <w:r>
                    <w:rPr>
                      <w:color w:val="auto"/>
                      <w:sz w:val="18"/>
                      <w:szCs w:val="18"/>
                    </w:rPr>
                    <w:t>管道，接至</w:t>
                  </w:r>
                  <w:r>
                    <w:rPr>
                      <w:rFonts w:hint="eastAsia"/>
                      <w:color w:val="auto"/>
                      <w:sz w:val="18"/>
                      <w:szCs w:val="18"/>
                      <w:lang w:val="en-US" w:eastAsia="zh-CN"/>
                    </w:rPr>
                    <w:t>园区污水管道</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bCs/>
                      <w:color w:val="auto"/>
                      <w:sz w:val="18"/>
                      <w:szCs w:val="18"/>
                    </w:rPr>
                  </w:pPr>
                  <w:r>
                    <w:rPr>
                      <w:bCs/>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widowControl/>
                    <w:spacing w:line="260" w:lineRule="exact"/>
                    <w:ind w:left="21" w:leftChars="10" w:right="21" w:rightChars="10"/>
                    <w:jc w:val="center"/>
                    <w:rPr>
                      <w:bCs/>
                      <w:color w:val="auto"/>
                      <w:sz w:val="18"/>
                      <w:szCs w:val="18"/>
                    </w:rPr>
                  </w:pPr>
                  <w:r>
                    <w:rPr>
                      <w:bCs/>
                      <w:color w:val="auto"/>
                      <w:sz w:val="18"/>
                      <w:szCs w:val="18"/>
                    </w:rPr>
                    <w:t>供气设施</w:t>
                  </w:r>
                </w:p>
              </w:tc>
              <w:tc>
                <w:tcPr>
                  <w:tcW w:w="4577" w:type="dxa"/>
                  <w:noWrap w:val="0"/>
                  <w:tcMar>
                    <w:left w:w="0" w:type="dxa"/>
                    <w:right w:w="0" w:type="dxa"/>
                  </w:tcMar>
                  <w:vAlign w:val="center"/>
                </w:tcPr>
                <w:p>
                  <w:pPr>
                    <w:widowControl/>
                    <w:spacing w:line="260" w:lineRule="exact"/>
                    <w:ind w:left="21" w:leftChars="10" w:right="21" w:rightChars="10"/>
                    <w:jc w:val="center"/>
                    <w:rPr>
                      <w:color w:val="auto"/>
                      <w:sz w:val="18"/>
                      <w:szCs w:val="18"/>
                    </w:rPr>
                  </w:pPr>
                  <w:r>
                    <w:rPr>
                      <w:color w:val="auto"/>
                      <w:sz w:val="18"/>
                      <w:szCs w:val="18"/>
                    </w:rPr>
                    <w:t>食堂使用液化石油气</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w:t>
                  </w:r>
                </w:p>
              </w:tc>
              <w:tc>
                <w:tcPr>
                  <w:tcW w:w="537" w:type="dxa"/>
                  <w:noWrap w:val="0"/>
                  <w:tcMar>
                    <w:left w:w="0" w:type="dxa"/>
                    <w:right w:w="0" w:type="dxa"/>
                  </w:tcMar>
                  <w:vAlign w:val="center"/>
                </w:tcPr>
                <w:p>
                  <w:pPr>
                    <w:adjustRightInd w:val="0"/>
                    <w:spacing w:line="260" w:lineRule="exact"/>
                    <w:ind w:left="21" w:leftChars="10" w:right="21" w:rightChars="10"/>
                    <w:jc w:val="center"/>
                    <w:textAlignment w:val="baseline"/>
                    <w:rPr>
                      <w:bCs/>
                      <w:color w:val="auto"/>
                      <w:sz w:val="18"/>
                      <w:szCs w:val="18"/>
                    </w:rPr>
                  </w:pPr>
                  <w:r>
                    <w:rPr>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463" w:type="dxa"/>
                  <w:vMerge w:val="continue"/>
                  <w:noWrap w:val="0"/>
                  <w:tcMar>
                    <w:left w:w="0" w:type="dxa"/>
                    <w:right w:w="0" w:type="dxa"/>
                  </w:tcMar>
                  <w:vAlign w:val="center"/>
                </w:tcPr>
                <w:p>
                  <w:pPr>
                    <w:snapToGrid w:val="0"/>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widowControl/>
                    <w:spacing w:line="260" w:lineRule="exact"/>
                    <w:ind w:left="21" w:leftChars="10" w:right="21" w:rightChars="10"/>
                    <w:jc w:val="center"/>
                    <w:rPr>
                      <w:bCs/>
                      <w:color w:val="auto"/>
                      <w:sz w:val="18"/>
                      <w:szCs w:val="18"/>
                    </w:rPr>
                  </w:pPr>
                  <w:r>
                    <w:rPr>
                      <w:bCs/>
                      <w:color w:val="auto"/>
                      <w:sz w:val="18"/>
                      <w:szCs w:val="18"/>
                    </w:rPr>
                    <w:t>供电设施</w:t>
                  </w:r>
                </w:p>
              </w:tc>
              <w:tc>
                <w:tcPr>
                  <w:tcW w:w="4577" w:type="dxa"/>
                  <w:noWrap w:val="0"/>
                  <w:tcMar>
                    <w:left w:w="0" w:type="dxa"/>
                    <w:right w:w="0" w:type="dxa"/>
                  </w:tcMar>
                  <w:vAlign w:val="center"/>
                </w:tcPr>
                <w:p>
                  <w:pPr>
                    <w:widowControl/>
                    <w:spacing w:line="260" w:lineRule="exact"/>
                    <w:ind w:left="21" w:leftChars="10" w:right="21" w:rightChars="10"/>
                    <w:jc w:val="center"/>
                    <w:rPr>
                      <w:color w:val="auto"/>
                      <w:sz w:val="18"/>
                      <w:szCs w:val="18"/>
                    </w:rPr>
                  </w:pPr>
                  <w:r>
                    <w:rPr>
                      <w:color w:val="auto"/>
                      <w:sz w:val="18"/>
                      <w:szCs w:val="18"/>
                    </w:rPr>
                    <w:t>来自附近电网，不设变压器</w:t>
                  </w:r>
                </w:p>
              </w:tc>
              <w:tc>
                <w:tcPr>
                  <w:tcW w:w="753" w:type="dxa"/>
                  <w:vMerge w:val="continue"/>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w:t>
                  </w:r>
                </w:p>
              </w:tc>
              <w:tc>
                <w:tcPr>
                  <w:tcW w:w="537" w:type="dxa"/>
                  <w:noWrap w:val="0"/>
                  <w:tcMar>
                    <w:left w:w="0" w:type="dxa"/>
                    <w:right w:w="0" w:type="dxa"/>
                  </w:tcMar>
                  <w:vAlign w:val="center"/>
                </w:tcPr>
                <w:p>
                  <w:pPr>
                    <w:tabs>
                      <w:tab w:val="left" w:pos="420"/>
                    </w:tabs>
                    <w:adjustRightInd w:val="0"/>
                    <w:spacing w:line="260" w:lineRule="exact"/>
                    <w:ind w:left="21" w:leftChars="10" w:right="21" w:rightChars="10"/>
                    <w:jc w:val="center"/>
                    <w:textAlignment w:val="baseline"/>
                    <w:rPr>
                      <w:bCs/>
                      <w:color w:val="auto"/>
                      <w:sz w:val="18"/>
                      <w:szCs w:val="18"/>
                    </w:rPr>
                  </w:pPr>
                  <w:r>
                    <w:rPr>
                      <w:bCs/>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463" w:type="dxa"/>
                  <w:vMerge w:val="restart"/>
                  <w:noWrap w:val="0"/>
                  <w:tcMar>
                    <w:left w:w="0" w:type="dxa"/>
                    <w:right w:w="0" w:type="dxa"/>
                  </w:tcMar>
                  <w:vAlign w:val="center"/>
                </w:tcPr>
                <w:p>
                  <w:pPr>
                    <w:spacing w:line="260" w:lineRule="exact"/>
                    <w:ind w:left="21" w:leftChars="10" w:right="21" w:rightChars="10"/>
                    <w:jc w:val="center"/>
                    <w:rPr>
                      <w:color w:val="auto"/>
                      <w:sz w:val="18"/>
                      <w:szCs w:val="18"/>
                    </w:rPr>
                  </w:pPr>
                </w:p>
                <w:p>
                  <w:pPr>
                    <w:spacing w:line="260" w:lineRule="exact"/>
                    <w:ind w:left="21" w:leftChars="10" w:right="21" w:rightChars="10"/>
                    <w:jc w:val="center"/>
                    <w:rPr>
                      <w:color w:val="auto"/>
                      <w:sz w:val="18"/>
                      <w:szCs w:val="18"/>
                    </w:rPr>
                  </w:pPr>
                  <w:r>
                    <w:rPr>
                      <w:color w:val="auto"/>
                      <w:sz w:val="18"/>
                      <w:szCs w:val="18"/>
                    </w:rPr>
                    <w:t>环保</w:t>
                  </w:r>
                </w:p>
                <w:p>
                  <w:pPr>
                    <w:spacing w:line="260" w:lineRule="exact"/>
                    <w:ind w:left="21" w:leftChars="10" w:right="21" w:rightChars="10"/>
                    <w:jc w:val="center"/>
                    <w:rPr>
                      <w:color w:val="auto"/>
                      <w:sz w:val="18"/>
                      <w:szCs w:val="18"/>
                    </w:rPr>
                  </w:pPr>
                  <w:r>
                    <w:rPr>
                      <w:color w:val="auto"/>
                      <w:sz w:val="18"/>
                      <w:szCs w:val="18"/>
                    </w:rPr>
                    <w:t>工程</w:t>
                  </w:r>
                </w:p>
                <w:p>
                  <w:pPr>
                    <w:spacing w:line="260" w:lineRule="exact"/>
                    <w:ind w:left="21" w:leftChars="10" w:right="21" w:rightChars="10"/>
                    <w:jc w:val="center"/>
                    <w:rPr>
                      <w:color w:val="auto"/>
                      <w:sz w:val="18"/>
                      <w:szCs w:val="18"/>
                    </w:rPr>
                  </w:pPr>
                </w:p>
                <w:p>
                  <w:pPr>
                    <w:spacing w:line="260" w:lineRule="exact"/>
                    <w:ind w:left="21" w:leftChars="10" w:right="21" w:rightChars="10"/>
                    <w:jc w:val="center"/>
                    <w:rPr>
                      <w:color w:val="auto"/>
                      <w:sz w:val="18"/>
                      <w:szCs w:val="18"/>
                    </w:rPr>
                  </w:pPr>
                </w:p>
                <w:p>
                  <w:pPr>
                    <w:spacing w:line="260" w:lineRule="exact"/>
                    <w:ind w:left="21" w:leftChars="10" w:right="21" w:rightChars="10"/>
                    <w:jc w:val="center"/>
                    <w:rPr>
                      <w:color w:val="auto"/>
                      <w:sz w:val="18"/>
                      <w:szCs w:val="18"/>
                    </w:rPr>
                  </w:pPr>
                </w:p>
                <w:p>
                  <w:pPr>
                    <w:spacing w:line="260" w:lineRule="exact"/>
                    <w:ind w:left="21" w:leftChars="10" w:right="21" w:rightChars="10"/>
                    <w:jc w:val="center"/>
                    <w:rPr>
                      <w:color w:val="auto"/>
                      <w:sz w:val="18"/>
                      <w:szCs w:val="18"/>
                    </w:rPr>
                  </w:pPr>
                </w:p>
                <w:p>
                  <w:pPr>
                    <w:spacing w:line="260" w:lineRule="exact"/>
                    <w:ind w:left="21" w:leftChars="10" w:right="21" w:rightChars="10"/>
                    <w:jc w:val="center"/>
                    <w:rPr>
                      <w:color w:val="auto"/>
                      <w:sz w:val="18"/>
                      <w:szCs w:val="18"/>
                    </w:rPr>
                  </w:pPr>
                  <w:r>
                    <w:rPr>
                      <w:color w:val="auto"/>
                      <w:sz w:val="18"/>
                      <w:szCs w:val="18"/>
                    </w:rPr>
                    <w:t>环保</w:t>
                  </w:r>
                </w:p>
                <w:p>
                  <w:pPr>
                    <w:spacing w:line="260" w:lineRule="exact"/>
                    <w:ind w:left="21" w:leftChars="10" w:right="21" w:rightChars="10"/>
                    <w:jc w:val="center"/>
                    <w:rPr>
                      <w:color w:val="auto"/>
                      <w:sz w:val="18"/>
                      <w:szCs w:val="18"/>
                    </w:rPr>
                  </w:pPr>
                  <w:r>
                    <w:rPr>
                      <w:color w:val="auto"/>
                      <w:sz w:val="18"/>
                      <w:szCs w:val="18"/>
                    </w:rPr>
                    <w:t>工程</w:t>
                  </w:r>
                </w:p>
              </w:tc>
              <w:tc>
                <w:tcPr>
                  <w:tcW w:w="882" w:type="dxa"/>
                  <w:vMerge w:val="restart"/>
                  <w:noWrap w:val="0"/>
                  <w:tcMar>
                    <w:left w:w="0" w:type="dxa"/>
                    <w:right w:w="0" w:type="dxa"/>
                  </w:tcMar>
                  <w:vAlign w:val="center"/>
                </w:tcPr>
                <w:p>
                  <w:pPr>
                    <w:spacing w:line="260" w:lineRule="exact"/>
                    <w:ind w:left="21" w:leftChars="10" w:right="21" w:rightChars="10"/>
                    <w:jc w:val="center"/>
                    <w:rPr>
                      <w:color w:val="auto"/>
                      <w:sz w:val="18"/>
                      <w:szCs w:val="18"/>
                    </w:rPr>
                  </w:pPr>
                  <w:r>
                    <w:rPr>
                      <w:color w:val="auto"/>
                      <w:sz w:val="18"/>
                      <w:szCs w:val="18"/>
                    </w:rPr>
                    <w:t>固废处置</w:t>
                  </w:r>
                </w:p>
              </w:tc>
              <w:tc>
                <w:tcPr>
                  <w:tcW w:w="4577" w:type="dxa"/>
                  <w:noWrap w:val="0"/>
                  <w:tcMar>
                    <w:left w:w="0" w:type="dxa"/>
                    <w:right w:w="0" w:type="dxa"/>
                  </w:tcMar>
                  <w:vAlign w:val="center"/>
                </w:tcPr>
                <w:p>
                  <w:pPr>
                    <w:spacing w:line="260" w:lineRule="exact"/>
                    <w:ind w:left="21" w:leftChars="10" w:right="21" w:rightChars="10"/>
                    <w:rPr>
                      <w:color w:val="auto"/>
                      <w:sz w:val="18"/>
                      <w:szCs w:val="18"/>
                    </w:rPr>
                  </w:pPr>
                  <w:r>
                    <w:rPr>
                      <w:rFonts w:hint="eastAsia"/>
                      <w:color w:val="auto"/>
                      <w:sz w:val="18"/>
                      <w:szCs w:val="18"/>
                    </w:rPr>
                    <w:t>配备移动式接油托盘收集滴漏废油；</w:t>
                  </w:r>
                  <w:r>
                    <w:rPr>
                      <w:color w:val="auto"/>
                      <w:sz w:val="18"/>
                      <w:szCs w:val="18"/>
                    </w:rPr>
                    <w:t>废吸收绵、</w:t>
                  </w:r>
                  <w:r>
                    <w:rPr>
                      <w:rFonts w:hint="eastAsia"/>
                      <w:color w:val="auto"/>
                      <w:sz w:val="18"/>
                      <w:szCs w:val="18"/>
                    </w:rPr>
                    <w:t>废</w:t>
                  </w:r>
                  <w:r>
                    <w:rPr>
                      <w:color w:val="auto"/>
                      <w:sz w:val="18"/>
                      <w:szCs w:val="18"/>
                    </w:rPr>
                    <w:t>锯末、含油手套</w:t>
                  </w:r>
                  <w:r>
                    <w:rPr>
                      <w:rFonts w:hint="eastAsia"/>
                      <w:color w:val="auto"/>
                      <w:sz w:val="18"/>
                      <w:szCs w:val="18"/>
                    </w:rPr>
                    <w:t>及</w:t>
                  </w:r>
                  <w:r>
                    <w:rPr>
                      <w:color w:val="auto"/>
                      <w:sz w:val="18"/>
                      <w:szCs w:val="18"/>
                    </w:rPr>
                    <w:t>工作服设置专门的收集</w:t>
                  </w:r>
                  <w:r>
                    <w:rPr>
                      <w:rFonts w:hint="eastAsia"/>
                      <w:color w:val="auto"/>
                      <w:sz w:val="18"/>
                      <w:szCs w:val="18"/>
                    </w:rPr>
                    <w:t>桶</w:t>
                  </w:r>
                  <w:r>
                    <w:rPr>
                      <w:color w:val="auto"/>
                      <w:sz w:val="18"/>
                      <w:szCs w:val="18"/>
                    </w:rPr>
                    <w:t>收集，临时储存在废油暂存间内的指定区域</w:t>
                  </w:r>
                </w:p>
              </w:tc>
              <w:tc>
                <w:tcPr>
                  <w:tcW w:w="753" w:type="dxa"/>
                  <w:vMerge w:val="continue"/>
                  <w:noWrap w:val="0"/>
                  <w:tcMar>
                    <w:left w:w="0" w:type="dxa"/>
                    <w:right w:w="0" w:type="dxa"/>
                  </w:tcMar>
                  <w:vAlign w:val="center"/>
                </w:tcPr>
                <w:p>
                  <w:pPr>
                    <w:widowControl/>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环境风险</w:t>
                  </w:r>
                </w:p>
              </w:tc>
              <w:tc>
                <w:tcPr>
                  <w:tcW w:w="53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463"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882"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4577" w:type="dxa"/>
                  <w:noWrap w:val="0"/>
                  <w:tcMar>
                    <w:left w:w="0" w:type="dxa"/>
                    <w:right w:w="0" w:type="dxa"/>
                  </w:tcMar>
                  <w:vAlign w:val="center"/>
                </w:tcPr>
                <w:p>
                  <w:pPr>
                    <w:spacing w:line="260" w:lineRule="exact"/>
                    <w:ind w:left="21" w:leftChars="10" w:right="21" w:rightChars="10"/>
                    <w:rPr>
                      <w:color w:val="auto"/>
                      <w:sz w:val="18"/>
                      <w:szCs w:val="18"/>
                    </w:rPr>
                  </w:pPr>
                  <w:r>
                    <w:rPr>
                      <w:color w:val="auto"/>
                      <w:sz w:val="18"/>
                      <w:szCs w:val="18"/>
                    </w:rPr>
                    <w:t>一般固废：办公区设生活垃圾收集桶收集</w:t>
                  </w:r>
                </w:p>
              </w:tc>
              <w:tc>
                <w:tcPr>
                  <w:tcW w:w="753" w:type="dxa"/>
                  <w:vMerge w:val="continue"/>
                  <w:noWrap w:val="0"/>
                  <w:tcMar>
                    <w:left w:w="0" w:type="dxa"/>
                    <w:right w:w="0" w:type="dxa"/>
                  </w:tcMar>
                  <w:vAlign w:val="center"/>
                </w:tcPr>
                <w:p>
                  <w:pPr>
                    <w:widowControl/>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w:t>
                  </w:r>
                </w:p>
              </w:tc>
              <w:tc>
                <w:tcPr>
                  <w:tcW w:w="53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463"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spacing w:line="260" w:lineRule="exact"/>
                    <w:ind w:left="21" w:leftChars="10" w:right="21" w:rightChars="10"/>
                    <w:jc w:val="center"/>
                    <w:rPr>
                      <w:color w:val="auto"/>
                      <w:sz w:val="18"/>
                      <w:szCs w:val="18"/>
                    </w:rPr>
                  </w:pPr>
                  <w:r>
                    <w:rPr>
                      <w:color w:val="auto"/>
                      <w:sz w:val="18"/>
                      <w:szCs w:val="18"/>
                    </w:rPr>
                    <w:t>噪声治理</w:t>
                  </w:r>
                </w:p>
              </w:tc>
              <w:tc>
                <w:tcPr>
                  <w:tcW w:w="4577" w:type="dxa"/>
                  <w:noWrap w:val="0"/>
                  <w:tcMar>
                    <w:left w:w="0" w:type="dxa"/>
                    <w:right w:w="0" w:type="dxa"/>
                  </w:tcMar>
                  <w:vAlign w:val="center"/>
                </w:tcPr>
                <w:p>
                  <w:pPr>
                    <w:spacing w:line="260" w:lineRule="exact"/>
                    <w:ind w:left="21" w:leftChars="10" w:right="21" w:rightChars="10"/>
                    <w:rPr>
                      <w:color w:val="auto"/>
                      <w:sz w:val="18"/>
                      <w:szCs w:val="18"/>
                    </w:rPr>
                  </w:pPr>
                  <w:r>
                    <w:rPr>
                      <w:color w:val="auto"/>
                      <w:sz w:val="18"/>
                      <w:szCs w:val="18"/>
                    </w:rPr>
                    <w:t>运输车辆噪声：合理安排运输时间，限速禁鸣</w:t>
                  </w:r>
                </w:p>
              </w:tc>
              <w:tc>
                <w:tcPr>
                  <w:tcW w:w="753" w:type="dxa"/>
                  <w:vMerge w:val="continue"/>
                  <w:noWrap w:val="0"/>
                  <w:tcMar>
                    <w:left w:w="0" w:type="dxa"/>
                    <w:right w:w="0" w:type="dxa"/>
                  </w:tcMar>
                  <w:vAlign w:val="center"/>
                </w:tcPr>
                <w:p>
                  <w:pPr>
                    <w:widowControl/>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w:t>
                  </w:r>
                </w:p>
              </w:tc>
              <w:tc>
                <w:tcPr>
                  <w:tcW w:w="53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3"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882" w:type="dxa"/>
                  <w:vMerge w:val="restart"/>
                  <w:noWrap w:val="0"/>
                  <w:tcMar>
                    <w:left w:w="0" w:type="dxa"/>
                    <w:right w:w="0" w:type="dxa"/>
                  </w:tcMar>
                  <w:vAlign w:val="center"/>
                </w:tcPr>
                <w:p>
                  <w:pPr>
                    <w:spacing w:line="260" w:lineRule="exact"/>
                    <w:ind w:left="21" w:leftChars="10" w:right="21" w:rightChars="10"/>
                    <w:jc w:val="center"/>
                    <w:rPr>
                      <w:color w:val="auto"/>
                      <w:sz w:val="18"/>
                      <w:szCs w:val="18"/>
                    </w:rPr>
                  </w:pPr>
                  <w:r>
                    <w:rPr>
                      <w:color w:val="auto"/>
                      <w:sz w:val="18"/>
                      <w:szCs w:val="18"/>
                    </w:rPr>
                    <w:t>废水处理</w:t>
                  </w:r>
                </w:p>
              </w:tc>
              <w:tc>
                <w:tcPr>
                  <w:tcW w:w="4577" w:type="dxa"/>
                  <w:noWrap w:val="0"/>
                  <w:tcMar>
                    <w:left w:w="0" w:type="dxa"/>
                    <w:right w:w="0" w:type="dxa"/>
                  </w:tcMar>
                  <w:vAlign w:val="center"/>
                </w:tcPr>
                <w:p>
                  <w:pPr>
                    <w:spacing w:line="260" w:lineRule="exact"/>
                    <w:ind w:left="21" w:leftChars="10" w:right="21" w:rightChars="10"/>
                    <w:rPr>
                      <w:rFonts w:hint="default" w:eastAsia="宋体"/>
                      <w:color w:val="auto"/>
                      <w:sz w:val="18"/>
                      <w:szCs w:val="18"/>
                      <w:lang w:val="en-US" w:eastAsia="zh-CN"/>
                    </w:rPr>
                  </w:pPr>
                  <w:r>
                    <w:rPr>
                      <w:bCs/>
                      <w:color w:val="auto"/>
                      <w:sz w:val="18"/>
                      <w:szCs w:val="18"/>
                    </w:rPr>
                    <w:t>生活污水利用已有的化粪池</w:t>
                  </w:r>
                  <w:r>
                    <w:rPr>
                      <w:rFonts w:hint="eastAsia"/>
                      <w:bCs/>
                      <w:color w:val="auto"/>
                      <w:sz w:val="18"/>
                      <w:szCs w:val="18"/>
                    </w:rPr>
                    <w:t>（50m</w:t>
                  </w:r>
                  <w:r>
                    <w:rPr>
                      <w:rFonts w:hint="eastAsia"/>
                      <w:bCs/>
                      <w:color w:val="auto"/>
                      <w:sz w:val="18"/>
                      <w:szCs w:val="18"/>
                      <w:vertAlign w:val="superscript"/>
                    </w:rPr>
                    <w:t>3</w:t>
                  </w:r>
                  <w:r>
                    <w:rPr>
                      <w:rFonts w:hint="eastAsia"/>
                      <w:bCs/>
                      <w:color w:val="auto"/>
                      <w:sz w:val="18"/>
                      <w:szCs w:val="18"/>
                    </w:rPr>
                    <w:t>）</w:t>
                  </w:r>
                  <w:r>
                    <w:rPr>
                      <w:bCs/>
                      <w:color w:val="auto"/>
                      <w:sz w:val="18"/>
                      <w:szCs w:val="18"/>
                    </w:rPr>
                    <w:t>收集</w:t>
                  </w:r>
                  <w:r>
                    <w:rPr>
                      <w:rFonts w:hint="eastAsia"/>
                      <w:bCs/>
                      <w:color w:val="auto"/>
                      <w:sz w:val="18"/>
                      <w:szCs w:val="18"/>
                    </w:rPr>
                    <w:t>后</w:t>
                  </w:r>
                  <w:r>
                    <w:rPr>
                      <w:rFonts w:hint="eastAsia"/>
                      <w:bCs/>
                      <w:color w:val="auto"/>
                      <w:sz w:val="18"/>
                      <w:szCs w:val="18"/>
                      <w:lang w:val="en-US" w:eastAsia="zh-CN"/>
                    </w:rPr>
                    <w:t>排至园区管网</w:t>
                  </w:r>
                </w:p>
              </w:tc>
              <w:tc>
                <w:tcPr>
                  <w:tcW w:w="753" w:type="dxa"/>
                  <w:vMerge w:val="continue"/>
                  <w:noWrap w:val="0"/>
                  <w:tcMar>
                    <w:left w:w="0" w:type="dxa"/>
                    <w:right w:w="0" w:type="dxa"/>
                  </w:tcMar>
                  <w:vAlign w:val="center"/>
                </w:tcPr>
                <w:p>
                  <w:pPr>
                    <w:widowControl/>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w:t>
                  </w:r>
                </w:p>
              </w:tc>
              <w:tc>
                <w:tcPr>
                  <w:tcW w:w="53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3"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882"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4577" w:type="dxa"/>
                  <w:noWrap w:val="0"/>
                  <w:tcMar>
                    <w:left w:w="0" w:type="dxa"/>
                    <w:right w:w="0" w:type="dxa"/>
                  </w:tcMar>
                  <w:vAlign w:val="center"/>
                </w:tcPr>
                <w:p>
                  <w:pPr>
                    <w:spacing w:line="260" w:lineRule="exact"/>
                    <w:ind w:left="21" w:leftChars="10" w:right="21" w:rightChars="10"/>
                    <w:rPr>
                      <w:bCs/>
                      <w:color w:val="auto"/>
                      <w:sz w:val="18"/>
                      <w:szCs w:val="18"/>
                    </w:rPr>
                  </w:pPr>
                  <w:r>
                    <w:rPr>
                      <w:rFonts w:hint="eastAsia"/>
                      <w:bCs/>
                      <w:color w:val="auto"/>
                      <w:sz w:val="18"/>
                      <w:szCs w:val="18"/>
                      <w:lang w:val="en-US" w:eastAsia="zh-CN"/>
                    </w:rPr>
                    <w:t>梳理厂区四周的雨水沟，确保厂外雨水不进入厂；车间内无废水排出至车间外</w:t>
                  </w:r>
                </w:p>
              </w:tc>
              <w:tc>
                <w:tcPr>
                  <w:tcW w:w="753" w:type="dxa"/>
                  <w:vMerge w:val="continue"/>
                  <w:noWrap w:val="0"/>
                  <w:tcMar>
                    <w:left w:w="0" w:type="dxa"/>
                    <w:right w:w="0" w:type="dxa"/>
                  </w:tcMar>
                  <w:vAlign w:val="center"/>
                </w:tcPr>
                <w:p>
                  <w:pPr>
                    <w:widowControl/>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w:t>
                  </w:r>
                </w:p>
              </w:tc>
              <w:tc>
                <w:tcPr>
                  <w:tcW w:w="53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463" w:type="dxa"/>
                  <w:vMerge w:val="continue"/>
                  <w:noWrap w:val="0"/>
                  <w:tcMar>
                    <w:left w:w="0" w:type="dxa"/>
                    <w:right w:w="0" w:type="dxa"/>
                  </w:tcMar>
                  <w:vAlign w:val="center"/>
                </w:tcPr>
                <w:p>
                  <w:pPr>
                    <w:spacing w:line="260" w:lineRule="exact"/>
                    <w:ind w:left="21" w:leftChars="10" w:right="21" w:rightChars="10"/>
                    <w:jc w:val="center"/>
                    <w:rPr>
                      <w:color w:val="auto"/>
                      <w:sz w:val="18"/>
                      <w:szCs w:val="18"/>
                    </w:rPr>
                  </w:pPr>
                </w:p>
              </w:tc>
              <w:tc>
                <w:tcPr>
                  <w:tcW w:w="882" w:type="dxa"/>
                  <w:noWrap w:val="0"/>
                  <w:tcMar>
                    <w:left w:w="0" w:type="dxa"/>
                    <w:right w:w="0" w:type="dxa"/>
                  </w:tcMar>
                  <w:vAlign w:val="center"/>
                </w:tcPr>
                <w:p>
                  <w:pPr>
                    <w:spacing w:line="260" w:lineRule="exact"/>
                    <w:ind w:left="21" w:leftChars="10" w:right="21" w:rightChars="10"/>
                    <w:jc w:val="center"/>
                    <w:rPr>
                      <w:rFonts w:hint="eastAsia"/>
                      <w:color w:val="auto"/>
                      <w:sz w:val="18"/>
                      <w:szCs w:val="18"/>
                    </w:rPr>
                  </w:pPr>
                  <w:r>
                    <w:rPr>
                      <w:rFonts w:hint="eastAsia"/>
                      <w:color w:val="auto"/>
                      <w:sz w:val="18"/>
                      <w:szCs w:val="18"/>
                    </w:rPr>
                    <w:t>环境风险</w:t>
                  </w:r>
                </w:p>
              </w:tc>
              <w:tc>
                <w:tcPr>
                  <w:tcW w:w="4577" w:type="dxa"/>
                  <w:noWrap w:val="0"/>
                  <w:tcMar>
                    <w:left w:w="0" w:type="dxa"/>
                    <w:right w:w="0" w:type="dxa"/>
                  </w:tcMar>
                  <w:vAlign w:val="center"/>
                </w:tcPr>
                <w:p>
                  <w:pPr>
                    <w:spacing w:line="260" w:lineRule="exact"/>
                    <w:ind w:left="21" w:leftChars="10" w:right="21" w:rightChars="10"/>
                    <w:rPr>
                      <w:color w:val="auto"/>
                      <w:sz w:val="18"/>
                      <w:szCs w:val="18"/>
                    </w:rPr>
                  </w:pPr>
                  <w:r>
                    <w:rPr>
                      <w:rFonts w:hint="eastAsia"/>
                      <w:color w:val="auto"/>
                      <w:sz w:val="18"/>
                      <w:szCs w:val="18"/>
                      <w:lang w:val="en-US" w:eastAsia="zh-CN"/>
                    </w:rPr>
                    <w:t>利用储油车间东面的水池改造成事故池</w:t>
                  </w:r>
                  <w:r>
                    <w:rPr>
                      <w:rFonts w:hint="eastAsia"/>
                      <w:color w:val="auto"/>
                      <w:sz w:val="18"/>
                      <w:szCs w:val="18"/>
                    </w:rPr>
                    <w:t>，容积</w:t>
                  </w:r>
                  <w:r>
                    <w:rPr>
                      <w:rFonts w:hint="eastAsia"/>
                      <w:color w:val="auto"/>
                      <w:sz w:val="18"/>
                      <w:szCs w:val="18"/>
                      <w:lang w:val="en-US" w:eastAsia="zh-CN"/>
                    </w:rPr>
                    <w:t>约60</w:t>
                  </w:r>
                  <w:r>
                    <w:rPr>
                      <w:rFonts w:hint="eastAsia"/>
                      <w:color w:val="auto"/>
                      <w:sz w:val="18"/>
                      <w:szCs w:val="18"/>
                    </w:rPr>
                    <w:t>m</w:t>
                  </w:r>
                  <w:r>
                    <w:rPr>
                      <w:rFonts w:hint="eastAsia"/>
                      <w:color w:val="auto"/>
                      <w:sz w:val="18"/>
                      <w:szCs w:val="18"/>
                      <w:vertAlign w:val="superscript"/>
                    </w:rPr>
                    <w:t>3</w:t>
                  </w:r>
                  <w:r>
                    <w:rPr>
                      <w:rFonts w:hint="eastAsia"/>
                      <w:color w:val="auto"/>
                      <w:sz w:val="18"/>
                      <w:szCs w:val="18"/>
                    </w:rPr>
                    <w:t>；</w:t>
                  </w:r>
                  <w:r>
                    <w:rPr>
                      <w:rFonts w:hint="eastAsia"/>
                      <w:color w:val="auto"/>
                      <w:sz w:val="18"/>
                      <w:szCs w:val="18"/>
                      <w:lang w:val="en-US" w:eastAsia="zh-CN"/>
                    </w:rPr>
                    <w:t>储罐区</w:t>
                  </w:r>
                  <w:r>
                    <w:rPr>
                      <w:rFonts w:hint="eastAsia"/>
                      <w:color w:val="auto"/>
                      <w:sz w:val="18"/>
                      <w:szCs w:val="18"/>
                    </w:rPr>
                    <w:t>、装卸平台、危废间、事故池等按重点防渗要求建设</w:t>
                  </w:r>
                </w:p>
              </w:tc>
              <w:tc>
                <w:tcPr>
                  <w:tcW w:w="753" w:type="dxa"/>
                  <w:vMerge w:val="continue"/>
                  <w:noWrap w:val="0"/>
                  <w:tcMar>
                    <w:left w:w="0" w:type="dxa"/>
                    <w:right w:w="0" w:type="dxa"/>
                  </w:tcMar>
                  <w:vAlign w:val="center"/>
                </w:tcPr>
                <w:p>
                  <w:pPr>
                    <w:widowControl/>
                    <w:spacing w:line="260" w:lineRule="exact"/>
                    <w:ind w:left="21" w:leftChars="10" w:right="21" w:rightChars="10"/>
                    <w:jc w:val="center"/>
                    <w:rPr>
                      <w:color w:val="auto"/>
                      <w:sz w:val="18"/>
                      <w:szCs w:val="18"/>
                    </w:rPr>
                  </w:pPr>
                </w:p>
              </w:tc>
              <w:tc>
                <w:tcPr>
                  <w:tcW w:w="82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w:t>
                  </w:r>
                </w:p>
              </w:tc>
              <w:tc>
                <w:tcPr>
                  <w:tcW w:w="537" w:type="dxa"/>
                  <w:noWrap w:val="0"/>
                  <w:tcMar>
                    <w:left w:w="0" w:type="dxa"/>
                    <w:right w:w="0" w:type="dxa"/>
                  </w:tcMar>
                  <w:vAlign w:val="center"/>
                </w:tcPr>
                <w:p>
                  <w:pPr>
                    <w:widowControl/>
                    <w:snapToGrid w:val="0"/>
                    <w:spacing w:line="260" w:lineRule="exact"/>
                    <w:ind w:left="21" w:leftChars="10" w:right="21" w:rightChars="10"/>
                    <w:jc w:val="center"/>
                    <w:rPr>
                      <w:color w:val="auto"/>
                      <w:sz w:val="18"/>
                      <w:szCs w:val="18"/>
                    </w:rPr>
                  </w:pPr>
                  <w:r>
                    <w:rPr>
                      <w:color w:val="auto"/>
                      <w:sz w:val="18"/>
                      <w:szCs w:val="18"/>
                    </w:rPr>
                    <w:t>新建</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2、产品方案及产能</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本项目产品为收集的废</w:t>
            </w:r>
            <w:r>
              <w:rPr>
                <w:rFonts w:hint="eastAsia"/>
                <w:color w:val="auto"/>
                <w:kern w:val="0"/>
                <w:szCs w:val="21"/>
                <w:lang w:val="en-US" w:eastAsia="zh-CN"/>
              </w:rPr>
              <w:t>矿物</w:t>
            </w:r>
            <w:r>
              <w:rPr>
                <w:color w:val="auto"/>
                <w:kern w:val="0"/>
                <w:szCs w:val="21"/>
              </w:rPr>
              <w:t>油，预计年收集废</w:t>
            </w:r>
            <w:r>
              <w:rPr>
                <w:rFonts w:hint="eastAsia"/>
                <w:color w:val="auto"/>
                <w:kern w:val="0"/>
                <w:szCs w:val="21"/>
                <w:lang w:val="en-US" w:eastAsia="zh-CN"/>
              </w:rPr>
              <w:t>矿物</w:t>
            </w:r>
            <w:r>
              <w:rPr>
                <w:color w:val="auto"/>
                <w:kern w:val="0"/>
                <w:szCs w:val="21"/>
              </w:rPr>
              <w:t>油</w:t>
            </w:r>
            <w:r>
              <w:rPr>
                <w:rFonts w:hint="eastAsia"/>
                <w:color w:val="auto"/>
                <w:kern w:val="0"/>
                <w:szCs w:val="21"/>
                <w:lang w:val="en-US" w:eastAsia="zh-CN"/>
              </w:rPr>
              <w:t>20</w:t>
            </w:r>
            <w:r>
              <w:rPr>
                <w:color w:val="auto"/>
                <w:kern w:val="0"/>
                <w:szCs w:val="21"/>
              </w:rPr>
              <w:t>00吨</w:t>
            </w:r>
            <w:r>
              <w:rPr>
                <w:rFonts w:hint="eastAsia"/>
                <w:color w:val="auto"/>
                <w:kern w:val="0"/>
                <w:szCs w:val="21"/>
                <w:lang w:eastAsia="zh-CN"/>
              </w:rPr>
              <w:t>，</w:t>
            </w:r>
            <w:r>
              <w:rPr>
                <w:rFonts w:hint="eastAsia"/>
                <w:color w:val="auto"/>
                <w:kern w:val="0"/>
                <w:szCs w:val="21"/>
                <w:lang w:val="en-US" w:eastAsia="zh-CN"/>
              </w:rPr>
              <w:t>收集运输委托遂宁市佳安运输有限公司进行</w:t>
            </w:r>
            <w:r>
              <w:rPr>
                <w:rFonts w:hint="eastAsia"/>
                <w:color w:val="auto"/>
                <w:kern w:val="0"/>
                <w:szCs w:val="21"/>
              </w:rPr>
              <w:t>。</w:t>
            </w:r>
            <w:r>
              <w:rPr>
                <w:rFonts w:hint="eastAsia"/>
                <w:color w:val="auto"/>
                <w:kern w:val="0"/>
                <w:szCs w:val="21"/>
                <w:lang w:val="en-US" w:eastAsia="zh-CN"/>
              </w:rPr>
              <w:t>项目</w:t>
            </w:r>
            <w:r>
              <w:rPr>
                <w:color w:val="auto"/>
                <w:kern w:val="0"/>
                <w:szCs w:val="21"/>
              </w:rPr>
              <w:t>设计安装2个容积均为</w:t>
            </w:r>
            <w:r>
              <w:rPr>
                <w:rFonts w:hint="eastAsia"/>
                <w:color w:val="auto"/>
                <w:kern w:val="0"/>
                <w:szCs w:val="21"/>
                <w:lang w:val="en-US" w:eastAsia="zh-CN"/>
              </w:rPr>
              <w:t>50m</w:t>
            </w:r>
            <w:r>
              <w:rPr>
                <w:rFonts w:hint="eastAsia"/>
                <w:color w:val="auto"/>
                <w:kern w:val="0"/>
                <w:szCs w:val="21"/>
                <w:vertAlign w:val="superscript"/>
                <w:lang w:val="en-US" w:eastAsia="zh-CN"/>
              </w:rPr>
              <w:t>3</w:t>
            </w:r>
            <w:r>
              <w:rPr>
                <w:color w:val="auto"/>
                <w:kern w:val="0"/>
                <w:szCs w:val="21"/>
              </w:rPr>
              <w:t>的储油罐，最大储存量按80%计，约为</w:t>
            </w:r>
            <w:r>
              <w:rPr>
                <w:rFonts w:hint="eastAsia"/>
                <w:color w:val="auto"/>
                <w:kern w:val="0"/>
                <w:szCs w:val="21"/>
                <w:lang w:val="en-US" w:eastAsia="zh-CN"/>
              </w:rPr>
              <w:t>80m</w:t>
            </w:r>
            <w:r>
              <w:rPr>
                <w:rFonts w:hint="eastAsia"/>
                <w:color w:val="auto"/>
                <w:kern w:val="0"/>
                <w:szCs w:val="21"/>
                <w:vertAlign w:val="superscript"/>
                <w:lang w:val="en-US" w:eastAsia="zh-CN"/>
              </w:rPr>
              <w:t>3</w:t>
            </w:r>
            <w:r>
              <w:rPr>
                <w:rFonts w:hint="eastAsia"/>
                <w:color w:val="auto"/>
                <w:kern w:val="0"/>
                <w:szCs w:val="21"/>
                <w:lang w:eastAsia="zh-CN"/>
              </w:rPr>
              <w:t>，</w:t>
            </w:r>
            <w:r>
              <w:rPr>
                <w:rFonts w:hint="eastAsia"/>
                <w:color w:val="auto"/>
                <w:kern w:val="0"/>
                <w:szCs w:val="21"/>
                <w:lang w:val="en-US" w:eastAsia="zh-CN"/>
              </w:rPr>
              <w:t>折合约70t（废矿物油密度约</w:t>
            </w:r>
            <w:r>
              <w:rPr>
                <w:rFonts w:hint="eastAsia"/>
                <w:color w:val="auto"/>
                <w:kern w:val="0"/>
                <w:szCs w:val="21"/>
              </w:rPr>
              <w:t>875kg/m</w:t>
            </w:r>
            <w:r>
              <w:rPr>
                <w:rFonts w:hint="eastAsia"/>
                <w:color w:val="auto"/>
                <w:kern w:val="0"/>
                <w:szCs w:val="21"/>
                <w:vertAlign w:val="superscript"/>
              </w:rPr>
              <w:t>3</w:t>
            </w:r>
            <w:r>
              <w:rPr>
                <w:rFonts w:hint="eastAsia"/>
                <w:color w:val="auto"/>
                <w:kern w:val="0"/>
                <w:szCs w:val="21"/>
                <w:lang w:val="en-US" w:eastAsia="zh-CN"/>
              </w:rPr>
              <w:t>）</w:t>
            </w:r>
            <w:r>
              <w:rPr>
                <w:rFonts w:hint="eastAsia"/>
                <w:color w:val="auto"/>
                <w:kern w:val="0"/>
                <w:szCs w:val="21"/>
                <w:lang w:eastAsia="zh-CN"/>
              </w:rPr>
              <w:t>。</w:t>
            </w:r>
            <w:r>
              <w:rPr>
                <w:rFonts w:hint="eastAsia"/>
                <w:color w:val="auto"/>
                <w:kern w:val="0"/>
                <w:szCs w:val="21"/>
                <w:lang w:val="en-US" w:eastAsia="zh-CN"/>
              </w:rPr>
              <w:t>项目</w:t>
            </w:r>
            <w:r>
              <w:rPr>
                <w:rFonts w:hint="eastAsia"/>
                <w:color w:val="auto"/>
                <w:kern w:val="0"/>
                <w:szCs w:val="21"/>
              </w:rPr>
              <w:t>按转运车辆1次转运30t计，则需</w:t>
            </w:r>
            <w:r>
              <w:rPr>
                <w:color w:val="auto"/>
                <w:kern w:val="0"/>
                <w:szCs w:val="21"/>
              </w:rPr>
              <w:t>转运</w:t>
            </w:r>
            <w:r>
              <w:rPr>
                <w:rFonts w:hint="eastAsia"/>
                <w:color w:val="auto"/>
                <w:kern w:val="0"/>
                <w:szCs w:val="21"/>
                <w:lang w:val="en-US" w:eastAsia="zh-CN"/>
              </w:rPr>
              <w:t>7</w:t>
            </w:r>
            <w:r>
              <w:rPr>
                <w:rFonts w:hint="eastAsia"/>
                <w:color w:val="auto"/>
                <w:kern w:val="0"/>
                <w:szCs w:val="21"/>
              </w:rPr>
              <w:t>0</w:t>
            </w:r>
            <w:r>
              <w:rPr>
                <w:color w:val="auto"/>
                <w:kern w:val="0"/>
                <w:szCs w:val="21"/>
              </w:rPr>
              <w:t>次</w:t>
            </w:r>
            <w:r>
              <w:rPr>
                <w:rFonts w:hint="eastAsia"/>
                <w:color w:val="auto"/>
                <w:kern w:val="0"/>
                <w:szCs w:val="21"/>
              </w:rPr>
              <w:t>/年</w:t>
            </w:r>
            <w:r>
              <w:rPr>
                <w:color w:val="auto"/>
                <w:kern w:val="0"/>
                <w:szCs w:val="21"/>
              </w:rPr>
              <w:t>，</w:t>
            </w:r>
            <w:r>
              <w:rPr>
                <w:rFonts w:hint="eastAsia"/>
                <w:color w:val="auto"/>
                <w:kern w:val="0"/>
                <w:szCs w:val="21"/>
              </w:rPr>
              <w:t>平均</w:t>
            </w:r>
            <w:r>
              <w:rPr>
                <w:color w:val="auto"/>
                <w:kern w:val="0"/>
                <w:szCs w:val="21"/>
              </w:rPr>
              <w:t>约</w:t>
            </w:r>
            <w:r>
              <w:rPr>
                <w:rFonts w:hint="eastAsia"/>
                <w:color w:val="auto"/>
                <w:kern w:val="0"/>
                <w:szCs w:val="21"/>
              </w:rPr>
              <w:t>5</w:t>
            </w:r>
            <w:r>
              <w:rPr>
                <w:color w:val="auto"/>
                <w:kern w:val="0"/>
                <w:szCs w:val="21"/>
              </w:rPr>
              <w:t>天转运1次。由</w:t>
            </w:r>
            <w:r>
              <w:rPr>
                <w:rFonts w:hint="eastAsia"/>
                <w:color w:val="auto"/>
                <w:kern w:val="0"/>
                <w:szCs w:val="21"/>
                <w:lang w:val="en-US" w:eastAsia="zh-CN"/>
              </w:rPr>
              <w:t>下游接收处置单位四川金谷环保科技有限公司负责运输，该公司已与广安宏远物流有限公司签订了《危险品运输协议》</w:t>
            </w:r>
            <w:r>
              <w:rPr>
                <w:color w:val="auto"/>
                <w:kern w:val="0"/>
                <w:szCs w:val="21"/>
              </w:rPr>
              <w:t>。</w:t>
            </w:r>
          </w:p>
          <w:p>
            <w:pPr>
              <w:autoSpaceDE w:val="0"/>
              <w:autoSpaceDN w:val="0"/>
              <w:adjustRightInd w:val="0"/>
              <w:snapToGrid w:val="0"/>
              <w:spacing w:line="400" w:lineRule="exact"/>
              <w:ind w:left="-31" w:leftChars="-15" w:right="-31" w:rightChars="-15" w:firstLine="420" w:firstLineChars="200"/>
              <w:rPr>
                <w:color w:val="auto"/>
                <w:kern w:val="0"/>
                <w:szCs w:val="21"/>
              </w:rPr>
            </w:pPr>
            <w:r>
              <w:rPr>
                <w:rFonts w:hint="eastAsia"/>
                <w:color w:val="auto"/>
                <w:kern w:val="0"/>
                <w:szCs w:val="21"/>
                <w:lang w:val="en-US" w:eastAsia="zh-CN"/>
              </w:rPr>
              <w:t>根据《国家危险废物名录（2021年版）》，</w:t>
            </w:r>
            <w:r>
              <w:rPr>
                <w:rFonts w:hint="eastAsia"/>
                <w:color w:val="auto"/>
                <w:kern w:val="0"/>
                <w:szCs w:val="21"/>
                <w:lang w:eastAsia="zh-CN"/>
              </w:rPr>
              <w:t>“</w:t>
            </w:r>
            <w:r>
              <w:rPr>
                <w:color w:val="auto"/>
                <w:kern w:val="0"/>
                <w:szCs w:val="21"/>
              </w:rPr>
              <w:t>HW08废矿物油与含矿物油废物</w:t>
            </w:r>
            <w:r>
              <w:rPr>
                <w:rFonts w:hint="eastAsia"/>
                <w:color w:val="auto"/>
                <w:kern w:val="0"/>
                <w:szCs w:val="21"/>
                <w:lang w:eastAsia="zh-CN"/>
              </w:rPr>
              <w:t>”</w:t>
            </w:r>
            <w:r>
              <w:rPr>
                <w:color w:val="auto"/>
                <w:kern w:val="0"/>
                <w:szCs w:val="21"/>
              </w:rPr>
              <w:t>的种类见下表。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表2-2    项目</w:t>
            </w:r>
            <w:r>
              <w:rPr>
                <w:rFonts w:hint="eastAsia" w:ascii="Times New Roman" w:hAnsi="Times New Roman" w:eastAsia="黑体" w:cs="Times New Roman"/>
                <w:color w:val="auto"/>
                <w:kern w:val="0"/>
                <w:sz w:val="20"/>
                <w:szCs w:val="20"/>
                <w:lang w:val="zh-CN" w:eastAsia="zh-CN"/>
              </w:rPr>
              <w:t>废矿物油</w:t>
            </w:r>
            <w:r>
              <w:rPr>
                <w:rFonts w:hint="default" w:ascii="Times New Roman" w:hAnsi="Times New Roman" w:eastAsia="黑体" w:cs="Times New Roman"/>
                <w:color w:val="auto"/>
                <w:kern w:val="0"/>
                <w:sz w:val="20"/>
                <w:szCs w:val="20"/>
                <w:lang w:val="zh-CN" w:eastAsia="zh-CN"/>
              </w:rPr>
              <w:t>收集种类清单</w:t>
            </w:r>
          </w:p>
          <w:tbl>
            <w:tblPr>
              <w:tblStyle w:val="15"/>
              <w:tblW w:w="8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093"/>
              <w:gridCol w:w="1128"/>
              <w:gridCol w:w="3331"/>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6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
                      <w:color w:val="auto"/>
                      <w:sz w:val="18"/>
                      <w:szCs w:val="18"/>
                    </w:rPr>
                  </w:pPr>
                  <w:r>
                    <w:rPr>
                      <w:b/>
                      <w:color w:val="auto"/>
                      <w:sz w:val="18"/>
                      <w:szCs w:val="18"/>
                    </w:rPr>
                    <w:t>废物类别</w:t>
                  </w:r>
                </w:p>
              </w:tc>
              <w:tc>
                <w:tcPr>
                  <w:tcW w:w="10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
                      <w:color w:val="auto"/>
                      <w:sz w:val="18"/>
                      <w:szCs w:val="18"/>
                    </w:rPr>
                  </w:pPr>
                  <w:r>
                    <w:rPr>
                      <w:b/>
                      <w:color w:val="auto"/>
                      <w:sz w:val="18"/>
                      <w:szCs w:val="18"/>
                    </w:rPr>
                    <w:t>行业来源</w:t>
                  </w:r>
                </w:p>
              </w:tc>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
                      <w:color w:val="auto"/>
                      <w:sz w:val="18"/>
                      <w:szCs w:val="18"/>
                    </w:rPr>
                  </w:pPr>
                  <w:r>
                    <w:rPr>
                      <w:b/>
                      <w:color w:val="auto"/>
                      <w:sz w:val="18"/>
                      <w:szCs w:val="18"/>
                    </w:rPr>
                    <w:t>废物代码</w:t>
                  </w:r>
                </w:p>
              </w:tc>
              <w:tc>
                <w:tcPr>
                  <w:tcW w:w="3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
                      <w:color w:val="auto"/>
                      <w:sz w:val="18"/>
                      <w:szCs w:val="18"/>
                    </w:rPr>
                  </w:pPr>
                  <w:r>
                    <w:rPr>
                      <w:b/>
                      <w:color w:val="auto"/>
                      <w:sz w:val="18"/>
                      <w:szCs w:val="18"/>
                    </w:rPr>
                    <w:t>危 险 废 物</w:t>
                  </w:r>
                </w:p>
              </w:tc>
              <w:tc>
                <w:tcPr>
                  <w:tcW w:w="9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
                      <w:color w:val="auto"/>
                      <w:sz w:val="18"/>
                      <w:szCs w:val="18"/>
                    </w:rPr>
                  </w:pPr>
                  <w:r>
                    <w:rPr>
                      <w:b/>
                      <w:color w:val="auto"/>
                      <w:sz w:val="18"/>
                      <w:szCs w:val="18"/>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6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Cs/>
                      <w:color w:val="auto"/>
                      <w:sz w:val="18"/>
                      <w:szCs w:val="18"/>
                    </w:rPr>
                  </w:pPr>
                  <w:r>
                    <w:rPr>
                      <w:bCs/>
                      <w:color w:val="auto"/>
                      <w:sz w:val="18"/>
                      <w:szCs w:val="18"/>
                    </w:rPr>
                    <w:t>HW08废矿物油与含矿物油废物</w:t>
                  </w:r>
                </w:p>
              </w:tc>
              <w:tc>
                <w:tcPr>
                  <w:tcW w:w="10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Cs/>
                      <w:color w:val="auto"/>
                      <w:sz w:val="18"/>
                      <w:szCs w:val="18"/>
                    </w:rPr>
                  </w:pPr>
                  <w:r>
                    <w:rPr>
                      <w:bCs/>
                      <w:color w:val="auto"/>
                      <w:sz w:val="18"/>
                      <w:szCs w:val="18"/>
                    </w:rPr>
                    <w:t>非特定行业</w:t>
                  </w:r>
                </w:p>
              </w:tc>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Cs/>
                      <w:color w:val="auto"/>
                      <w:sz w:val="18"/>
                      <w:szCs w:val="18"/>
                    </w:rPr>
                  </w:pPr>
                  <w:r>
                    <w:rPr>
                      <w:bCs/>
                      <w:color w:val="auto"/>
                      <w:sz w:val="18"/>
                      <w:szCs w:val="18"/>
                    </w:rPr>
                    <w:t>900-214-08</w:t>
                  </w:r>
                </w:p>
              </w:tc>
              <w:tc>
                <w:tcPr>
                  <w:tcW w:w="3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textAlignment w:val="auto"/>
                    <w:rPr>
                      <w:bCs/>
                      <w:color w:val="auto"/>
                      <w:sz w:val="18"/>
                      <w:szCs w:val="18"/>
                    </w:rPr>
                  </w:pPr>
                  <w:r>
                    <w:rPr>
                      <w:bCs/>
                      <w:color w:val="auto"/>
                      <w:sz w:val="18"/>
                      <w:szCs w:val="18"/>
                    </w:rPr>
                    <w:t>车辆</w:t>
                  </w:r>
                  <w:r>
                    <w:rPr>
                      <w:rFonts w:hint="eastAsia"/>
                      <w:bCs/>
                      <w:color w:val="auto"/>
                      <w:sz w:val="18"/>
                      <w:szCs w:val="18"/>
                      <w:lang w:eastAsia="zh-CN"/>
                    </w:rPr>
                    <w:t>、</w:t>
                  </w:r>
                  <w:r>
                    <w:rPr>
                      <w:rFonts w:hint="eastAsia"/>
                      <w:bCs/>
                      <w:color w:val="auto"/>
                      <w:sz w:val="18"/>
                      <w:szCs w:val="18"/>
                      <w:lang w:val="en-US" w:eastAsia="zh-CN"/>
                    </w:rPr>
                    <w:t>船舶及其他机械维修过程中产生的</w:t>
                  </w:r>
                  <w:r>
                    <w:rPr>
                      <w:rFonts w:hint="eastAsia"/>
                      <w:bCs/>
                      <w:color w:val="auto"/>
                      <w:sz w:val="18"/>
                      <w:szCs w:val="18"/>
                    </w:rPr>
                    <w:t>废</w:t>
                  </w:r>
                  <w:r>
                    <w:rPr>
                      <w:rFonts w:hint="eastAsia"/>
                      <w:bCs/>
                      <w:color w:val="auto"/>
                      <w:sz w:val="18"/>
                      <w:szCs w:val="18"/>
                      <w:lang w:val="en-US" w:eastAsia="zh-CN"/>
                    </w:rPr>
                    <w:t>发动机油、制动器油、自动变速器油、齿轮油等分润滑油</w:t>
                  </w:r>
                </w:p>
              </w:tc>
              <w:tc>
                <w:tcPr>
                  <w:tcW w:w="9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bCs/>
                      <w:color w:val="auto"/>
                      <w:sz w:val="18"/>
                      <w:szCs w:val="18"/>
                    </w:rPr>
                  </w:pPr>
                  <w:r>
                    <w:rPr>
                      <w:bCs/>
                      <w:color w:val="auto"/>
                      <w:sz w:val="18"/>
                      <w:szCs w:val="18"/>
                    </w:rPr>
                    <w:t>T，I</w:t>
                  </w:r>
                </w:p>
              </w:tc>
            </w:tr>
          </w:tbl>
          <w:p>
            <w:pPr>
              <w:autoSpaceDE w:val="0"/>
              <w:autoSpaceDN w:val="0"/>
              <w:adjustRightInd w:val="0"/>
              <w:snapToGrid w:val="0"/>
              <w:spacing w:line="400" w:lineRule="exact"/>
              <w:ind w:left="-31" w:leftChars="-15" w:right="-31" w:rightChars="-15" w:firstLine="420" w:firstLineChars="200"/>
              <w:rPr>
                <w:rFonts w:hint="eastAsia"/>
                <w:color w:val="auto"/>
                <w:kern w:val="0"/>
                <w:szCs w:val="21"/>
                <w:lang w:val="en-US" w:eastAsia="zh-CN"/>
              </w:rPr>
            </w:pPr>
            <w:r>
              <w:rPr>
                <w:rFonts w:hint="eastAsia"/>
                <w:color w:val="auto"/>
                <w:kern w:val="0"/>
                <w:szCs w:val="21"/>
              </w:rPr>
              <w:t>根据《危险废物经营许可证管理办法》（2016修订）</w:t>
            </w:r>
            <w:r>
              <w:rPr>
                <w:rFonts w:hint="eastAsia"/>
                <w:color w:val="auto"/>
                <w:kern w:val="0"/>
                <w:szCs w:val="21"/>
                <w:lang w:eastAsia="zh-CN"/>
              </w:rPr>
              <w:t>的</w:t>
            </w:r>
            <w:r>
              <w:rPr>
                <w:rFonts w:hint="eastAsia"/>
                <w:b/>
                <w:bCs/>
                <w:color w:val="auto"/>
                <w:kern w:val="0"/>
                <w:szCs w:val="21"/>
                <w:lang w:val="en-US" w:eastAsia="zh-CN"/>
              </w:rPr>
              <w:t>第三条</w:t>
            </w:r>
            <w:r>
              <w:rPr>
                <w:rFonts w:hint="eastAsia"/>
                <w:color w:val="auto"/>
                <w:kern w:val="0"/>
                <w:szCs w:val="21"/>
                <w:lang w:val="en-US" w:eastAsia="zh-CN"/>
              </w:rPr>
              <w:t>：</w:t>
            </w:r>
          </w:p>
          <w:p>
            <w:pPr>
              <w:autoSpaceDE w:val="0"/>
              <w:autoSpaceDN w:val="0"/>
              <w:adjustRightInd w:val="0"/>
              <w:snapToGrid w:val="0"/>
              <w:spacing w:line="400" w:lineRule="exact"/>
              <w:ind w:left="-31" w:leftChars="-15" w:right="-31" w:rightChars="-15" w:firstLine="420" w:firstLineChars="200"/>
              <w:rPr>
                <w:rFonts w:hint="eastAsia" w:ascii="仿宋" w:hAnsi="仿宋" w:eastAsia="仿宋" w:cs="仿宋"/>
                <w:color w:val="auto"/>
                <w:kern w:val="0"/>
                <w:szCs w:val="21"/>
              </w:rPr>
            </w:pPr>
            <w:r>
              <w:rPr>
                <w:rFonts w:hint="eastAsia" w:ascii="仿宋" w:hAnsi="仿宋" w:eastAsia="仿宋" w:cs="仿宋"/>
                <w:color w:val="auto"/>
                <w:kern w:val="0"/>
                <w:szCs w:val="21"/>
                <w:lang w:val="en-US" w:eastAsia="zh-CN"/>
              </w:rPr>
              <w:t>“危险废物经营许可证按照经营方式，分为危险废物收集、贮存、处置综合经营许可证和危险废物收集经营许可证。</w:t>
            </w:r>
          </w:p>
          <w:p>
            <w:pPr>
              <w:autoSpaceDE w:val="0"/>
              <w:autoSpaceDN w:val="0"/>
              <w:adjustRightInd w:val="0"/>
              <w:snapToGrid w:val="0"/>
              <w:spacing w:line="400" w:lineRule="exact"/>
              <w:ind w:left="-31" w:leftChars="-15" w:right="-31" w:rightChars="-15" w:firstLine="420" w:firstLineChars="200"/>
              <w:rPr>
                <w:rFonts w:hint="eastAsia" w:ascii="仿宋" w:hAnsi="仿宋" w:eastAsia="仿宋" w:cs="仿宋"/>
                <w:color w:val="auto"/>
                <w:kern w:val="0"/>
                <w:szCs w:val="21"/>
              </w:rPr>
            </w:pPr>
            <w:r>
              <w:rPr>
                <w:rFonts w:hint="eastAsia" w:ascii="仿宋" w:hAnsi="仿宋" w:eastAsia="仿宋" w:cs="仿宋"/>
                <w:color w:val="auto"/>
                <w:kern w:val="0"/>
                <w:szCs w:val="21"/>
                <w:lang w:val="en-US" w:eastAsia="zh-CN"/>
              </w:rPr>
              <w:t>领取危险废物综合经营许可证的单位，可以从事各类别危险废物的收集、贮存、处置经营活动；</w:t>
            </w:r>
            <w:r>
              <w:rPr>
                <w:rFonts w:hint="eastAsia" w:ascii="仿宋" w:hAnsi="仿宋" w:eastAsia="仿宋" w:cs="仿宋"/>
                <w:b/>
                <w:bCs/>
                <w:color w:val="auto"/>
                <w:kern w:val="0"/>
                <w:szCs w:val="21"/>
                <w:lang w:val="en-US" w:eastAsia="zh-CN"/>
              </w:rPr>
              <w:t>领取危险废物收集经营许可证的单位，只能从事机动车维修活动中产生的废矿物油</w:t>
            </w:r>
            <w:r>
              <w:rPr>
                <w:rFonts w:hint="eastAsia" w:ascii="仿宋" w:hAnsi="仿宋" w:eastAsia="仿宋" w:cs="仿宋"/>
                <w:color w:val="auto"/>
                <w:kern w:val="0"/>
                <w:szCs w:val="21"/>
                <w:lang w:val="en-US" w:eastAsia="zh-CN"/>
              </w:rPr>
              <w:t>和居民日常生活中产生的废</w:t>
            </w:r>
            <w:r>
              <w:rPr>
                <w:rFonts w:hint="eastAsia" w:ascii="仿宋" w:hAnsi="仿宋" w:eastAsia="仿宋" w:cs="仿宋"/>
                <w:color w:val="auto"/>
                <w:kern w:val="0"/>
                <w:szCs w:val="21"/>
                <w:lang w:val="en-US" w:eastAsia="zh-CN"/>
              </w:rPr>
              <w:fldChar w:fldCharType="begin"/>
            </w:r>
            <w:r>
              <w:rPr>
                <w:rFonts w:hint="eastAsia" w:ascii="仿宋" w:hAnsi="仿宋" w:eastAsia="仿宋" w:cs="仿宋"/>
                <w:color w:val="auto"/>
                <w:kern w:val="0"/>
                <w:szCs w:val="21"/>
                <w:lang w:val="en-US" w:eastAsia="zh-CN"/>
              </w:rPr>
              <w:instrText xml:space="preserve"> HYPERLINK "https://baike.baidu.com/item/%E9%95%89%E9%95%8D%E7%94%B5%E6%B1%A0/10540703" \t "https://baike.baidu.com/item/%E5%8D%B1%E9%99%A9%E5%BA%9F%E7%89%A9%E7%BB%8F%E8%90%A5%E8%AE%B8%E5%8F%AF%E8%AF%81%E7%AE%A1%E7%90%86%E5%8A%9E%E6%B3%95/_blank" </w:instrText>
            </w:r>
            <w:r>
              <w:rPr>
                <w:rFonts w:hint="eastAsia" w:ascii="仿宋" w:hAnsi="仿宋" w:eastAsia="仿宋" w:cs="仿宋"/>
                <w:color w:val="auto"/>
                <w:kern w:val="0"/>
                <w:szCs w:val="21"/>
                <w:lang w:val="en-US" w:eastAsia="zh-CN"/>
              </w:rPr>
              <w:fldChar w:fldCharType="separate"/>
            </w:r>
            <w:r>
              <w:rPr>
                <w:rFonts w:hint="eastAsia" w:ascii="仿宋" w:hAnsi="仿宋" w:eastAsia="仿宋" w:cs="仿宋"/>
                <w:color w:val="auto"/>
                <w:kern w:val="0"/>
                <w:szCs w:val="21"/>
              </w:rPr>
              <w:t>镉镍电池</w:t>
            </w:r>
            <w:r>
              <w:rPr>
                <w:rFonts w:hint="eastAsia" w:ascii="仿宋" w:hAnsi="仿宋" w:eastAsia="仿宋" w:cs="仿宋"/>
                <w:color w:val="auto"/>
                <w:kern w:val="0"/>
                <w:szCs w:val="21"/>
                <w:lang w:val="en-US" w:eastAsia="zh-CN"/>
              </w:rPr>
              <w:fldChar w:fldCharType="end"/>
            </w:r>
            <w:r>
              <w:rPr>
                <w:rFonts w:hint="eastAsia" w:ascii="仿宋" w:hAnsi="仿宋" w:eastAsia="仿宋" w:cs="仿宋"/>
                <w:color w:val="auto"/>
                <w:kern w:val="0"/>
                <w:szCs w:val="21"/>
                <w:lang w:val="en-US" w:eastAsia="zh-CN"/>
              </w:rPr>
              <w:t>的危险废物收集经营活动。”</w:t>
            </w:r>
          </w:p>
          <w:p>
            <w:pPr>
              <w:autoSpaceDE w:val="0"/>
              <w:autoSpaceDN w:val="0"/>
              <w:adjustRightInd w:val="0"/>
              <w:snapToGrid w:val="0"/>
              <w:spacing w:line="400" w:lineRule="exact"/>
              <w:ind w:left="-31" w:leftChars="-15" w:right="-31" w:rightChars="-15" w:firstLine="420" w:firstLineChars="200"/>
              <w:rPr>
                <w:rFonts w:hint="default"/>
                <w:color w:val="auto"/>
                <w:kern w:val="0"/>
                <w:szCs w:val="21"/>
                <w:lang w:val="en-US" w:eastAsia="zh-CN"/>
              </w:rPr>
            </w:pPr>
            <w:r>
              <w:rPr>
                <w:rFonts w:hint="eastAsia"/>
                <w:color w:val="auto"/>
                <w:kern w:val="0"/>
                <w:szCs w:val="21"/>
                <w:lang w:val="en-US" w:eastAsia="zh-CN"/>
              </w:rPr>
              <w:t>根据上述规定，本项目收集范围为机动车维修活动中产生的废矿物油。同时收集的废矿物油应满足下表要求。</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表2-3    项目收集废</w:t>
            </w:r>
            <w:r>
              <w:rPr>
                <w:rFonts w:hint="eastAsia" w:ascii="Times New Roman" w:hAnsi="Times New Roman" w:eastAsia="黑体" w:cs="Times New Roman"/>
                <w:color w:val="auto"/>
                <w:kern w:val="0"/>
                <w:sz w:val="20"/>
                <w:szCs w:val="20"/>
                <w:lang w:val="en-US" w:eastAsia="zh-CN"/>
              </w:rPr>
              <w:t>矿物</w:t>
            </w:r>
            <w:r>
              <w:rPr>
                <w:rFonts w:hint="default" w:ascii="Times New Roman" w:hAnsi="Times New Roman" w:eastAsia="黑体" w:cs="Times New Roman"/>
                <w:color w:val="auto"/>
                <w:kern w:val="0"/>
                <w:sz w:val="20"/>
                <w:szCs w:val="20"/>
                <w:lang w:val="zh-CN" w:eastAsia="zh-CN"/>
              </w:rPr>
              <w:t>油质量参数表</w:t>
            </w:r>
          </w:p>
          <w:tbl>
            <w:tblPr>
              <w:tblStyle w:val="14"/>
              <w:tblW w:w="7938"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2646"/>
              <w:gridCol w:w="2646"/>
              <w:gridCol w:w="264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
                      <w:color w:val="auto"/>
                      <w:sz w:val="18"/>
                      <w:szCs w:val="18"/>
                    </w:rPr>
                  </w:pPr>
                  <w:r>
                    <w:rPr>
                      <w:b/>
                      <w:color w:val="auto"/>
                      <w:sz w:val="18"/>
                      <w:szCs w:val="18"/>
                    </w:rPr>
                    <w:t>项目</w:t>
                  </w:r>
                </w:p>
              </w:tc>
              <w:tc>
                <w:tcPr>
                  <w:tcW w:w="2646" w:type="dxa"/>
                  <w:tcBorders>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
                      <w:color w:val="auto"/>
                      <w:sz w:val="18"/>
                      <w:szCs w:val="18"/>
                    </w:rPr>
                  </w:pPr>
                  <w:r>
                    <w:rPr>
                      <w:b/>
                      <w:color w:val="auto"/>
                      <w:sz w:val="18"/>
                      <w:szCs w:val="18"/>
                    </w:rPr>
                    <w:t>单位</w:t>
                  </w:r>
                </w:p>
              </w:tc>
              <w:tc>
                <w:tcPr>
                  <w:tcW w:w="2646" w:type="dxa"/>
                  <w:tcBorders>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
                      <w:color w:val="auto"/>
                      <w:sz w:val="18"/>
                      <w:szCs w:val="18"/>
                    </w:rPr>
                  </w:pPr>
                  <w:r>
                    <w:rPr>
                      <w:b/>
                      <w:color w:val="auto"/>
                      <w:sz w:val="18"/>
                      <w:szCs w:val="18"/>
                    </w:rPr>
                    <w:t>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top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密度（20℃）</w:t>
                  </w:r>
                </w:p>
              </w:tc>
              <w:tc>
                <w:tcPr>
                  <w:tcW w:w="264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t/m</w:t>
                  </w:r>
                  <w:r>
                    <w:rPr>
                      <w:bCs/>
                      <w:color w:val="auto"/>
                      <w:sz w:val="18"/>
                      <w:szCs w:val="18"/>
                      <w:vertAlign w:val="superscript"/>
                    </w:rPr>
                    <w:t>3</w:t>
                  </w:r>
                </w:p>
              </w:tc>
              <w:tc>
                <w:tcPr>
                  <w:tcW w:w="2646"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0.875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top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运动黏度</w:t>
                  </w:r>
                </w:p>
              </w:tc>
              <w:tc>
                <w:tcPr>
                  <w:tcW w:w="264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mm</w:t>
                  </w:r>
                  <w:r>
                    <w:rPr>
                      <w:bCs/>
                      <w:color w:val="auto"/>
                      <w:sz w:val="18"/>
                      <w:szCs w:val="18"/>
                      <w:vertAlign w:val="superscript"/>
                    </w:rPr>
                    <w:t>2</w:t>
                  </w:r>
                  <w:r>
                    <w:rPr>
                      <w:bCs/>
                      <w:color w:val="auto"/>
                      <w:sz w:val="18"/>
                      <w:szCs w:val="18"/>
                    </w:rPr>
                    <w:t>/s</w:t>
                  </w:r>
                </w:p>
              </w:tc>
              <w:tc>
                <w:tcPr>
                  <w:tcW w:w="2646"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29.05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top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外观</w:t>
                  </w:r>
                </w:p>
              </w:tc>
              <w:tc>
                <w:tcPr>
                  <w:tcW w:w="264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w:t>
                  </w:r>
                </w:p>
              </w:tc>
              <w:tc>
                <w:tcPr>
                  <w:tcW w:w="2646"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棕黄色、黑色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top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闪点</w:t>
                  </w:r>
                </w:p>
              </w:tc>
              <w:tc>
                <w:tcPr>
                  <w:tcW w:w="264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w:t>
                  </w:r>
                </w:p>
              </w:tc>
              <w:tc>
                <w:tcPr>
                  <w:tcW w:w="2646"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＞200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top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水分</w:t>
                  </w:r>
                </w:p>
              </w:tc>
              <w:tc>
                <w:tcPr>
                  <w:tcW w:w="264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w:t>
                  </w:r>
                </w:p>
              </w:tc>
              <w:tc>
                <w:tcPr>
                  <w:tcW w:w="2646"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＜3.2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8" w:hRule="atLeast"/>
                <w:jc w:val="center"/>
              </w:trPr>
              <w:tc>
                <w:tcPr>
                  <w:tcW w:w="2646" w:type="dxa"/>
                  <w:tcBorders>
                    <w:top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灰分</w:t>
                  </w:r>
                </w:p>
              </w:tc>
              <w:tc>
                <w:tcPr>
                  <w:tcW w:w="264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w:t>
                  </w:r>
                </w:p>
              </w:tc>
              <w:tc>
                <w:tcPr>
                  <w:tcW w:w="2646"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0.7901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8" w:hRule="atLeast"/>
                <w:jc w:val="center"/>
              </w:trPr>
              <w:tc>
                <w:tcPr>
                  <w:tcW w:w="2646" w:type="dxa"/>
                  <w:tcBorders>
                    <w:top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含硫量</w:t>
                  </w:r>
                </w:p>
              </w:tc>
              <w:tc>
                <w:tcPr>
                  <w:tcW w:w="2646"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w:t>
                  </w:r>
                </w:p>
              </w:tc>
              <w:tc>
                <w:tcPr>
                  <w:tcW w:w="2646" w:type="dxa"/>
                  <w:tcBorders>
                    <w:top w:val="single" w:color="000000" w:sz="4" w:space="0"/>
                    <w:left w:val="single" w:color="000000" w:sz="4" w:space="0"/>
                  </w:tcBorders>
                  <w:noWrap w:val="0"/>
                  <w:vAlign w:val="center"/>
                </w:tcPr>
                <w:p>
                  <w:pPr>
                    <w:adjustRightInd w:val="0"/>
                    <w:snapToGrid w:val="0"/>
                    <w:spacing w:line="280" w:lineRule="exact"/>
                    <w:ind w:left="-53" w:leftChars="-25" w:right="-53" w:rightChars="-25"/>
                    <w:jc w:val="center"/>
                    <w:rPr>
                      <w:bCs/>
                      <w:color w:val="auto"/>
                      <w:sz w:val="18"/>
                      <w:szCs w:val="18"/>
                    </w:rPr>
                  </w:pPr>
                  <w:r>
                    <w:rPr>
                      <w:bCs/>
                      <w:color w:val="auto"/>
                      <w:sz w:val="18"/>
                      <w:szCs w:val="18"/>
                    </w:rPr>
                    <w:t>0.595</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3、主要生产单元</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本项目不涉及生产加工，仅为储存，生产单</w:t>
            </w:r>
            <w:r>
              <w:rPr>
                <w:rFonts w:hint="eastAsia"/>
                <w:color w:val="auto"/>
                <w:kern w:val="0"/>
                <w:szCs w:val="21"/>
                <w:lang w:val="en-US" w:eastAsia="zh-CN"/>
              </w:rPr>
              <w:t>元</w:t>
            </w:r>
            <w:r>
              <w:rPr>
                <w:color w:val="auto"/>
                <w:kern w:val="0"/>
                <w:szCs w:val="21"/>
              </w:rPr>
              <w:t>为储存</w:t>
            </w:r>
            <w:r>
              <w:rPr>
                <w:rFonts w:hint="eastAsia"/>
                <w:color w:val="auto"/>
                <w:kern w:val="0"/>
                <w:szCs w:val="21"/>
                <w:lang w:val="en-US" w:eastAsia="zh-CN"/>
              </w:rPr>
              <w:t>区</w:t>
            </w:r>
            <w:r>
              <w:rPr>
                <w:color w:val="auto"/>
                <w:kern w:val="0"/>
                <w:szCs w:val="21"/>
              </w:rPr>
              <w:t>，面积为</w:t>
            </w:r>
            <w:r>
              <w:rPr>
                <w:rFonts w:hint="eastAsia"/>
                <w:color w:val="auto"/>
                <w:kern w:val="0"/>
                <w:szCs w:val="21"/>
                <w:lang w:val="en-US" w:eastAsia="zh-CN"/>
              </w:rPr>
              <w:t>100</w:t>
            </w:r>
            <w:r>
              <w:rPr>
                <w:color w:val="auto"/>
                <w:kern w:val="0"/>
                <w:szCs w:val="21"/>
              </w:rPr>
              <w:t>m</w:t>
            </w:r>
            <w:r>
              <w:rPr>
                <w:color w:val="auto"/>
                <w:kern w:val="0"/>
                <w:szCs w:val="21"/>
                <w:vertAlign w:val="superscript"/>
              </w:rPr>
              <w:t>2</w:t>
            </w:r>
            <w:r>
              <w:rPr>
                <w:color w:val="auto"/>
                <w:kern w:val="0"/>
                <w:szCs w:val="21"/>
              </w:rPr>
              <w:t>，均采取防渗</w:t>
            </w:r>
            <w:r>
              <w:rPr>
                <w:rFonts w:hint="eastAsia"/>
                <w:color w:val="auto"/>
                <w:kern w:val="0"/>
                <w:szCs w:val="21"/>
              </w:rPr>
              <w:t>、</w:t>
            </w:r>
            <w:r>
              <w:rPr>
                <w:color w:val="auto"/>
                <w:kern w:val="0"/>
                <w:szCs w:val="21"/>
              </w:rPr>
              <w:t>防腐处理。</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4、主要工艺</w:t>
            </w:r>
          </w:p>
          <w:p>
            <w:pPr>
              <w:autoSpaceDE w:val="0"/>
              <w:autoSpaceDN w:val="0"/>
              <w:adjustRightInd w:val="0"/>
              <w:snapToGrid w:val="0"/>
              <w:spacing w:line="400" w:lineRule="exact"/>
              <w:ind w:left="-31" w:leftChars="-15" w:right="-31" w:rightChars="-15" w:firstLine="420" w:firstLineChars="200"/>
              <w:rPr>
                <w:rFonts w:hint="eastAsia"/>
                <w:color w:val="auto"/>
                <w:kern w:val="0"/>
                <w:szCs w:val="21"/>
              </w:rPr>
            </w:pPr>
            <w:r>
              <w:rPr>
                <w:color w:val="auto"/>
                <w:kern w:val="0"/>
                <w:szCs w:val="21"/>
              </w:rPr>
              <w:t>本项目属仓储项目，无生产加工工艺</w:t>
            </w:r>
            <w:r>
              <w:rPr>
                <w:rFonts w:hint="eastAsia"/>
                <w:color w:val="auto"/>
                <w:kern w:val="0"/>
                <w:szCs w:val="21"/>
              </w:rPr>
              <w:t>。</w:t>
            </w:r>
          </w:p>
          <w:p>
            <w:pPr>
              <w:autoSpaceDE w:val="0"/>
              <w:autoSpaceDN w:val="0"/>
              <w:adjustRightInd w:val="0"/>
              <w:snapToGrid w:val="0"/>
              <w:spacing w:line="400" w:lineRule="exact"/>
              <w:ind w:left="-31" w:leftChars="-15" w:right="-31" w:rightChars="-15" w:firstLine="420" w:firstLineChars="200"/>
              <w:rPr>
                <w:rFonts w:hint="eastAsia"/>
                <w:color w:val="auto"/>
                <w:kern w:val="0"/>
                <w:szCs w:val="21"/>
              </w:rPr>
            </w:pPr>
            <w:r>
              <w:rPr>
                <w:rFonts w:hint="eastAsia"/>
                <w:color w:val="auto"/>
                <w:kern w:val="0"/>
                <w:szCs w:val="21"/>
              </w:rPr>
              <w:t>营运期场内工艺流程为：运输车辆进场→卸油进罐→储存→装车外运。</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5、主要生产设施及设施参数</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表2-4  项目主要设备清单</w:t>
            </w:r>
          </w:p>
          <w:tbl>
            <w:tblPr>
              <w:tblStyle w:val="14"/>
              <w:tblW w:w="7797" w:type="dxa"/>
              <w:jc w:val="center"/>
              <w:tblLayout w:type="fixed"/>
              <w:tblCellMar>
                <w:top w:w="0" w:type="dxa"/>
                <w:left w:w="0" w:type="dxa"/>
                <w:bottom w:w="0" w:type="dxa"/>
                <w:right w:w="0" w:type="dxa"/>
              </w:tblCellMar>
            </w:tblPr>
            <w:tblGrid>
              <w:gridCol w:w="713"/>
              <w:gridCol w:w="1509"/>
              <w:gridCol w:w="2478"/>
              <w:gridCol w:w="795"/>
              <w:gridCol w:w="869"/>
              <w:gridCol w:w="1433"/>
            </w:tblGrid>
            <w:tr>
              <w:tblPrEx>
                <w:tblCellMar>
                  <w:top w:w="0" w:type="dxa"/>
                  <w:left w:w="0" w:type="dxa"/>
                  <w:bottom w:w="0" w:type="dxa"/>
                  <w:right w:w="0" w:type="dxa"/>
                </w:tblCellMar>
              </w:tblPrEx>
              <w:trPr>
                <w:trHeight w:val="90" w:hRule="atLeast"/>
                <w:jc w:val="center"/>
              </w:trPr>
              <w:tc>
                <w:tcPr>
                  <w:tcW w:w="713" w:type="dxa"/>
                  <w:tcBorders>
                    <w:top w:val="single" w:color="auto" w:sz="4" w:space="0"/>
                    <w:left w:val="single" w:color="auto" w:sz="0" w:space="0"/>
                    <w:bottom w:val="single" w:color="000000" w:sz="4" w:space="0"/>
                    <w:right w:val="single" w:color="000000" w:sz="4" w:space="0"/>
                  </w:tcBorders>
                  <w:noWrap w:val="0"/>
                  <w:vAlign w:val="center"/>
                </w:tcPr>
                <w:p>
                  <w:pPr>
                    <w:spacing w:line="280" w:lineRule="exact"/>
                    <w:ind w:left="21" w:leftChars="10" w:right="21" w:rightChars="10"/>
                    <w:jc w:val="center"/>
                    <w:rPr>
                      <w:b/>
                      <w:bCs/>
                      <w:color w:val="auto"/>
                      <w:sz w:val="18"/>
                      <w:szCs w:val="18"/>
                    </w:rPr>
                  </w:pPr>
                  <w:r>
                    <w:rPr>
                      <w:b/>
                      <w:bCs/>
                      <w:color w:val="auto"/>
                      <w:sz w:val="18"/>
                      <w:szCs w:val="18"/>
                    </w:rPr>
                    <w:t>序号</w:t>
                  </w:r>
                </w:p>
              </w:tc>
              <w:tc>
                <w:tcPr>
                  <w:tcW w:w="1509"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b/>
                      <w:bCs/>
                      <w:color w:val="auto"/>
                      <w:sz w:val="18"/>
                      <w:szCs w:val="18"/>
                    </w:rPr>
                  </w:pPr>
                  <w:r>
                    <w:rPr>
                      <w:b/>
                      <w:bCs/>
                      <w:color w:val="auto"/>
                      <w:sz w:val="18"/>
                      <w:szCs w:val="18"/>
                    </w:rPr>
                    <w:t>设备</w:t>
                  </w:r>
                </w:p>
              </w:tc>
              <w:tc>
                <w:tcPr>
                  <w:tcW w:w="2478"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b/>
                      <w:bCs/>
                      <w:color w:val="auto"/>
                      <w:sz w:val="18"/>
                      <w:szCs w:val="18"/>
                    </w:rPr>
                  </w:pPr>
                  <w:r>
                    <w:rPr>
                      <w:b/>
                      <w:bCs/>
                      <w:color w:val="auto"/>
                      <w:sz w:val="18"/>
                      <w:szCs w:val="18"/>
                    </w:rPr>
                    <w:t>规格</w:t>
                  </w:r>
                </w:p>
              </w:tc>
              <w:tc>
                <w:tcPr>
                  <w:tcW w:w="795"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b/>
                      <w:bCs/>
                      <w:color w:val="auto"/>
                      <w:sz w:val="18"/>
                      <w:szCs w:val="18"/>
                    </w:rPr>
                  </w:pPr>
                  <w:r>
                    <w:rPr>
                      <w:b/>
                      <w:bCs/>
                      <w:color w:val="auto"/>
                      <w:sz w:val="18"/>
                      <w:szCs w:val="18"/>
                    </w:rPr>
                    <w:t>单位</w:t>
                  </w:r>
                </w:p>
              </w:tc>
              <w:tc>
                <w:tcPr>
                  <w:tcW w:w="869"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b/>
                      <w:bCs/>
                      <w:color w:val="auto"/>
                      <w:sz w:val="18"/>
                      <w:szCs w:val="18"/>
                    </w:rPr>
                  </w:pPr>
                  <w:r>
                    <w:rPr>
                      <w:b/>
                      <w:bCs/>
                      <w:color w:val="auto"/>
                      <w:sz w:val="18"/>
                      <w:szCs w:val="18"/>
                    </w:rPr>
                    <w:t>数量</w:t>
                  </w:r>
                </w:p>
              </w:tc>
              <w:tc>
                <w:tcPr>
                  <w:tcW w:w="1433" w:type="dxa"/>
                  <w:tcBorders>
                    <w:top w:val="single" w:color="auto"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b/>
                      <w:bCs/>
                      <w:color w:val="auto"/>
                      <w:sz w:val="18"/>
                      <w:szCs w:val="18"/>
                    </w:rPr>
                  </w:pPr>
                  <w:r>
                    <w:rPr>
                      <w:b/>
                      <w:bCs/>
                      <w:color w:val="auto"/>
                      <w:sz w:val="18"/>
                      <w:szCs w:val="18"/>
                    </w:rPr>
                    <w:t>备注</w:t>
                  </w:r>
                </w:p>
              </w:tc>
            </w:tr>
            <w:tr>
              <w:tblPrEx>
                <w:tblCellMar>
                  <w:top w:w="0" w:type="dxa"/>
                  <w:left w:w="0" w:type="dxa"/>
                  <w:bottom w:w="0" w:type="dxa"/>
                  <w:right w:w="0" w:type="dxa"/>
                </w:tblCellMar>
              </w:tblPrEx>
              <w:trPr>
                <w:trHeight w:val="90" w:hRule="atLeast"/>
                <w:jc w:val="center"/>
              </w:trPr>
              <w:tc>
                <w:tcPr>
                  <w:tcW w:w="713" w:type="dxa"/>
                  <w:tcBorders>
                    <w:top w:val="single" w:color="000000" w:sz="4" w:space="0"/>
                    <w:left w:val="single" w:color="auto"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1</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卧式储油罐</w:t>
                  </w:r>
                </w:p>
              </w:tc>
              <w:tc>
                <w:tcPr>
                  <w:tcW w:w="247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V=</w:t>
                  </w:r>
                  <w:r>
                    <w:rPr>
                      <w:rFonts w:hint="eastAsia"/>
                      <w:color w:val="auto"/>
                      <w:sz w:val="18"/>
                      <w:szCs w:val="18"/>
                      <w:lang w:val="en-US" w:eastAsia="zh-CN"/>
                    </w:rPr>
                    <w:t>50m</w:t>
                  </w:r>
                  <w:r>
                    <w:rPr>
                      <w:rFonts w:hint="eastAsia"/>
                      <w:color w:val="auto"/>
                      <w:sz w:val="18"/>
                      <w:szCs w:val="18"/>
                      <w:vertAlign w:val="superscript"/>
                      <w:lang w:val="en-US" w:eastAsia="zh-CN"/>
                    </w:rPr>
                    <w:t>3</w:t>
                  </w:r>
                  <w:r>
                    <w:rPr>
                      <w:rFonts w:hint="eastAsia"/>
                      <w:bCs/>
                      <w:color w:val="auto"/>
                      <w:sz w:val="18"/>
                      <w:szCs w:val="18"/>
                    </w:rPr>
                    <w:t>；</w:t>
                  </w:r>
                  <w:r>
                    <w:rPr>
                      <w:color w:val="auto"/>
                      <w:sz w:val="18"/>
                      <w:szCs w:val="18"/>
                    </w:rPr>
                    <w:t>D=</w:t>
                  </w:r>
                  <w:r>
                    <w:rPr>
                      <w:rFonts w:hint="eastAsia"/>
                      <w:color w:val="auto"/>
                      <w:sz w:val="18"/>
                      <w:szCs w:val="18"/>
                      <w:lang w:val="en-US" w:eastAsia="zh-CN"/>
                    </w:rPr>
                    <w:t>2.8</w:t>
                  </w:r>
                  <w:r>
                    <w:rPr>
                      <w:color w:val="auto"/>
                      <w:sz w:val="18"/>
                      <w:szCs w:val="18"/>
                    </w:rPr>
                    <w:t>m</w:t>
                  </w:r>
                  <w:r>
                    <w:rPr>
                      <w:bCs/>
                      <w:color w:val="auto"/>
                      <w:sz w:val="18"/>
                      <w:szCs w:val="18"/>
                    </w:rPr>
                    <w:t>，</w:t>
                  </w:r>
                  <w:r>
                    <w:rPr>
                      <w:color w:val="auto"/>
                      <w:sz w:val="18"/>
                      <w:szCs w:val="18"/>
                    </w:rPr>
                    <w:t>L=</w:t>
                  </w:r>
                  <w:r>
                    <w:rPr>
                      <w:rFonts w:hint="eastAsia"/>
                      <w:color w:val="auto"/>
                      <w:sz w:val="18"/>
                      <w:szCs w:val="18"/>
                      <w:lang w:val="en-US" w:eastAsia="zh-CN"/>
                    </w:rPr>
                    <w:t>8.2</w:t>
                  </w:r>
                  <w:r>
                    <w:rPr>
                      <w:color w:val="auto"/>
                      <w:sz w:val="18"/>
                      <w:szCs w:val="18"/>
                    </w:rPr>
                    <w:t>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个</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2</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color w:val="auto"/>
                      <w:sz w:val="18"/>
                      <w:szCs w:val="18"/>
                    </w:rPr>
                  </w:pPr>
                  <w:r>
                    <w:rPr>
                      <w:color w:val="auto"/>
                      <w:sz w:val="18"/>
                      <w:szCs w:val="18"/>
                    </w:rPr>
                    <w:t>配套油泵</w:t>
                  </w:r>
                </w:p>
              </w:tc>
            </w:tr>
            <w:tr>
              <w:tblPrEx>
                <w:tblCellMar>
                  <w:top w:w="0" w:type="dxa"/>
                  <w:left w:w="0" w:type="dxa"/>
                  <w:bottom w:w="0" w:type="dxa"/>
                  <w:right w:w="0" w:type="dxa"/>
                </w:tblCellMar>
              </w:tblPrEx>
              <w:trPr>
                <w:trHeight w:val="90" w:hRule="atLeast"/>
                <w:jc w:val="center"/>
              </w:trPr>
              <w:tc>
                <w:tcPr>
                  <w:tcW w:w="713" w:type="dxa"/>
                  <w:tcBorders>
                    <w:top w:val="single" w:color="000000" w:sz="4" w:space="0"/>
                    <w:left w:val="single" w:color="auto"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2</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运输车辆</w:t>
                  </w:r>
                </w:p>
              </w:tc>
              <w:tc>
                <w:tcPr>
                  <w:tcW w:w="247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eastAsia="宋体"/>
                      <w:color w:val="auto"/>
                      <w:sz w:val="18"/>
                      <w:szCs w:val="18"/>
                      <w:lang w:val="en-US" w:eastAsia="zh-CN"/>
                    </w:rPr>
                  </w:pPr>
                  <w:r>
                    <w:rPr>
                      <w:rFonts w:hint="eastAsia"/>
                      <w:color w:val="auto"/>
                      <w:sz w:val="18"/>
                      <w:szCs w:val="18"/>
                      <w:lang w:val="en-US" w:eastAsia="zh-CN"/>
                    </w:rPr>
                    <w:t>5t，配套</w:t>
                  </w:r>
                  <w:r>
                    <w:rPr>
                      <w:color w:val="auto"/>
                      <w:sz w:val="18"/>
                      <w:szCs w:val="18"/>
                    </w:rPr>
                    <w:t>输油</w:t>
                  </w:r>
                  <w:r>
                    <w:rPr>
                      <w:rFonts w:hint="eastAsia"/>
                      <w:color w:val="auto"/>
                      <w:sz w:val="18"/>
                      <w:szCs w:val="18"/>
                    </w:rPr>
                    <w:t>软</w:t>
                  </w:r>
                  <w:r>
                    <w:rPr>
                      <w:color w:val="auto"/>
                      <w:sz w:val="18"/>
                      <w:szCs w:val="18"/>
                    </w:rPr>
                    <w:t>管</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辆</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eastAsia" w:eastAsia="宋体"/>
                      <w:color w:val="auto"/>
                      <w:sz w:val="18"/>
                      <w:szCs w:val="18"/>
                      <w:lang w:eastAsia="zh-CN"/>
                    </w:rPr>
                  </w:pPr>
                  <w:r>
                    <w:rPr>
                      <w:rFonts w:hint="eastAsia"/>
                      <w:color w:val="auto"/>
                      <w:sz w:val="18"/>
                      <w:szCs w:val="18"/>
                      <w:lang w:val="en-US" w:eastAsia="zh-CN"/>
                    </w:rPr>
                    <w:t>1</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color w:val="auto"/>
                      <w:sz w:val="18"/>
                      <w:szCs w:val="18"/>
                    </w:rPr>
                  </w:pPr>
                  <w:r>
                    <w:rPr>
                      <w:color w:val="auto"/>
                      <w:sz w:val="18"/>
                      <w:szCs w:val="18"/>
                    </w:rPr>
                    <w:t>配套油泵</w:t>
                  </w:r>
                </w:p>
              </w:tc>
            </w:tr>
            <w:tr>
              <w:tblPrEx>
                <w:tblCellMar>
                  <w:top w:w="0" w:type="dxa"/>
                  <w:left w:w="0" w:type="dxa"/>
                  <w:bottom w:w="0" w:type="dxa"/>
                  <w:right w:w="0" w:type="dxa"/>
                </w:tblCellMar>
              </w:tblPrEx>
              <w:trPr>
                <w:trHeight w:val="90" w:hRule="atLeast"/>
                <w:jc w:val="center"/>
              </w:trPr>
              <w:tc>
                <w:tcPr>
                  <w:tcW w:w="713" w:type="dxa"/>
                  <w:tcBorders>
                    <w:top w:val="single" w:color="000000" w:sz="4" w:space="0"/>
                    <w:left w:val="single" w:color="auto"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3</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干粉灭火器</w:t>
                  </w:r>
                </w:p>
              </w:tc>
              <w:tc>
                <w:tcPr>
                  <w:tcW w:w="247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color w:val="auto"/>
                      <w:sz w:val="18"/>
                      <w:szCs w:val="18"/>
                    </w:rPr>
                    <w:t>个</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color w:val="auto"/>
                      <w:sz w:val="18"/>
                      <w:szCs w:val="18"/>
                    </w:rPr>
                  </w:pPr>
                  <w:r>
                    <w:rPr>
                      <w:rFonts w:hint="eastAsia"/>
                      <w:color w:val="auto"/>
                      <w:sz w:val="18"/>
                      <w:szCs w:val="18"/>
                      <w:lang w:val="en-US" w:eastAsia="zh-CN"/>
                    </w:rPr>
                    <w:t>6</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color w:val="auto"/>
                      <w:sz w:val="18"/>
                      <w:szCs w:val="18"/>
                    </w:rPr>
                  </w:pP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6、主要原辅材料及燃料的种类和用量</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本项目原料为</w:t>
            </w:r>
            <w:r>
              <w:rPr>
                <w:rFonts w:hint="eastAsia"/>
                <w:color w:val="auto"/>
                <w:kern w:val="0"/>
                <w:szCs w:val="21"/>
                <w:lang w:eastAsia="zh-CN"/>
              </w:rPr>
              <w:t>废矿物油</w:t>
            </w:r>
            <w:r>
              <w:rPr>
                <w:color w:val="auto"/>
                <w:kern w:val="0"/>
                <w:szCs w:val="21"/>
              </w:rPr>
              <w:t>，收集范围及对象为达州市范围的汽车4S店、汽修厂等产生的</w:t>
            </w:r>
            <w:r>
              <w:rPr>
                <w:rFonts w:hint="eastAsia"/>
                <w:color w:val="auto"/>
                <w:kern w:val="0"/>
                <w:szCs w:val="21"/>
                <w:lang w:eastAsia="zh-CN"/>
              </w:rPr>
              <w:t>废矿物油</w:t>
            </w:r>
            <w:r>
              <w:rPr>
                <w:color w:val="auto"/>
                <w:kern w:val="0"/>
                <w:szCs w:val="21"/>
              </w:rPr>
              <w:t>，预计年收集量为2</w:t>
            </w:r>
            <w:r>
              <w:rPr>
                <w:rFonts w:hint="eastAsia"/>
                <w:color w:val="auto"/>
                <w:kern w:val="0"/>
                <w:szCs w:val="21"/>
                <w:lang w:val="en-US" w:eastAsia="zh-CN"/>
              </w:rPr>
              <w:t>0</w:t>
            </w:r>
            <w:r>
              <w:rPr>
                <w:color w:val="auto"/>
                <w:kern w:val="0"/>
                <w:szCs w:val="21"/>
              </w:rPr>
              <w:t>00吨。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表2-5  主要原辅材料及能源消耗预计表</w:t>
            </w:r>
          </w:p>
          <w:tbl>
            <w:tblPr>
              <w:tblStyle w:val="14"/>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0"/>
              <w:gridCol w:w="1961"/>
              <w:gridCol w:w="1303"/>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260" w:type="dxa"/>
                  <w:noWrap w:val="0"/>
                  <w:vAlign w:val="center"/>
                </w:tcPr>
                <w:p>
                  <w:pPr>
                    <w:pStyle w:val="29"/>
                    <w:spacing w:line="320" w:lineRule="exact"/>
                    <w:ind w:left="42" w:leftChars="20" w:right="42" w:rightChars="20"/>
                    <w:jc w:val="center"/>
                    <w:rPr>
                      <w:b/>
                      <w:bCs/>
                      <w:color w:val="auto"/>
                      <w:sz w:val="18"/>
                      <w:szCs w:val="18"/>
                    </w:rPr>
                  </w:pPr>
                  <w:r>
                    <w:rPr>
                      <w:b/>
                      <w:bCs/>
                      <w:color w:val="auto"/>
                      <w:sz w:val="18"/>
                      <w:szCs w:val="18"/>
                    </w:rPr>
                    <w:t>类别</w:t>
                  </w:r>
                </w:p>
              </w:tc>
              <w:tc>
                <w:tcPr>
                  <w:tcW w:w="1961" w:type="dxa"/>
                  <w:noWrap w:val="0"/>
                  <w:vAlign w:val="center"/>
                </w:tcPr>
                <w:p>
                  <w:pPr>
                    <w:pStyle w:val="29"/>
                    <w:spacing w:line="320" w:lineRule="exact"/>
                    <w:ind w:left="42" w:leftChars="20" w:right="42" w:rightChars="20"/>
                    <w:jc w:val="center"/>
                    <w:rPr>
                      <w:b/>
                      <w:bCs/>
                      <w:color w:val="auto"/>
                      <w:sz w:val="18"/>
                      <w:szCs w:val="18"/>
                    </w:rPr>
                  </w:pPr>
                  <w:r>
                    <w:rPr>
                      <w:b/>
                      <w:bCs/>
                      <w:color w:val="auto"/>
                      <w:sz w:val="18"/>
                      <w:szCs w:val="18"/>
                    </w:rPr>
                    <w:t>名称</w:t>
                  </w:r>
                </w:p>
              </w:tc>
              <w:tc>
                <w:tcPr>
                  <w:tcW w:w="1303" w:type="dxa"/>
                  <w:noWrap w:val="0"/>
                  <w:vAlign w:val="center"/>
                </w:tcPr>
                <w:p>
                  <w:pPr>
                    <w:pStyle w:val="29"/>
                    <w:spacing w:line="320" w:lineRule="exact"/>
                    <w:ind w:left="42" w:leftChars="20" w:right="42" w:rightChars="20"/>
                    <w:jc w:val="center"/>
                    <w:rPr>
                      <w:b/>
                      <w:bCs/>
                      <w:color w:val="auto"/>
                      <w:sz w:val="18"/>
                      <w:szCs w:val="18"/>
                    </w:rPr>
                  </w:pPr>
                  <w:r>
                    <w:rPr>
                      <w:b/>
                      <w:bCs/>
                      <w:color w:val="auto"/>
                      <w:sz w:val="18"/>
                      <w:szCs w:val="18"/>
                    </w:rPr>
                    <w:t>年耗量</w:t>
                  </w:r>
                </w:p>
              </w:tc>
              <w:tc>
                <w:tcPr>
                  <w:tcW w:w="3234" w:type="dxa"/>
                  <w:noWrap w:val="0"/>
                  <w:vAlign w:val="center"/>
                </w:tcPr>
                <w:p>
                  <w:pPr>
                    <w:pStyle w:val="29"/>
                    <w:spacing w:line="320" w:lineRule="exact"/>
                    <w:ind w:left="42" w:leftChars="20" w:right="42" w:rightChars="20"/>
                    <w:jc w:val="center"/>
                    <w:rPr>
                      <w:b/>
                      <w:bCs/>
                      <w:color w:val="auto"/>
                      <w:sz w:val="18"/>
                      <w:szCs w:val="18"/>
                    </w:rPr>
                  </w:pPr>
                  <w:r>
                    <w:rPr>
                      <w:b/>
                      <w:bCs/>
                      <w:color w:val="auto"/>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1260" w:type="dxa"/>
                  <w:vMerge w:val="restart"/>
                  <w:noWrap w:val="0"/>
                  <w:vAlign w:val="center"/>
                </w:tcPr>
                <w:p>
                  <w:pPr>
                    <w:pStyle w:val="29"/>
                    <w:spacing w:line="320" w:lineRule="exact"/>
                    <w:ind w:left="42" w:leftChars="20" w:right="42" w:rightChars="20"/>
                    <w:jc w:val="center"/>
                    <w:rPr>
                      <w:color w:val="auto"/>
                      <w:sz w:val="18"/>
                      <w:szCs w:val="18"/>
                    </w:rPr>
                  </w:pPr>
                  <w:r>
                    <w:rPr>
                      <w:color w:val="auto"/>
                      <w:sz w:val="18"/>
                      <w:szCs w:val="18"/>
                    </w:rPr>
                    <w:t>原辅料</w:t>
                  </w:r>
                </w:p>
              </w:tc>
              <w:tc>
                <w:tcPr>
                  <w:tcW w:w="1961" w:type="dxa"/>
                  <w:noWrap w:val="0"/>
                  <w:vAlign w:val="center"/>
                </w:tcPr>
                <w:p>
                  <w:pPr>
                    <w:pStyle w:val="29"/>
                    <w:spacing w:line="320" w:lineRule="exact"/>
                    <w:ind w:left="42" w:leftChars="20" w:right="42" w:rightChars="20"/>
                    <w:jc w:val="center"/>
                    <w:rPr>
                      <w:rFonts w:hint="eastAsia" w:eastAsia="宋体"/>
                      <w:color w:val="auto"/>
                      <w:sz w:val="18"/>
                      <w:szCs w:val="18"/>
                      <w:lang w:eastAsia="zh-CN"/>
                    </w:rPr>
                  </w:pPr>
                  <w:r>
                    <w:rPr>
                      <w:rFonts w:hint="eastAsia"/>
                      <w:color w:val="auto"/>
                      <w:sz w:val="18"/>
                      <w:szCs w:val="18"/>
                      <w:lang w:eastAsia="zh-CN"/>
                    </w:rPr>
                    <w:t>废矿物油</w:t>
                  </w:r>
                </w:p>
              </w:tc>
              <w:tc>
                <w:tcPr>
                  <w:tcW w:w="1303" w:type="dxa"/>
                  <w:noWrap w:val="0"/>
                  <w:vAlign w:val="center"/>
                </w:tcPr>
                <w:p>
                  <w:pPr>
                    <w:pStyle w:val="29"/>
                    <w:spacing w:line="320" w:lineRule="exact"/>
                    <w:ind w:left="42" w:leftChars="20" w:right="42" w:rightChars="20"/>
                    <w:jc w:val="center"/>
                    <w:rPr>
                      <w:color w:val="auto"/>
                      <w:sz w:val="18"/>
                      <w:szCs w:val="18"/>
                    </w:rPr>
                  </w:pPr>
                  <w:r>
                    <w:rPr>
                      <w:color w:val="auto"/>
                      <w:sz w:val="18"/>
                      <w:szCs w:val="18"/>
                    </w:rPr>
                    <w:t>2</w:t>
                  </w:r>
                  <w:r>
                    <w:rPr>
                      <w:rFonts w:hint="eastAsia"/>
                      <w:color w:val="auto"/>
                      <w:sz w:val="18"/>
                      <w:szCs w:val="18"/>
                      <w:lang w:val="en-US" w:eastAsia="zh-CN"/>
                    </w:rPr>
                    <w:t>0</w:t>
                  </w:r>
                  <w:r>
                    <w:rPr>
                      <w:color w:val="auto"/>
                      <w:sz w:val="18"/>
                      <w:szCs w:val="18"/>
                    </w:rPr>
                    <w:t>00t</w:t>
                  </w:r>
                </w:p>
              </w:tc>
              <w:tc>
                <w:tcPr>
                  <w:tcW w:w="3234" w:type="dxa"/>
                  <w:noWrap w:val="0"/>
                  <w:vAlign w:val="center"/>
                </w:tcPr>
                <w:p>
                  <w:pPr>
                    <w:pStyle w:val="29"/>
                    <w:spacing w:line="320" w:lineRule="exact"/>
                    <w:ind w:left="42" w:leftChars="20" w:right="42" w:rightChars="20"/>
                    <w:jc w:val="center"/>
                    <w:rPr>
                      <w:color w:val="auto"/>
                      <w:sz w:val="18"/>
                      <w:szCs w:val="18"/>
                    </w:rPr>
                  </w:pPr>
                  <w:r>
                    <w:rPr>
                      <w:bCs/>
                      <w:color w:val="auto"/>
                      <w:sz w:val="18"/>
                      <w:szCs w:val="18"/>
                    </w:rPr>
                    <w:t>达州市范围的汽车4S店、汽修厂等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260" w:type="dxa"/>
                  <w:vMerge w:val="continue"/>
                  <w:noWrap w:val="0"/>
                  <w:vAlign w:val="center"/>
                </w:tcPr>
                <w:p>
                  <w:pPr>
                    <w:pStyle w:val="29"/>
                    <w:spacing w:line="320" w:lineRule="exact"/>
                    <w:ind w:left="42" w:leftChars="20" w:right="42" w:rightChars="20"/>
                    <w:jc w:val="center"/>
                    <w:rPr>
                      <w:color w:val="auto"/>
                      <w:sz w:val="18"/>
                      <w:szCs w:val="18"/>
                    </w:rPr>
                  </w:pPr>
                </w:p>
              </w:tc>
              <w:tc>
                <w:tcPr>
                  <w:tcW w:w="1961" w:type="dxa"/>
                  <w:noWrap w:val="0"/>
                  <w:vAlign w:val="center"/>
                </w:tcPr>
                <w:p>
                  <w:pPr>
                    <w:pStyle w:val="29"/>
                    <w:spacing w:line="320" w:lineRule="exact"/>
                    <w:ind w:left="42" w:leftChars="20" w:right="42" w:rightChars="20"/>
                    <w:jc w:val="center"/>
                    <w:rPr>
                      <w:color w:val="auto"/>
                      <w:sz w:val="18"/>
                      <w:szCs w:val="18"/>
                    </w:rPr>
                  </w:pPr>
                  <w:r>
                    <w:rPr>
                      <w:color w:val="auto"/>
                      <w:sz w:val="18"/>
                      <w:szCs w:val="18"/>
                    </w:rPr>
                    <w:t>吸油棉</w:t>
                  </w:r>
                </w:p>
              </w:tc>
              <w:tc>
                <w:tcPr>
                  <w:tcW w:w="1303" w:type="dxa"/>
                  <w:noWrap w:val="0"/>
                  <w:vAlign w:val="center"/>
                </w:tcPr>
                <w:p>
                  <w:pPr>
                    <w:pStyle w:val="29"/>
                    <w:spacing w:line="320" w:lineRule="exact"/>
                    <w:ind w:left="42" w:leftChars="20" w:right="42" w:rightChars="20"/>
                    <w:jc w:val="center"/>
                    <w:rPr>
                      <w:color w:val="auto"/>
                      <w:sz w:val="18"/>
                      <w:szCs w:val="18"/>
                    </w:rPr>
                  </w:pPr>
                  <w:r>
                    <w:rPr>
                      <w:color w:val="auto"/>
                      <w:sz w:val="18"/>
                      <w:szCs w:val="18"/>
                    </w:rPr>
                    <w:t>0.01t</w:t>
                  </w:r>
                </w:p>
              </w:tc>
              <w:tc>
                <w:tcPr>
                  <w:tcW w:w="3234" w:type="dxa"/>
                  <w:noWrap w:val="0"/>
                  <w:vAlign w:val="center"/>
                </w:tcPr>
                <w:p>
                  <w:pPr>
                    <w:pStyle w:val="29"/>
                    <w:spacing w:line="320" w:lineRule="exact"/>
                    <w:ind w:left="42" w:leftChars="20" w:right="42" w:rightChars="20"/>
                    <w:jc w:val="center"/>
                    <w:rPr>
                      <w:color w:val="auto"/>
                      <w:sz w:val="18"/>
                      <w:szCs w:val="18"/>
                    </w:rPr>
                  </w:pPr>
                  <w:r>
                    <w:rPr>
                      <w:color w:val="auto"/>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260" w:type="dxa"/>
                  <w:vMerge w:val="continue"/>
                  <w:noWrap w:val="0"/>
                  <w:vAlign w:val="center"/>
                </w:tcPr>
                <w:p>
                  <w:pPr>
                    <w:pStyle w:val="29"/>
                    <w:spacing w:line="320" w:lineRule="exact"/>
                    <w:ind w:left="42" w:leftChars="20" w:right="42" w:rightChars="20"/>
                    <w:jc w:val="center"/>
                    <w:rPr>
                      <w:color w:val="auto"/>
                      <w:sz w:val="18"/>
                      <w:szCs w:val="18"/>
                    </w:rPr>
                  </w:pPr>
                </w:p>
              </w:tc>
              <w:tc>
                <w:tcPr>
                  <w:tcW w:w="1961" w:type="dxa"/>
                  <w:noWrap w:val="0"/>
                  <w:vAlign w:val="center"/>
                </w:tcPr>
                <w:p>
                  <w:pPr>
                    <w:pStyle w:val="29"/>
                    <w:spacing w:line="320" w:lineRule="exact"/>
                    <w:ind w:left="42" w:leftChars="20" w:right="42" w:rightChars="20"/>
                    <w:jc w:val="center"/>
                    <w:rPr>
                      <w:color w:val="auto"/>
                      <w:sz w:val="18"/>
                      <w:szCs w:val="18"/>
                    </w:rPr>
                  </w:pPr>
                  <w:r>
                    <w:rPr>
                      <w:color w:val="auto"/>
                      <w:sz w:val="18"/>
                      <w:szCs w:val="18"/>
                    </w:rPr>
                    <w:t>手套</w:t>
                  </w:r>
                </w:p>
              </w:tc>
              <w:tc>
                <w:tcPr>
                  <w:tcW w:w="1303" w:type="dxa"/>
                  <w:noWrap w:val="0"/>
                  <w:vAlign w:val="center"/>
                </w:tcPr>
                <w:p>
                  <w:pPr>
                    <w:pStyle w:val="29"/>
                    <w:spacing w:line="320" w:lineRule="exact"/>
                    <w:ind w:left="42" w:leftChars="20" w:right="42" w:rightChars="20"/>
                    <w:jc w:val="center"/>
                    <w:rPr>
                      <w:color w:val="auto"/>
                      <w:sz w:val="18"/>
                      <w:szCs w:val="18"/>
                    </w:rPr>
                  </w:pPr>
                  <w:r>
                    <w:rPr>
                      <w:rFonts w:hint="eastAsia"/>
                      <w:color w:val="auto"/>
                      <w:sz w:val="18"/>
                      <w:szCs w:val="18"/>
                      <w:lang w:val="en-US" w:eastAsia="zh-CN"/>
                    </w:rPr>
                    <w:t>0</w:t>
                  </w:r>
                  <w:r>
                    <w:rPr>
                      <w:color w:val="auto"/>
                      <w:sz w:val="18"/>
                      <w:szCs w:val="18"/>
                    </w:rPr>
                    <w:t>.5t</w:t>
                  </w:r>
                </w:p>
              </w:tc>
              <w:tc>
                <w:tcPr>
                  <w:tcW w:w="3234" w:type="dxa"/>
                  <w:noWrap w:val="0"/>
                  <w:vAlign w:val="center"/>
                </w:tcPr>
                <w:p>
                  <w:pPr>
                    <w:pStyle w:val="29"/>
                    <w:spacing w:line="320" w:lineRule="exact"/>
                    <w:ind w:left="42" w:leftChars="20" w:right="42" w:rightChars="20"/>
                    <w:jc w:val="center"/>
                    <w:rPr>
                      <w:color w:val="auto"/>
                      <w:sz w:val="18"/>
                      <w:szCs w:val="18"/>
                    </w:rPr>
                  </w:pPr>
                  <w:r>
                    <w:rPr>
                      <w:color w:val="auto"/>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260" w:type="dxa"/>
                  <w:vMerge w:val="restart"/>
                  <w:noWrap w:val="0"/>
                  <w:vAlign w:val="center"/>
                </w:tcPr>
                <w:p>
                  <w:pPr>
                    <w:pStyle w:val="29"/>
                    <w:spacing w:line="320" w:lineRule="exact"/>
                    <w:ind w:left="42" w:leftChars="20" w:right="42" w:rightChars="20"/>
                    <w:jc w:val="center"/>
                    <w:rPr>
                      <w:color w:val="auto"/>
                      <w:sz w:val="18"/>
                      <w:szCs w:val="18"/>
                    </w:rPr>
                  </w:pPr>
                  <w:r>
                    <w:rPr>
                      <w:color w:val="auto"/>
                      <w:sz w:val="18"/>
                      <w:szCs w:val="18"/>
                    </w:rPr>
                    <w:t>能耗</w:t>
                  </w:r>
                </w:p>
              </w:tc>
              <w:tc>
                <w:tcPr>
                  <w:tcW w:w="1961" w:type="dxa"/>
                  <w:noWrap w:val="0"/>
                  <w:vAlign w:val="center"/>
                </w:tcPr>
                <w:p>
                  <w:pPr>
                    <w:pStyle w:val="29"/>
                    <w:spacing w:line="320" w:lineRule="exact"/>
                    <w:ind w:left="42" w:leftChars="20" w:right="42" w:rightChars="20"/>
                    <w:jc w:val="center"/>
                    <w:rPr>
                      <w:color w:val="auto"/>
                      <w:sz w:val="18"/>
                      <w:szCs w:val="18"/>
                    </w:rPr>
                  </w:pPr>
                  <w:r>
                    <w:rPr>
                      <w:color w:val="auto"/>
                      <w:sz w:val="18"/>
                      <w:szCs w:val="18"/>
                    </w:rPr>
                    <w:t>电</w:t>
                  </w:r>
                </w:p>
              </w:tc>
              <w:tc>
                <w:tcPr>
                  <w:tcW w:w="1303" w:type="dxa"/>
                  <w:noWrap w:val="0"/>
                  <w:vAlign w:val="center"/>
                </w:tcPr>
                <w:p>
                  <w:pPr>
                    <w:pStyle w:val="29"/>
                    <w:spacing w:line="320" w:lineRule="exact"/>
                    <w:ind w:left="42" w:leftChars="20" w:right="42" w:rightChars="20"/>
                    <w:jc w:val="center"/>
                    <w:rPr>
                      <w:color w:val="auto"/>
                      <w:sz w:val="18"/>
                      <w:szCs w:val="18"/>
                    </w:rPr>
                  </w:pPr>
                  <w:r>
                    <w:rPr>
                      <w:color w:val="auto"/>
                      <w:sz w:val="18"/>
                      <w:szCs w:val="18"/>
                    </w:rPr>
                    <w:t>3000kW·h</w:t>
                  </w:r>
                </w:p>
              </w:tc>
              <w:tc>
                <w:tcPr>
                  <w:tcW w:w="3234" w:type="dxa"/>
                  <w:noWrap w:val="0"/>
                  <w:vAlign w:val="center"/>
                </w:tcPr>
                <w:p>
                  <w:pPr>
                    <w:pStyle w:val="29"/>
                    <w:spacing w:line="320" w:lineRule="exact"/>
                    <w:ind w:left="42" w:leftChars="20" w:right="42" w:rightChars="20"/>
                    <w:jc w:val="center"/>
                    <w:rPr>
                      <w:color w:val="auto"/>
                      <w:sz w:val="18"/>
                      <w:szCs w:val="18"/>
                    </w:rPr>
                  </w:pPr>
                  <w:r>
                    <w:rPr>
                      <w:color w:val="auto"/>
                      <w:sz w:val="18"/>
                      <w:szCs w:val="18"/>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260" w:type="dxa"/>
                  <w:vMerge w:val="continue"/>
                  <w:noWrap w:val="0"/>
                  <w:vAlign w:val="center"/>
                </w:tcPr>
                <w:p>
                  <w:pPr>
                    <w:pStyle w:val="29"/>
                    <w:spacing w:line="320" w:lineRule="exact"/>
                    <w:ind w:left="42" w:leftChars="20" w:right="42" w:rightChars="20"/>
                    <w:jc w:val="center"/>
                    <w:rPr>
                      <w:color w:val="auto"/>
                      <w:sz w:val="18"/>
                      <w:szCs w:val="18"/>
                    </w:rPr>
                  </w:pPr>
                </w:p>
              </w:tc>
              <w:tc>
                <w:tcPr>
                  <w:tcW w:w="1961" w:type="dxa"/>
                  <w:noWrap w:val="0"/>
                  <w:vAlign w:val="center"/>
                </w:tcPr>
                <w:p>
                  <w:pPr>
                    <w:pStyle w:val="29"/>
                    <w:spacing w:line="320" w:lineRule="exact"/>
                    <w:ind w:left="42" w:leftChars="20" w:right="42" w:rightChars="20"/>
                    <w:jc w:val="center"/>
                    <w:rPr>
                      <w:color w:val="auto"/>
                      <w:sz w:val="18"/>
                      <w:szCs w:val="18"/>
                    </w:rPr>
                  </w:pPr>
                  <w:r>
                    <w:rPr>
                      <w:color w:val="auto"/>
                      <w:sz w:val="18"/>
                      <w:szCs w:val="18"/>
                    </w:rPr>
                    <w:t>液化气</w:t>
                  </w:r>
                </w:p>
              </w:tc>
              <w:tc>
                <w:tcPr>
                  <w:tcW w:w="1303" w:type="dxa"/>
                  <w:noWrap w:val="0"/>
                  <w:vAlign w:val="center"/>
                </w:tcPr>
                <w:p>
                  <w:pPr>
                    <w:pStyle w:val="29"/>
                    <w:spacing w:line="320" w:lineRule="exact"/>
                    <w:ind w:left="42" w:leftChars="20" w:right="42" w:rightChars="20"/>
                    <w:jc w:val="center"/>
                    <w:rPr>
                      <w:color w:val="auto"/>
                      <w:sz w:val="18"/>
                      <w:szCs w:val="18"/>
                    </w:rPr>
                  </w:pPr>
                  <w:r>
                    <w:rPr>
                      <w:color w:val="auto"/>
                      <w:sz w:val="18"/>
                      <w:szCs w:val="18"/>
                    </w:rPr>
                    <w:t>300m</w:t>
                  </w:r>
                  <w:r>
                    <w:rPr>
                      <w:color w:val="auto"/>
                      <w:sz w:val="18"/>
                      <w:szCs w:val="18"/>
                      <w:vertAlign w:val="superscript"/>
                    </w:rPr>
                    <w:t>3</w:t>
                  </w:r>
                </w:p>
              </w:tc>
              <w:tc>
                <w:tcPr>
                  <w:tcW w:w="3234" w:type="dxa"/>
                  <w:noWrap w:val="0"/>
                  <w:vAlign w:val="center"/>
                </w:tcPr>
                <w:p>
                  <w:pPr>
                    <w:pStyle w:val="29"/>
                    <w:spacing w:line="320" w:lineRule="exact"/>
                    <w:ind w:left="42" w:leftChars="20" w:right="42" w:rightChars="20"/>
                    <w:jc w:val="center"/>
                    <w:rPr>
                      <w:color w:val="auto"/>
                      <w:sz w:val="18"/>
                      <w:szCs w:val="18"/>
                    </w:rPr>
                  </w:pPr>
                  <w:r>
                    <w:rPr>
                      <w:color w:val="auto"/>
                      <w:sz w:val="18"/>
                      <w:szCs w:val="18"/>
                    </w:rPr>
                    <w:t>当地市场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260" w:type="dxa"/>
                  <w:noWrap w:val="0"/>
                  <w:vAlign w:val="center"/>
                </w:tcPr>
                <w:p>
                  <w:pPr>
                    <w:pStyle w:val="29"/>
                    <w:spacing w:line="320" w:lineRule="exact"/>
                    <w:ind w:left="42" w:leftChars="20" w:right="42" w:rightChars="20"/>
                    <w:jc w:val="center"/>
                    <w:rPr>
                      <w:color w:val="auto"/>
                      <w:sz w:val="18"/>
                      <w:szCs w:val="18"/>
                    </w:rPr>
                  </w:pPr>
                  <w:r>
                    <w:rPr>
                      <w:color w:val="auto"/>
                      <w:sz w:val="18"/>
                      <w:szCs w:val="18"/>
                    </w:rPr>
                    <w:t>水耗</w:t>
                  </w:r>
                </w:p>
              </w:tc>
              <w:tc>
                <w:tcPr>
                  <w:tcW w:w="1961" w:type="dxa"/>
                  <w:noWrap w:val="0"/>
                  <w:vAlign w:val="center"/>
                </w:tcPr>
                <w:p>
                  <w:pPr>
                    <w:pStyle w:val="29"/>
                    <w:spacing w:line="320" w:lineRule="exact"/>
                    <w:ind w:left="42" w:leftChars="20" w:right="42" w:rightChars="20"/>
                    <w:jc w:val="center"/>
                    <w:rPr>
                      <w:rFonts w:hint="eastAsia"/>
                      <w:color w:val="auto"/>
                      <w:sz w:val="18"/>
                      <w:szCs w:val="18"/>
                    </w:rPr>
                  </w:pPr>
                  <w:r>
                    <w:rPr>
                      <w:rFonts w:hint="eastAsia"/>
                      <w:color w:val="auto"/>
                      <w:sz w:val="18"/>
                      <w:szCs w:val="18"/>
                    </w:rPr>
                    <w:t>水</w:t>
                  </w:r>
                </w:p>
              </w:tc>
              <w:tc>
                <w:tcPr>
                  <w:tcW w:w="1303" w:type="dxa"/>
                  <w:noWrap w:val="0"/>
                  <w:vAlign w:val="center"/>
                </w:tcPr>
                <w:p>
                  <w:pPr>
                    <w:pStyle w:val="29"/>
                    <w:spacing w:line="320" w:lineRule="exact"/>
                    <w:ind w:left="42" w:leftChars="20" w:right="42" w:rightChars="20"/>
                    <w:jc w:val="center"/>
                    <w:rPr>
                      <w:color w:val="auto"/>
                      <w:sz w:val="18"/>
                      <w:szCs w:val="18"/>
                    </w:rPr>
                  </w:pPr>
                  <w:r>
                    <w:rPr>
                      <w:color w:val="auto"/>
                      <w:sz w:val="18"/>
                      <w:szCs w:val="18"/>
                    </w:rPr>
                    <w:t>800m</w:t>
                  </w:r>
                  <w:r>
                    <w:rPr>
                      <w:color w:val="auto"/>
                      <w:sz w:val="18"/>
                      <w:szCs w:val="18"/>
                      <w:vertAlign w:val="superscript"/>
                    </w:rPr>
                    <w:t>3</w:t>
                  </w:r>
                </w:p>
              </w:tc>
              <w:tc>
                <w:tcPr>
                  <w:tcW w:w="3234" w:type="dxa"/>
                  <w:noWrap w:val="0"/>
                  <w:vAlign w:val="center"/>
                </w:tcPr>
                <w:p>
                  <w:pPr>
                    <w:pStyle w:val="29"/>
                    <w:spacing w:line="320" w:lineRule="exact"/>
                    <w:ind w:left="42" w:leftChars="20" w:right="42" w:rightChars="20"/>
                    <w:jc w:val="center"/>
                    <w:rPr>
                      <w:rFonts w:hint="eastAsia" w:eastAsia="宋体"/>
                      <w:color w:val="auto"/>
                      <w:sz w:val="18"/>
                      <w:szCs w:val="18"/>
                      <w:lang w:eastAsia="zh-CN"/>
                    </w:rPr>
                  </w:pPr>
                  <w:r>
                    <w:rPr>
                      <w:rFonts w:hint="eastAsia"/>
                      <w:color w:val="auto"/>
                      <w:sz w:val="18"/>
                      <w:szCs w:val="18"/>
                      <w:lang w:val="en-US" w:eastAsia="zh-CN"/>
                    </w:rPr>
                    <w:t>自来水</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7、水平衡分析</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项目油罐不进行清洗，用水环节为生活用水，</w:t>
            </w:r>
            <w:r>
              <w:rPr>
                <w:rFonts w:hint="eastAsia"/>
                <w:color w:val="auto"/>
                <w:kern w:val="0"/>
                <w:szCs w:val="21"/>
                <w:lang w:val="en-US" w:eastAsia="zh-CN"/>
              </w:rPr>
              <w:t>生活污水收集后排至园区污水管网</w:t>
            </w:r>
            <w:r>
              <w:rPr>
                <w:color w:val="auto"/>
                <w:kern w:val="0"/>
                <w:szCs w:val="21"/>
              </w:rPr>
              <w:t>。</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8、劳动定员及工作制度</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项目劳动定员</w:t>
            </w:r>
            <w:r>
              <w:rPr>
                <w:rFonts w:hint="eastAsia"/>
                <w:color w:val="auto"/>
                <w:kern w:val="0"/>
                <w:szCs w:val="21"/>
                <w:lang w:val="en-US" w:eastAsia="zh-CN"/>
              </w:rPr>
              <w:t>4</w:t>
            </w:r>
            <w:r>
              <w:rPr>
                <w:color w:val="auto"/>
                <w:kern w:val="0"/>
                <w:szCs w:val="21"/>
              </w:rPr>
              <w:t>人，年工作350天，每天24小时值班。</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9、厂区平面布置介绍</w:t>
            </w:r>
          </w:p>
          <w:p>
            <w:pPr>
              <w:autoSpaceDE w:val="0"/>
              <w:autoSpaceDN w:val="0"/>
              <w:adjustRightInd w:val="0"/>
              <w:snapToGrid w:val="0"/>
              <w:spacing w:line="400" w:lineRule="exact"/>
              <w:ind w:left="-31" w:leftChars="-15" w:right="-31" w:rightChars="-15" w:firstLine="420" w:firstLineChars="200"/>
              <w:rPr>
                <w:rFonts w:hint="eastAsia"/>
                <w:color w:val="auto"/>
                <w:kern w:val="0"/>
                <w:szCs w:val="21"/>
                <w:lang w:val="en-US" w:eastAsia="zh-CN"/>
              </w:rPr>
            </w:pPr>
            <w:r>
              <w:rPr>
                <w:color w:val="auto"/>
                <w:kern w:val="0"/>
                <w:szCs w:val="21"/>
              </w:rPr>
              <w:t>根据建设单位提供的平面布置图，项目</w:t>
            </w:r>
            <w:r>
              <w:rPr>
                <w:rFonts w:hint="eastAsia"/>
                <w:color w:val="auto"/>
                <w:kern w:val="0"/>
                <w:szCs w:val="21"/>
                <w:lang w:val="en-US" w:eastAsia="zh-CN"/>
              </w:rPr>
              <w:t>租用的闲置厂房（原为原料库房）位于宣汉县弘泰电化有限责任公司地块的西侧，靠近西面的进厂大门</w:t>
            </w:r>
            <w:r>
              <w:rPr>
                <w:color w:val="auto"/>
                <w:kern w:val="0"/>
                <w:szCs w:val="21"/>
              </w:rPr>
              <w:t>，便于运输。</w:t>
            </w:r>
            <w:r>
              <w:rPr>
                <w:rFonts w:hint="eastAsia"/>
                <w:color w:val="auto"/>
                <w:kern w:val="0"/>
                <w:szCs w:val="21"/>
                <w:lang w:val="en-US" w:eastAsia="zh-CN"/>
              </w:rPr>
              <w:t>该厂房南北长约35m、东西宽约13m，厂房进出大门位于西面南侧。车间内拟建储油罐区设置在东侧北端，储油罐区西侧拟设置为废矿物油装卸平台；南侧为收集车辆停放区。同时在该车间进厂大门北侧设置1个危险废物暂存间，在装卸平台北侧建1个消防沙池。</w:t>
            </w:r>
          </w:p>
          <w:p>
            <w:pPr>
              <w:autoSpaceDE w:val="0"/>
              <w:autoSpaceDN w:val="0"/>
              <w:adjustRightInd w:val="0"/>
              <w:snapToGrid w:val="0"/>
              <w:spacing w:line="400" w:lineRule="exact"/>
              <w:ind w:left="-31" w:leftChars="-15" w:right="-31" w:rightChars="-15" w:firstLine="420" w:firstLineChars="200"/>
              <w:rPr>
                <w:color w:val="auto"/>
                <w:kern w:val="0"/>
                <w:szCs w:val="21"/>
              </w:rPr>
            </w:pPr>
            <w:r>
              <w:rPr>
                <w:rFonts w:hint="eastAsia"/>
                <w:color w:val="auto"/>
                <w:kern w:val="0"/>
                <w:szCs w:val="21"/>
                <w:lang w:val="en-US" w:eastAsia="zh-CN"/>
              </w:rPr>
              <w:t>项目拟利用弘泰公司已建的办公楼，作为办公、生活（值班）房，办公楼位于储油车间的西面约10m，本项目拟利用3间</w:t>
            </w:r>
            <w:r>
              <w:rPr>
                <w:color w:val="auto"/>
                <w:kern w:val="0"/>
                <w:szCs w:val="21"/>
              </w:rPr>
              <w:t>。</w:t>
            </w:r>
          </w:p>
          <w:p>
            <w:pPr>
              <w:autoSpaceDE w:val="0"/>
              <w:autoSpaceDN w:val="0"/>
              <w:adjustRightInd w:val="0"/>
              <w:snapToGrid w:val="0"/>
              <w:spacing w:line="400" w:lineRule="exact"/>
              <w:ind w:left="-31" w:leftChars="-15" w:right="-31" w:rightChars="-15" w:firstLine="420" w:firstLineChars="200"/>
              <w:rPr>
                <w:bCs/>
                <w:color w:val="FF0000"/>
                <w:szCs w:val="21"/>
              </w:rPr>
            </w:pPr>
            <w:r>
              <w:rPr>
                <w:color w:val="auto"/>
                <w:kern w:val="0"/>
                <w:szCs w:val="21"/>
              </w:rPr>
              <w:t>项目使用区域平面布置</w:t>
            </w:r>
            <w:r>
              <w:rPr>
                <w:rFonts w:hint="eastAsia"/>
                <w:color w:val="auto"/>
                <w:kern w:val="0"/>
                <w:szCs w:val="21"/>
                <w:lang w:val="en-US" w:eastAsia="zh-CN"/>
              </w:rPr>
              <w:t>情况见附图</w:t>
            </w:r>
            <w:r>
              <w:rPr>
                <w:color w:val="auto"/>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4" w:hRule="atLeast"/>
          <w:jc w:val="center"/>
        </w:trPr>
        <w:tc>
          <w:tcPr>
            <w:tcW w:w="678" w:type="dxa"/>
            <w:noWrap w:val="0"/>
            <w:vAlign w:val="center"/>
          </w:tcPr>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r>
              <w:rPr>
                <w:b/>
                <w:bCs/>
                <w:color w:val="auto"/>
                <w:kern w:val="0"/>
                <w:szCs w:val="21"/>
              </w:rPr>
              <w:t>工艺流程和产排污环节</w:t>
            </w: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p>
          <w:p>
            <w:pPr>
              <w:widowControl/>
              <w:adjustRightInd w:val="0"/>
              <w:snapToGrid w:val="0"/>
              <w:jc w:val="center"/>
              <w:rPr>
                <w:b/>
                <w:bCs/>
                <w:color w:val="auto"/>
                <w:kern w:val="0"/>
                <w:szCs w:val="21"/>
              </w:rPr>
            </w:pPr>
            <w:r>
              <w:rPr>
                <w:b/>
                <w:bCs/>
                <w:color w:val="auto"/>
                <w:kern w:val="0"/>
                <w:szCs w:val="21"/>
              </w:rPr>
              <w:t>工艺流程和产排污环节</w:t>
            </w:r>
          </w:p>
        </w:tc>
        <w:tc>
          <w:tcPr>
            <w:tcW w:w="8306" w:type="dxa"/>
            <w:noWrap w:val="0"/>
            <w:vAlign w:val="top"/>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1、施工期工艺流程和产排污环节</w:t>
            </w:r>
          </w:p>
          <w:p>
            <w:pPr>
              <w:autoSpaceDE w:val="0"/>
              <w:autoSpaceDN w:val="0"/>
              <w:adjustRightInd w:val="0"/>
              <w:snapToGrid w:val="0"/>
              <w:spacing w:line="400" w:lineRule="exact"/>
              <w:ind w:left="-31" w:leftChars="-15" w:right="-31" w:rightChars="-15" w:firstLine="422" w:firstLineChars="200"/>
              <w:rPr>
                <w:b/>
                <w:bCs/>
                <w:color w:val="auto"/>
                <w:kern w:val="0"/>
                <w:szCs w:val="21"/>
              </w:rPr>
            </w:pPr>
            <w:r>
              <w:rPr>
                <w:b/>
                <w:bCs/>
                <w:color w:val="auto"/>
                <w:kern w:val="0"/>
                <w:szCs w:val="21"/>
              </w:rPr>
              <w:t>（1）工艺流程</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本项目为新建项目，</w:t>
            </w:r>
            <w:r>
              <w:rPr>
                <w:rFonts w:hint="eastAsia"/>
                <w:color w:val="auto"/>
                <w:kern w:val="0"/>
                <w:szCs w:val="21"/>
                <w:lang w:val="en-US" w:eastAsia="zh-CN"/>
              </w:rPr>
              <w:t>租用宣汉县弘泰电化有限责任公司闲置厂房</w:t>
            </w:r>
            <w:r>
              <w:rPr>
                <w:color w:val="auto"/>
                <w:kern w:val="0"/>
                <w:szCs w:val="21"/>
              </w:rPr>
              <w:t>建设。本项目拟</w:t>
            </w:r>
            <w:r>
              <w:rPr>
                <w:rFonts w:hint="eastAsia"/>
                <w:color w:val="auto"/>
                <w:kern w:val="0"/>
                <w:szCs w:val="21"/>
                <w:lang w:val="en-US" w:eastAsia="zh-CN"/>
              </w:rPr>
              <w:t>对租用的车间进行维修、拆除里面的废弃设施后，再进行地面防渗处理，并安装储油罐等</w:t>
            </w:r>
            <w:r>
              <w:rPr>
                <w:color w:val="auto"/>
                <w:kern w:val="0"/>
                <w:szCs w:val="21"/>
              </w:rPr>
              <w:t>，办公生活用房利用已有的建筑。施工期主要为原有建筑</w:t>
            </w:r>
            <w:r>
              <w:rPr>
                <w:rFonts w:hint="eastAsia"/>
                <w:color w:val="auto"/>
                <w:kern w:val="0"/>
                <w:szCs w:val="21"/>
                <w:lang w:val="en-US" w:eastAsia="zh-CN"/>
              </w:rPr>
              <w:t>维护</w:t>
            </w:r>
            <w:r>
              <w:rPr>
                <w:color w:val="auto"/>
                <w:kern w:val="0"/>
                <w:szCs w:val="21"/>
              </w:rPr>
              <w:t>，</w:t>
            </w:r>
            <w:r>
              <w:rPr>
                <w:rFonts w:hint="eastAsia"/>
                <w:color w:val="auto"/>
                <w:kern w:val="0"/>
                <w:szCs w:val="21"/>
                <w:lang w:eastAsia="zh-CN"/>
              </w:rPr>
              <w:t>废矿物油</w:t>
            </w:r>
            <w:r>
              <w:rPr>
                <w:color w:val="auto"/>
                <w:kern w:val="0"/>
                <w:szCs w:val="21"/>
              </w:rPr>
              <w:t>储存间及辅助工程建设、地面防渗防腐、设备安装、工程验收等工序。</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施工期的产污工艺流程及产污位置如下图。</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pict>
                <v:group id="组合 42" o:spid="_x0000_s1044" o:spt="203" style="position:absolute;left:0pt;margin-left:7.65pt;margin-top:6.2pt;height:78.7pt;width:394.15pt;z-index:251661312;mso-width-relative:page;mso-height-relative:page;" coordorigin="4723,129607" coordsize="7883,1642" o:gfxdata="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G0sLW/YAAAACAEAAA8AAAAA&#10;AAAAAQAgAAAAIgAAAGRycy9kb3ducmV2LnhtbFBLAQIUABQAAAAIAIdO4kCPFCbOawUAAJgoAAAO&#10;AAAAAAAAAAEAIAAAACcBAABkcnMvZTJvRG9jLnhtbFBLBQYAAAAABgAGAFkBAAAECQAAAAA=&#10;">
                  <o:lock v:ext="edit" aspectratio="f"/>
                  <v:shape id="文本框 25" o:spid="_x0000_s1027" o:spt="202" type="#_x0000_t202" style="position:absolute;left:4723;top:129889;height:372;width:1539;"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line="280" w:lineRule="exact"/>
                            <w:rPr>
                              <w:rFonts w:hint="eastAsia" w:eastAsia="仿宋体"/>
                              <w:bCs/>
                              <w:sz w:val="18"/>
                            </w:rPr>
                          </w:pPr>
                          <w:r>
                            <w:rPr>
                              <w:rFonts w:hint="eastAsia" w:eastAsia="仿宋体"/>
                              <w:bCs/>
                              <w:sz w:val="18"/>
                            </w:rPr>
                            <w:t>废气、固废、噪声</w:t>
                          </w:r>
                        </w:p>
                      </w:txbxContent>
                    </v:textbox>
                  </v:shape>
                  <v:shape id="文本框 26" o:spid="_x0000_s1028" o:spt="202" type="#_x0000_t202" style="position:absolute;left:6841;top:129607;height:691;width:1153;"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280" w:lineRule="exact"/>
                            <w:jc w:val="center"/>
                            <w:rPr>
                              <w:rFonts w:eastAsia="仿宋体"/>
                              <w:bCs/>
                              <w:sz w:val="18"/>
                            </w:rPr>
                          </w:pPr>
                          <w:r>
                            <w:rPr>
                              <w:rFonts w:hint="eastAsia" w:eastAsia="仿宋体"/>
                              <w:bCs/>
                              <w:sz w:val="18"/>
                            </w:rPr>
                            <w:t>废水、固废、噪声、废气</w:t>
                          </w:r>
                        </w:p>
                      </w:txbxContent>
                    </v:textbox>
                  </v:shape>
                  <v:shape id="文本框 27" o:spid="_x0000_s1029" o:spt="202" type="#_x0000_t202" style="position:absolute;left:4816;top:130854;height:395;width:1449;" fillcolor="#DDDDDD" filled="t" stroked="t" coordsize="21600,21600" o:gfxdata="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bo3vQAA&#10;ANsAAAAPAAAAAAAAAAEAIAAAACIAAABkcnMvZG93bnJldi54bWxQSwECFAAUAAAACACHTuJAMy8F&#10;njsAAAA5AAAAEAAAAAAAAAABACAAAAAMAQAAZHJzL3NoYXBleG1sLnhtbFBLBQYAAAAABgAGAFsB&#10;AAC2AwAAAAA=&#10;">
                    <v:path/>
                    <v:fill on="t" color2="#FFFFFF" focussize="0,0"/>
                    <v:stroke color="#000000" joinstyle="miter"/>
                    <v:imagedata o:title=""/>
                    <o:lock v:ext="edit" aspectratio="f"/>
                    <v:textbox inset="0mm,1mm,0mm,0mm">
                      <w:txbxContent>
                        <w:p>
                          <w:pPr>
                            <w:jc w:val="center"/>
                          </w:pPr>
                          <w:r>
                            <w:rPr>
                              <w:rFonts w:hint="eastAsia"/>
                              <w:lang w:val="en-US" w:eastAsia="zh-CN"/>
                            </w:rPr>
                            <w:t>车间、水池维护</w:t>
                          </w:r>
                        </w:p>
                      </w:txbxContent>
                    </v:textbox>
                  </v:shape>
                  <v:shape id="文本框 28" o:spid="_x0000_s1030" o:spt="202" type="#_x0000_t202" style="position:absolute;left:6844;top:130855;height:394;width:1213;" fillcolor="#DDDDDD" filled="t" stroked="t" coordsize="21600,21600" o:gfxdata="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Pi5FugAAANsA&#10;AAAPAAAAAAAAAAEAIAAAACIAAABkcnMvZG93bnJldi54bWxQSwECFAAUAAAACACHTuJAMy8FnjsA&#10;AAA5AAAAEAAAAAAAAAABACAAAAAJAQAAZHJzL3NoYXBleG1sLnhtbFBLBQYAAAAABgAGAFsBAACz&#10;AwAAAAA=&#10;">
                    <v:path/>
                    <v:fill on="t" color2="#FFFFFF" focussize="0,0"/>
                    <v:stroke color="#000000" joinstyle="miter"/>
                    <v:imagedata o:title=""/>
                    <o:lock v:ext="edit" aspectratio="f"/>
                    <v:textbox inset="0mm,1mm,0mm,0mm">
                      <w:txbxContent>
                        <w:p>
                          <w:pPr>
                            <w:jc w:val="center"/>
                            <w:rPr>
                              <w:rFonts w:hint="default" w:eastAsia="宋体"/>
                              <w:lang w:val="en-US" w:eastAsia="zh-CN"/>
                            </w:rPr>
                          </w:pPr>
                          <w:r>
                            <w:rPr>
                              <w:rFonts w:hint="eastAsia"/>
                              <w:lang w:val="en-US" w:eastAsia="zh-CN"/>
                            </w:rPr>
                            <w:t>原设施清除</w:t>
                          </w:r>
                        </w:p>
                      </w:txbxContent>
                    </v:textbox>
                  </v:shape>
                  <v:line id="直接连接符 29" o:spid="_x0000_s1031" o:spt="20" style="position:absolute;left:8056;top:131038;height:1;width:567;"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path arrowok="t"/>
                    <v:fill on="f" focussize="0,0"/>
                    <v:stroke color="#000000" endarrow="block"/>
                    <v:imagedata o:title=""/>
                    <o:lock v:ext="edit" aspectratio="f"/>
                  </v:line>
                  <v:line id="直接连接符 30" o:spid="_x0000_s1032" o:spt="20" style="position:absolute;left:9579;top:131049;height:1;width:567;"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path arrowok="t"/>
                    <v:fill on="f" focussize="0,0"/>
                    <v:stroke color="#000000" endarrow="block"/>
                    <v:imagedata o:title=""/>
                    <o:lock v:ext="edit" aspectratio="f"/>
                  </v:line>
                  <v:shape id="文本框 31" o:spid="_x0000_s1033" o:spt="202" type="#_x0000_t202" style="position:absolute;left:8620;top:130843;height:394;width:946;" fillcolor="#DDDDDD" filled="t" stroked="t" coordsize="21600,21600" o:gfxdata="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3REFvQAA&#10;ANsAAAAPAAAAAAAAAAEAIAAAACIAAABkcnMvZG93bnJldi54bWxQSwECFAAUAAAACACHTuJAMy8F&#10;njsAAAA5AAAAEAAAAAAAAAABACAAAAAMAQAAZHJzL3NoYXBleG1sLnhtbFBLBQYAAAAABgAGAFsB&#10;AAC2AwAAAAA=&#10;">
                    <v:path/>
                    <v:fill on="t" color2="#FFFFFF" focussize="0,0"/>
                    <v:stroke color="#000000" joinstyle="miter"/>
                    <v:imagedata o:title=""/>
                    <o:lock v:ext="edit" aspectratio="f"/>
                    <v:textbox inset="0mm,1mm,0mm,0mm">
                      <w:txbxContent>
                        <w:p>
                          <w:pPr>
                            <w:jc w:val="center"/>
                            <w:rPr>
                              <w:rFonts w:hint="eastAsia"/>
                            </w:rPr>
                          </w:pPr>
                          <w:r>
                            <w:rPr>
                              <w:rFonts w:hint="eastAsia"/>
                            </w:rPr>
                            <w:t>地面防渗</w:t>
                          </w:r>
                        </w:p>
                      </w:txbxContent>
                    </v:textbox>
                  </v:shape>
                  <v:shape id="文本框 32" o:spid="_x0000_s1034" o:spt="202" type="#_x0000_t202" style="position:absolute;left:10134;top:130847;height:394;width:946;" fillcolor="#DDDDDD" filled="t" stroked="t" coordsize="21600,21600" o:gfxdata="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Pj3K8AAAA&#10;2wAAAA8AAAAAAAAAAQAgAAAAIgAAAGRycy9kb3ducmV2LnhtbFBLAQIUABQAAAAIAIdO4kAzLwWe&#10;OwAAADkAAAAQAAAAAAAAAAEAIAAAAAsBAABkcnMvc2hhcGV4bWwueG1sUEsFBgAAAAAGAAYAWwEA&#10;ALUDAAAAAA==&#10;">
                    <v:path/>
                    <v:fill on="t" color2="#FFFFFF" focussize="0,0"/>
                    <v:stroke color="#000000" joinstyle="miter"/>
                    <v:imagedata o:title=""/>
                    <o:lock v:ext="edit" aspectratio="f"/>
                    <v:textbox inset="0mm,1mm,0mm,0mm">
                      <w:txbxContent>
                        <w:p>
                          <w:pPr>
                            <w:jc w:val="center"/>
                          </w:pPr>
                          <w:r>
                            <w:rPr>
                              <w:rFonts w:hint="eastAsia"/>
                            </w:rPr>
                            <w:t>储罐安装</w:t>
                          </w:r>
                        </w:p>
                      </w:txbxContent>
                    </v:textbox>
                  </v:shape>
                  <v:line id="直接连接符 33" o:spid="_x0000_s1035" o:spt="20" style="position:absolute;left:5488;top:130196;flip:x y;height:680;width:1;" filled="f" stroked="t" coordsize="21600,21600" o:gfxdata="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W8zS/&#10;AAAA2wAAAA8AAAAAAAAAAQAgAAAAIgAAAGRycy9kb3ducmV2LnhtbFBLAQIUABQAAAAIAIdO4kAz&#10;LwWeOwAAADkAAAAQAAAAAAAAAAEAIAAAAA4BAABkcnMvc2hhcGV4bWwueG1sUEsFBgAAAAAGAAYA&#10;WwEAALgDAAAAAA==&#10;">
                    <v:path arrowok="t"/>
                    <v:fill on="f" focussize="0,0"/>
                    <v:stroke weight="0.5pt" color="#000000" dashstyle="dash" endarrow="block" endarrowwidth="narrow" endarrowlength="long"/>
                    <v:imagedata o:title=""/>
                    <o:lock v:ext="edit" aspectratio="f"/>
                  </v:line>
                  <v:line id="直接连接符 34" o:spid="_x0000_s1036" o:spt="20" style="position:absolute;left:7414;top:130183;flip:x y;height:680;width:1;" filled="f" stroked="t" coordsize="21600,21600" o:gfxdata="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a0C/&#10;AAAA2wAAAA8AAAAAAAAAAQAgAAAAIgAAAGRycy9kb3ducmV2LnhtbFBLAQIUABQAAAAIAIdO4kAz&#10;LwWeOwAAADkAAAAQAAAAAAAAAAEAIAAAAA4BAABkcnMvc2hhcGV4bWwueG1sUEsFBgAAAAAGAAYA&#10;WwEAALgDAAAAAA==&#10;">
                    <v:path arrowok="t"/>
                    <v:fill on="f" focussize="0,0"/>
                    <v:stroke weight="0.5pt" color="#000000" dashstyle="dash" endarrow="block" endarrowwidth="narrow" endarrowlength="long"/>
                    <v:imagedata o:title=""/>
                    <o:lock v:ext="edit" aspectratio="f"/>
                  </v:line>
                  <v:line id="直接连接符 35" o:spid="_x0000_s1037" o:spt="20" style="position:absolute;left:6283;top:131054;height:1;width:567;"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path arrowok="t"/>
                    <v:fill on="f" focussize="0,0"/>
                    <v:stroke color="#000000" endarrow="block"/>
                    <v:imagedata o:title=""/>
                    <o:lock v:ext="edit" aspectratio="f"/>
                  </v:line>
                  <v:line id="直接连接符 36" o:spid="_x0000_s1038" o:spt="20" style="position:absolute;left:9058;top:130012;flip:x y;height:818;width:6;" filled="f" stroked="t" coordsize="21600,21600" o:gfxdata="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hUKy/&#10;AAAA2wAAAA8AAAAAAAAAAQAgAAAAIgAAAGRycy9kb3ducmV2LnhtbFBLAQIUABQAAAAIAIdO4kAz&#10;LwWeOwAAADkAAAAQAAAAAAAAAAEAIAAAAA4BAABkcnMvc2hhcGV4bWwueG1sUEsFBgAAAAAGAAYA&#10;WwEAALgDAAAAAA==&#10;">
                    <v:path arrowok="t"/>
                    <v:fill on="f" focussize="0,0"/>
                    <v:stroke weight="0.5pt" color="#000000" dashstyle="dash" endarrow="block" endarrowwidth="narrow" endarrowlength="long"/>
                    <v:imagedata o:title=""/>
                    <o:lock v:ext="edit" aspectratio="f"/>
                  </v:line>
                  <v:shape id="文本框 37" o:spid="_x0000_s1039" o:spt="202" type="#_x0000_t202" style="position:absolute;left:8496;top:129750;height:328;width:1120;"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line="280" w:lineRule="exact"/>
                            <w:jc w:val="center"/>
                            <w:rPr>
                              <w:rFonts w:eastAsia="仿宋体"/>
                              <w:bCs/>
                              <w:sz w:val="18"/>
                            </w:rPr>
                          </w:pPr>
                          <w:r>
                            <w:rPr>
                              <w:rFonts w:hint="eastAsia" w:eastAsia="仿宋体"/>
                              <w:bCs/>
                              <w:sz w:val="18"/>
                            </w:rPr>
                            <w:t>废气、固废</w:t>
                          </w:r>
                        </w:p>
                      </w:txbxContent>
                    </v:textbox>
                  </v:shape>
                  <v:line id="直接连接符 38" o:spid="_x0000_s1040" o:spt="20" style="position:absolute;left:11075;top:131050;height:1;width:567;"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path arrowok="t"/>
                    <v:fill on="f" focussize="0,0"/>
                    <v:stroke color="#000000" endarrow="block"/>
                    <v:imagedata o:title=""/>
                    <o:lock v:ext="edit" aspectratio="f"/>
                  </v:line>
                  <v:shape id="文本框 39" o:spid="_x0000_s1041" o:spt="202" type="#_x0000_t202" style="position:absolute;left:11660;top:130850;height:394;width:946;" fillcolor="#DDDDDD" filled="t" stroked="t" coordsize="21600,21600" o:gfxdata="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x0DvQAA&#10;ANsAAAAPAAAAAAAAAAEAIAAAACIAAABkcnMvZG93bnJldi54bWxQSwECFAAUAAAACACHTuJAMy8F&#10;njsAAAA5AAAAEAAAAAAAAAABACAAAAAMAQAAZHJzL3NoYXBleG1sLnhtbFBLBQYAAAAABgAGAFsB&#10;AAC2AwAAAAA=&#10;">
                    <v:path/>
                    <v:fill on="t" color2="#FFFFFF" focussize="0,0"/>
                    <v:stroke color="#000000" joinstyle="miter"/>
                    <v:imagedata o:title=""/>
                    <o:lock v:ext="edit" aspectratio="f"/>
                    <v:textbox inset="0mm,1mm,0mm,0mm">
                      <w:txbxContent>
                        <w:p>
                          <w:pPr>
                            <w:jc w:val="center"/>
                          </w:pPr>
                          <w:r>
                            <w:rPr>
                              <w:rFonts w:hint="eastAsia"/>
                              <w:lang w:val="en-US" w:eastAsia="zh-CN"/>
                            </w:rPr>
                            <w:t>验收</w:t>
                          </w:r>
                          <w:r>
                            <w:rPr>
                              <w:rFonts w:hint="eastAsia"/>
                            </w:rPr>
                            <w:t>使用</w:t>
                          </w:r>
                        </w:p>
                      </w:txbxContent>
                    </v:textbox>
                  </v:shape>
                  <v:line id="直接连接符 40" o:spid="_x0000_s1042" o:spt="20" style="position:absolute;left:10618;top:130025;flip:x y;height:818;width:6;" filled="f" stroked="t" coordsize="21600,21600" o:gfxdata="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IePrsAAADb&#10;AAAADwAAAAAAAAABACAAAAAiAAAAZHJzL2Rvd25yZXYueG1sUEsBAhQAFAAAAAgAh07iQDMvBZ47&#10;AAAAOQAAABAAAAAAAAAAAQAgAAAACgEAAGRycy9zaGFwZXhtbC54bWxQSwUGAAAAAAYABgBbAQAA&#10;tAMAAAAA&#10;">
                    <v:path arrowok="t"/>
                    <v:fill on="f" focussize="0,0"/>
                    <v:stroke weight="0.5pt" color="#000000" dashstyle="dash" endarrow="block" endarrowwidth="narrow" endarrowlength="long"/>
                    <v:imagedata o:title=""/>
                    <o:lock v:ext="edit" aspectratio="f"/>
                  </v:line>
                  <v:shape id="文本框 41" o:spid="_x0000_s1043" o:spt="202" type="#_x0000_t202" style="position:absolute;left:10056;top:129763;height:328;width:1120;"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280" w:lineRule="exact"/>
                            <w:jc w:val="center"/>
                            <w:rPr>
                              <w:rFonts w:eastAsia="仿宋体"/>
                              <w:bCs/>
                              <w:sz w:val="18"/>
                            </w:rPr>
                          </w:pPr>
                          <w:r>
                            <w:rPr>
                              <w:rFonts w:hint="eastAsia" w:eastAsia="仿宋体"/>
                              <w:bCs/>
                              <w:sz w:val="18"/>
                            </w:rPr>
                            <w:t>噪声</w:t>
                          </w:r>
                        </w:p>
                      </w:txbxContent>
                    </v:textbox>
                  </v:shape>
                </v:group>
              </w:pict>
            </w: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lang w:val="zh-CN"/>
              </w:rPr>
              <w:pict>
                <v:rect id="矩形 2544" o:spid="_x0000_s1074" o:spt="1" style="position:absolute;left:0pt;margin-left:87.15pt;margin-top:18.15pt;height:23.35pt;width:234.35pt;z-index:251662336;mso-width-relative:page;mso-height-relative:page;" filled="f" stroked="f" coordsize="21600,21600" o:gfxdata="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5fiatkAAAAJAQAA&#10;DwAAAAAAAAABACAAAAAiAAAAZHJzL2Rvd25yZXYueG1sUEsBAhQAFAAAAAgAh07iQMTBXN+mAQAA&#10;RQMAAA4AAAAAAAAAAQAgAAAAKAEAAGRycy9lMm9Eb2MueG1sUEsFBgAAAAAGAAYAWQEAAEAFAAAA&#10;AA==&#1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图2-</w:t>
                        </w:r>
                        <w:r>
                          <w:rPr>
                            <w:rFonts w:hint="eastAsia" w:ascii="Times New Roman" w:hAnsi="Times New Roman" w:eastAsia="黑体" w:cs="Times New Roman"/>
                            <w:color w:val="auto"/>
                            <w:kern w:val="0"/>
                            <w:sz w:val="20"/>
                            <w:szCs w:val="20"/>
                            <w:lang w:val="en-US" w:eastAsia="zh-CN"/>
                          </w:rPr>
                          <w:t>1</w:t>
                        </w:r>
                        <w:r>
                          <w:rPr>
                            <w:rFonts w:hint="default" w:ascii="Times New Roman" w:hAnsi="Times New Roman" w:eastAsia="黑体" w:cs="Times New Roman"/>
                            <w:color w:val="auto"/>
                            <w:kern w:val="0"/>
                            <w:sz w:val="20"/>
                            <w:szCs w:val="20"/>
                            <w:lang w:val="zh-CN" w:eastAsia="zh-CN"/>
                          </w:rPr>
                          <w:t>：施工工艺流程及产污环节图</w:t>
                        </w:r>
                      </w:p>
                    </w:txbxContent>
                  </v:textbox>
                </v:rect>
              </w:pict>
            </w: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2" w:firstLineChars="200"/>
              <w:rPr>
                <w:b/>
                <w:bCs/>
                <w:color w:val="auto"/>
                <w:kern w:val="0"/>
                <w:szCs w:val="21"/>
              </w:rPr>
            </w:pPr>
            <w:r>
              <w:rPr>
                <w:b/>
                <w:bCs/>
                <w:color w:val="auto"/>
                <w:kern w:val="0"/>
                <w:szCs w:val="21"/>
              </w:rPr>
              <w:t>（2）产污环节</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废气：主要来自施工作业产生的扬尘、地面刷防渗漆产生的有机废气。</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废水：主要包括少量施工废水及生活废水。</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噪声：主要来源于钻机、切割机等产生的机械噪声。</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固体废物：主要为</w:t>
            </w:r>
            <w:r>
              <w:rPr>
                <w:rFonts w:hint="eastAsia"/>
                <w:color w:val="auto"/>
                <w:kern w:val="0"/>
                <w:szCs w:val="21"/>
                <w:lang w:val="en-US" w:eastAsia="zh-CN"/>
              </w:rPr>
              <w:t>原</w:t>
            </w:r>
            <w:r>
              <w:rPr>
                <w:rFonts w:hint="default"/>
                <w:color w:val="auto"/>
                <w:kern w:val="0"/>
                <w:szCs w:val="21"/>
                <w:lang w:val="en-US" w:eastAsia="zh-CN"/>
              </w:rPr>
              <w:t>拆除时产生</w:t>
            </w:r>
            <w:r>
              <w:rPr>
                <w:color w:val="auto"/>
                <w:kern w:val="0"/>
                <w:szCs w:val="21"/>
              </w:rPr>
              <w:t>建筑废渣、废弃设备包装材料等固体废物，以及施工人员生活垃圾等。</w:t>
            </w:r>
          </w:p>
          <w:p>
            <w:pPr>
              <w:autoSpaceDE w:val="0"/>
              <w:autoSpaceDN w:val="0"/>
              <w:adjustRightInd w:val="0"/>
              <w:snapToGrid w:val="0"/>
              <w:spacing w:line="400" w:lineRule="exact"/>
              <w:ind w:right="-31" w:rightChars="-15"/>
              <w:rPr>
                <w:rFonts w:eastAsia="黑体"/>
                <w:color w:val="auto"/>
                <w:kern w:val="0"/>
                <w:sz w:val="22"/>
                <w:szCs w:val="22"/>
              </w:rPr>
            </w:pPr>
            <w:bookmarkStart w:id="4" w:name="2、运营期"/>
            <w:bookmarkEnd w:id="4"/>
            <w:r>
              <w:rPr>
                <w:rFonts w:eastAsia="黑体"/>
                <w:color w:val="auto"/>
                <w:kern w:val="0"/>
                <w:sz w:val="22"/>
                <w:szCs w:val="22"/>
              </w:rPr>
              <w:t>2、运营期工艺流程和产排污环节</w:t>
            </w:r>
          </w:p>
          <w:p>
            <w:pPr>
              <w:autoSpaceDE w:val="0"/>
              <w:autoSpaceDN w:val="0"/>
              <w:adjustRightInd w:val="0"/>
              <w:snapToGrid w:val="0"/>
              <w:spacing w:line="400" w:lineRule="exact"/>
              <w:ind w:left="-31" w:leftChars="-15" w:right="-31" w:rightChars="-15" w:firstLine="422" w:firstLineChars="200"/>
              <w:rPr>
                <w:b/>
                <w:bCs/>
                <w:color w:val="auto"/>
                <w:kern w:val="0"/>
                <w:szCs w:val="21"/>
              </w:rPr>
            </w:pPr>
            <w:r>
              <w:rPr>
                <w:b/>
                <w:bCs/>
                <w:color w:val="auto"/>
                <w:kern w:val="0"/>
                <w:szCs w:val="21"/>
              </w:rPr>
              <w:t>（1）工艺流程</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本项目仅进行</w:t>
            </w:r>
            <w:r>
              <w:rPr>
                <w:rFonts w:hint="eastAsia"/>
                <w:color w:val="auto"/>
                <w:kern w:val="0"/>
                <w:szCs w:val="21"/>
                <w:lang w:eastAsia="zh-CN"/>
              </w:rPr>
              <w:t>废矿物油</w:t>
            </w:r>
            <w:r>
              <w:rPr>
                <w:color w:val="auto"/>
                <w:kern w:val="0"/>
                <w:szCs w:val="21"/>
              </w:rPr>
              <w:t>的收集和贮存，不涉及</w:t>
            </w:r>
            <w:r>
              <w:rPr>
                <w:rFonts w:hint="eastAsia"/>
                <w:color w:val="auto"/>
                <w:kern w:val="0"/>
                <w:szCs w:val="21"/>
                <w:lang w:eastAsia="zh-CN"/>
              </w:rPr>
              <w:t>废矿物油</w:t>
            </w:r>
            <w:r>
              <w:rPr>
                <w:color w:val="auto"/>
                <w:kern w:val="0"/>
                <w:szCs w:val="21"/>
              </w:rPr>
              <w:t>利用及后续处置再生环节。收集范围及对象为达州市范围内的4S店、汽修厂等产生的</w:t>
            </w:r>
            <w:r>
              <w:rPr>
                <w:rFonts w:hint="eastAsia"/>
                <w:color w:val="auto"/>
                <w:kern w:val="0"/>
                <w:szCs w:val="21"/>
                <w:lang w:eastAsia="zh-CN"/>
              </w:rPr>
              <w:t>废矿物油</w:t>
            </w:r>
            <w:r>
              <w:rPr>
                <w:color w:val="auto"/>
                <w:kern w:val="0"/>
                <w:szCs w:val="21"/>
              </w:rPr>
              <w:t>。项目</w:t>
            </w:r>
            <w:r>
              <w:rPr>
                <w:rFonts w:hint="eastAsia"/>
                <w:color w:val="auto"/>
                <w:kern w:val="0"/>
                <w:szCs w:val="21"/>
                <w:lang w:val="en-US" w:eastAsia="zh-CN"/>
              </w:rPr>
              <w:t>废矿物油收集</w:t>
            </w:r>
            <w:r>
              <w:rPr>
                <w:color w:val="auto"/>
                <w:kern w:val="0"/>
                <w:szCs w:val="21"/>
              </w:rPr>
              <w:t>运输作业委托</w:t>
            </w:r>
            <w:r>
              <w:rPr>
                <w:rFonts w:hint="eastAsia"/>
                <w:color w:val="auto"/>
                <w:kern w:val="0"/>
                <w:szCs w:val="21"/>
                <w:lang w:val="en-US" w:eastAsia="zh-CN"/>
              </w:rPr>
              <w:t>遂宁市佳安运输有限公司完成</w:t>
            </w:r>
            <w:r>
              <w:rPr>
                <w:color w:val="auto"/>
                <w:kern w:val="0"/>
                <w:szCs w:val="21"/>
              </w:rPr>
              <w:t>。项目建成后最大贮存量</w:t>
            </w:r>
            <w:r>
              <w:rPr>
                <w:rFonts w:hint="eastAsia"/>
                <w:color w:val="auto"/>
                <w:kern w:val="0"/>
                <w:szCs w:val="21"/>
                <w:lang w:val="en-US" w:eastAsia="zh-CN"/>
              </w:rPr>
              <w:t>70</w:t>
            </w:r>
            <w:r>
              <w:rPr>
                <w:color w:val="auto"/>
                <w:kern w:val="0"/>
                <w:szCs w:val="21"/>
              </w:rPr>
              <w:t>t（储油罐液位按80%计，</w:t>
            </w:r>
            <w:r>
              <w:rPr>
                <w:rFonts w:hint="eastAsia"/>
                <w:color w:val="auto"/>
                <w:kern w:val="0"/>
                <w:szCs w:val="21"/>
                <w:lang w:eastAsia="zh-CN"/>
              </w:rPr>
              <w:t>废矿物油</w:t>
            </w:r>
            <w:r>
              <w:rPr>
                <w:color w:val="auto"/>
                <w:kern w:val="0"/>
                <w:szCs w:val="21"/>
              </w:rPr>
              <w:t>密度按875kg/m</w:t>
            </w:r>
            <w:r>
              <w:rPr>
                <w:color w:val="auto"/>
                <w:kern w:val="0"/>
                <w:szCs w:val="21"/>
                <w:vertAlign w:val="superscript"/>
              </w:rPr>
              <w:t>3</w:t>
            </w:r>
            <w:r>
              <w:rPr>
                <w:color w:val="auto"/>
                <w:kern w:val="0"/>
                <w:szCs w:val="21"/>
              </w:rPr>
              <w:t>计），约</w:t>
            </w:r>
            <w:r>
              <w:rPr>
                <w:rFonts w:hint="eastAsia"/>
                <w:color w:val="auto"/>
                <w:kern w:val="0"/>
                <w:szCs w:val="21"/>
              </w:rPr>
              <w:t>5</w:t>
            </w:r>
            <w:r>
              <w:rPr>
                <w:color w:val="auto"/>
                <w:kern w:val="0"/>
                <w:szCs w:val="21"/>
              </w:rPr>
              <w:t>天转运一次，年最大转运次数为</w:t>
            </w:r>
            <w:r>
              <w:rPr>
                <w:rFonts w:hint="eastAsia"/>
                <w:color w:val="auto"/>
                <w:kern w:val="0"/>
                <w:szCs w:val="21"/>
                <w:lang w:val="en-US" w:eastAsia="zh-CN"/>
              </w:rPr>
              <w:t>7</w:t>
            </w:r>
            <w:r>
              <w:rPr>
                <w:rFonts w:hint="eastAsia"/>
                <w:color w:val="auto"/>
                <w:kern w:val="0"/>
                <w:szCs w:val="21"/>
              </w:rPr>
              <w:t>0</w:t>
            </w:r>
            <w:r>
              <w:rPr>
                <w:color w:val="auto"/>
                <w:kern w:val="0"/>
                <w:szCs w:val="21"/>
              </w:rPr>
              <w:t>次。由</w:t>
            </w:r>
            <w:r>
              <w:rPr>
                <w:rFonts w:hint="eastAsia"/>
                <w:color w:val="auto"/>
                <w:kern w:val="0"/>
                <w:szCs w:val="21"/>
                <w:lang w:val="en-US" w:eastAsia="zh-CN"/>
              </w:rPr>
              <w:t>下游接收处置单位四川金谷环保科技有限公司负责运输，该公司已与广安宏远物流有限公司签订了《危险品运输协议》</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①项目收集范围内的产油企业各自厂内收集的</w:t>
            </w:r>
            <w:r>
              <w:rPr>
                <w:rFonts w:hint="eastAsia"/>
                <w:color w:val="auto"/>
                <w:kern w:val="0"/>
                <w:szCs w:val="21"/>
                <w:lang w:eastAsia="zh-CN"/>
              </w:rPr>
              <w:t>废矿物油</w:t>
            </w:r>
            <w:r>
              <w:rPr>
                <w:color w:val="auto"/>
                <w:kern w:val="0"/>
                <w:szCs w:val="21"/>
              </w:rPr>
              <w:t>达到一定量后，通知</w:t>
            </w:r>
            <w:r>
              <w:rPr>
                <w:rFonts w:hint="eastAsia"/>
                <w:color w:val="auto"/>
                <w:kern w:val="0"/>
                <w:szCs w:val="21"/>
                <w:lang w:eastAsia="zh-CN"/>
              </w:rPr>
              <w:t>达州市闽通环保科技有限公司</w:t>
            </w:r>
            <w:r>
              <w:rPr>
                <w:color w:val="auto"/>
                <w:kern w:val="0"/>
                <w:szCs w:val="21"/>
              </w:rPr>
              <w:t>进行收集。</w:t>
            </w:r>
            <w:r>
              <w:rPr>
                <w:rFonts w:hint="eastAsia"/>
                <w:color w:val="auto"/>
                <w:kern w:val="0"/>
                <w:szCs w:val="21"/>
                <w:lang w:val="en-US" w:eastAsia="zh-CN"/>
              </w:rPr>
              <w:t>公司则安排收油罐车（5t）至产油企业收集，由收油罐车自带的小型油泵和输油软管抽取</w:t>
            </w:r>
            <w:r>
              <w:rPr>
                <w:color w:val="auto"/>
                <w:kern w:val="0"/>
                <w:szCs w:val="21"/>
              </w:rPr>
              <w:t>输送至</w:t>
            </w:r>
            <w:r>
              <w:rPr>
                <w:rFonts w:hint="eastAsia"/>
                <w:color w:val="auto"/>
                <w:kern w:val="0"/>
                <w:szCs w:val="21"/>
                <w:lang w:val="en-US" w:eastAsia="zh-CN"/>
              </w:rPr>
              <w:t>封闭的油罐内，然后封闭</w:t>
            </w:r>
            <w:r>
              <w:rPr>
                <w:color w:val="auto"/>
                <w:kern w:val="0"/>
                <w:szCs w:val="21"/>
              </w:rPr>
              <w:t>运至项目厂区。</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②废</w:t>
            </w:r>
            <w:r>
              <w:rPr>
                <w:rFonts w:hint="eastAsia"/>
                <w:color w:val="auto"/>
                <w:kern w:val="0"/>
                <w:szCs w:val="21"/>
                <w:lang w:val="en-US" w:eastAsia="zh-CN"/>
              </w:rPr>
              <w:t>矿物</w:t>
            </w:r>
            <w:r>
              <w:rPr>
                <w:color w:val="auto"/>
                <w:kern w:val="0"/>
                <w:szCs w:val="21"/>
              </w:rPr>
              <w:t>油进厂后，</w:t>
            </w:r>
            <w:r>
              <w:rPr>
                <w:rFonts w:hint="eastAsia"/>
                <w:color w:val="auto"/>
                <w:kern w:val="0"/>
                <w:szCs w:val="21"/>
                <w:lang w:val="en-US" w:eastAsia="zh-CN"/>
              </w:rPr>
              <w:t>再由油罐车配备的输油泵抽出至厂区的储油罐内，</w:t>
            </w:r>
            <w:r>
              <w:rPr>
                <w:color w:val="auto"/>
                <w:kern w:val="0"/>
                <w:szCs w:val="21"/>
              </w:rPr>
              <w:t>采用顶部浸没式输送至储油罐内。此工序会产生少量挥发性有机气体。</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③每个储油罐内</w:t>
            </w:r>
            <w:r>
              <w:rPr>
                <w:rFonts w:hint="eastAsia"/>
                <w:color w:val="auto"/>
                <w:kern w:val="0"/>
                <w:szCs w:val="21"/>
                <w:lang w:eastAsia="zh-CN"/>
              </w:rPr>
              <w:t>废矿物油</w:t>
            </w:r>
            <w:r>
              <w:rPr>
                <w:color w:val="auto"/>
                <w:kern w:val="0"/>
                <w:szCs w:val="21"/>
              </w:rPr>
              <w:t>达到约</w:t>
            </w:r>
            <w:r>
              <w:rPr>
                <w:rFonts w:hint="eastAsia"/>
                <w:color w:val="auto"/>
                <w:kern w:val="0"/>
                <w:szCs w:val="21"/>
                <w:lang w:val="en-US" w:eastAsia="zh-CN"/>
              </w:rPr>
              <w:t>35</w:t>
            </w:r>
            <w:r>
              <w:rPr>
                <w:rFonts w:hint="eastAsia"/>
                <w:color w:val="auto"/>
                <w:kern w:val="0"/>
                <w:szCs w:val="21"/>
              </w:rPr>
              <w:t>t</w:t>
            </w:r>
            <w:r>
              <w:rPr>
                <w:color w:val="auto"/>
                <w:kern w:val="0"/>
                <w:szCs w:val="21"/>
              </w:rPr>
              <w:t>后(最大收集量不超过储油罐荷载储存量的80%)，</w:t>
            </w:r>
            <w:r>
              <w:rPr>
                <w:rFonts w:hint="eastAsia"/>
                <w:color w:val="auto"/>
                <w:kern w:val="0"/>
                <w:szCs w:val="21"/>
                <w:lang w:val="en-US" w:eastAsia="zh-CN"/>
              </w:rPr>
              <w:t>通知下游</w:t>
            </w:r>
            <w:r>
              <w:rPr>
                <w:color w:val="auto"/>
                <w:kern w:val="0"/>
                <w:szCs w:val="21"/>
              </w:rPr>
              <w:t>有资质的单位</w:t>
            </w:r>
            <w:r>
              <w:rPr>
                <w:rFonts w:hint="eastAsia"/>
                <w:color w:val="auto"/>
                <w:kern w:val="0"/>
                <w:szCs w:val="21"/>
              </w:rPr>
              <w:t>（</w:t>
            </w:r>
            <w:r>
              <w:rPr>
                <w:rFonts w:hint="eastAsia"/>
                <w:color w:val="auto"/>
                <w:kern w:val="0"/>
                <w:szCs w:val="21"/>
                <w:lang w:val="en-US" w:eastAsia="zh-CN"/>
              </w:rPr>
              <w:t>四川金谷环保科技有限公司</w:t>
            </w:r>
            <w:r>
              <w:rPr>
                <w:rFonts w:hint="eastAsia"/>
                <w:color w:val="auto"/>
                <w:kern w:val="0"/>
                <w:szCs w:val="21"/>
              </w:rPr>
              <w:t>）</w:t>
            </w:r>
            <w:r>
              <w:rPr>
                <w:rFonts w:hint="eastAsia"/>
                <w:color w:val="auto"/>
                <w:kern w:val="0"/>
                <w:szCs w:val="21"/>
                <w:lang w:eastAsia="zh-CN"/>
              </w:rPr>
              <w:t>，</w:t>
            </w:r>
            <w:r>
              <w:rPr>
                <w:rFonts w:hint="eastAsia"/>
                <w:color w:val="auto"/>
                <w:kern w:val="0"/>
                <w:szCs w:val="21"/>
                <w:lang w:val="en-US" w:eastAsia="zh-CN"/>
              </w:rPr>
              <w:t>由其安排</w:t>
            </w:r>
            <w:r>
              <w:rPr>
                <w:color w:val="auto"/>
                <w:kern w:val="0"/>
                <w:szCs w:val="21"/>
              </w:rPr>
              <w:t>储油罐车</w:t>
            </w:r>
            <w:r>
              <w:rPr>
                <w:rFonts w:hint="eastAsia"/>
                <w:color w:val="auto"/>
                <w:kern w:val="0"/>
                <w:szCs w:val="21"/>
                <w:lang w:eastAsia="zh-CN"/>
              </w:rPr>
              <w:t>（</w:t>
            </w:r>
            <w:r>
              <w:rPr>
                <w:rFonts w:hint="eastAsia"/>
                <w:color w:val="auto"/>
                <w:kern w:val="0"/>
                <w:szCs w:val="21"/>
                <w:lang w:val="en-US" w:eastAsia="zh-CN"/>
              </w:rPr>
              <w:t>运输单位为广安宏远物流有限公司</w:t>
            </w:r>
            <w:r>
              <w:rPr>
                <w:rFonts w:hint="eastAsia"/>
                <w:color w:val="auto"/>
                <w:kern w:val="0"/>
                <w:szCs w:val="21"/>
                <w:lang w:eastAsia="zh-CN"/>
              </w:rPr>
              <w:t>）</w:t>
            </w:r>
            <w:r>
              <w:rPr>
                <w:color w:val="auto"/>
                <w:kern w:val="0"/>
                <w:szCs w:val="21"/>
              </w:rPr>
              <w:t>对项目</w:t>
            </w:r>
            <w:r>
              <w:rPr>
                <w:rFonts w:hint="eastAsia"/>
                <w:color w:val="auto"/>
                <w:kern w:val="0"/>
                <w:szCs w:val="21"/>
                <w:lang w:val="en-US" w:eastAsia="zh-CN"/>
              </w:rPr>
              <w:t>收集的废矿物</w:t>
            </w:r>
            <w:r>
              <w:rPr>
                <w:color w:val="auto"/>
                <w:kern w:val="0"/>
                <w:szCs w:val="21"/>
              </w:rPr>
              <w:t>油进行</w:t>
            </w:r>
            <w:r>
              <w:rPr>
                <w:rFonts w:hint="eastAsia"/>
                <w:color w:val="auto"/>
                <w:kern w:val="0"/>
                <w:szCs w:val="21"/>
                <w:lang w:val="en-US" w:eastAsia="zh-CN"/>
              </w:rPr>
              <w:t>转运，</w:t>
            </w:r>
            <w:r>
              <w:rPr>
                <w:color w:val="auto"/>
                <w:kern w:val="0"/>
                <w:szCs w:val="21"/>
              </w:rPr>
              <w:t>运</w:t>
            </w:r>
            <w:r>
              <w:rPr>
                <w:rFonts w:hint="eastAsia"/>
                <w:color w:val="auto"/>
                <w:kern w:val="0"/>
                <w:szCs w:val="21"/>
              </w:rPr>
              <w:t>至下游有资质单位（</w:t>
            </w:r>
            <w:r>
              <w:rPr>
                <w:rFonts w:hint="eastAsia"/>
                <w:color w:val="auto"/>
                <w:kern w:val="0"/>
                <w:szCs w:val="21"/>
                <w:lang w:val="en-US" w:eastAsia="zh-CN"/>
              </w:rPr>
              <w:t>四川金谷环保科技有限公司</w:t>
            </w:r>
            <w:r>
              <w:rPr>
                <w:rFonts w:hint="eastAsia"/>
                <w:color w:val="auto"/>
                <w:kern w:val="0"/>
                <w:szCs w:val="21"/>
              </w:rPr>
              <w:t>）</w:t>
            </w:r>
            <w:r>
              <w:rPr>
                <w:color w:val="auto"/>
                <w:kern w:val="0"/>
                <w:szCs w:val="21"/>
              </w:rPr>
              <w:t>处理。</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sz w:val="21"/>
              </w:rPr>
              <w:pict>
                <v:group id="_x0000_s1171" o:spid="_x0000_s1171" o:spt="203" style="position:absolute;left:0pt;margin-left:32.4pt;margin-top:19.55pt;height:170.65pt;width:353.65pt;z-index:251665408;mso-width-relative:page;mso-height-relative:page;" coordorigin="3323,311775" coordsize="7073,3413">
                  <o:lock v:ext="edit" aspectratio="f"/>
                  <v:rect id="矩形 6" o:spid="_x0000_s1045" o:spt="1" style="position:absolute;left:5187;top:312735;height:463;width:1304;" fillcolor="#FF0000" filled="t" stroked="t" coordsize="21600,21600">
                    <v:path/>
                    <v:fill on="t" color2="#FFFFFF" opacity="0f" focussize="0,0"/>
                    <v:stroke weight="1.25pt" color="#000000" joinstyle="miter"/>
                    <v:imagedata o:title=""/>
                    <o:lock v:ext="edit" aspectratio="f"/>
                    <v:textbox>
                      <w:txbxContent>
                        <w:p>
                          <w:pPr>
                            <w:jc w:val="center"/>
                          </w:pPr>
                          <w:r>
                            <w:rPr>
                              <w:rFonts w:hint="eastAsia"/>
                              <w:b/>
                              <w:bCs/>
                              <w:sz w:val="24"/>
                              <w:szCs w:val="32"/>
                            </w:rPr>
                            <w:t>装车收集</w:t>
                          </w:r>
                        </w:p>
                      </w:txbxContent>
                    </v:textbox>
                  </v:rect>
                  <v:rect id="矩形 7" o:spid="_x0000_s1046" o:spt="1" style="position:absolute;left:3323;top:312738;height:463;width:1304;" fillcolor="#FF0000" filled="t" stroked="t" coordsize="21600,21600">
                    <v:path/>
                    <v:fill on="t" color2="#FFFFFF" opacity="0f" focussize="0,0"/>
                    <v:stroke weight="1.25pt" color="#000000" joinstyle="miter"/>
                    <v:imagedata o:title=""/>
                    <o:lock v:ext="edit" aspectratio="f"/>
                    <v:textbox>
                      <w:txbxContent>
                        <w:p>
                          <w:pPr>
                            <w:jc w:val="center"/>
                            <w:rPr>
                              <w:rFonts w:hint="eastAsia" w:eastAsia="宋体"/>
                              <w:b/>
                              <w:bCs/>
                              <w:sz w:val="24"/>
                              <w:szCs w:val="32"/>
                              <w:lang w:eastAsia="zh-CN"/>
                            </w:rPr>
                          </w:pPr>
                          <w:r>
                            <w:rPr>
                              <w:rFonts w:hint="eastAsia"/>
                              <w:b/>
                              <w:bCs/>
                              <w:sz w:val="24"/>
                              <w:szCs w:val="32"/>
                              <w:lang w:eastAsia="zh-CN"/>
                            </w:rPr>
                            <w:t>废矿物油</w:t>
                          </w:r>
                        </w:p>
                      </w:txbxContent>
                    </v:textbox>
                  </v:rect>
                  <v:shape id="直接箭头连接符 8" o:spid="_x0000_s1047" o:spt="32" type="#_x0000_t32" style="position:absolute;left:4631;top:312967;height:1;width:567;" filled="f" stroked="t" coordsize="21600,21600">
                    <v:path arrowok="t"/>
                    <v:fill on="f" focussize="0,0"/>
                    <v:stroke color="#000000" endarrow="block"/>
                    <v:imagedata o:title=""/>
                    <o:lock v:ext="edit" aspectratio="f"/>
                  </v:shape>
                  <v:shape id="直接箭头连接符 9" o:spid="_x0000_s1048" o:spt="32" type="#_x0000_t32" style="position:absolute;left:9115;top:313202;height:1361;width:0;" filled="f" stroked="t" coordsize="21600,21600">
                    <v:path arrowok="t"/>
                    <v:fill on="f" focussize="0,0"/>
                    <v:stroke color="#000000" endarrow="block"/>
                    <v:imagedata o:title=""/>
                    <o:lock v:ext="edit" aspectratio="f"/>
                  </v:shape>
                  <v:rect id="矩形 10" o:spid="_x0000_s1049" o:spt="1" style="position:absolute;left:6721;top:314595;height:464;width:1325;" fillcolor="#FF0000" filled="t" stroked="t" coordsize="21600,21600">
                    <v:path/>
                    <v:fill on="t" color2="#FFFFFF" opacity="0f" focussize="0,0"/>
                    <v:stroke weight="1.25pt" color="#000000" joinstyle="miter"/>
                    <v:imagedata o:title=""/>
                    <o:lock v:ext="edit" aspectratio="f"/>
                    <v:textbox>
                      <w:txbxContent>
                        <w:p>
                          <w:pPr>
                            <w:jc w:val="center"/>
                            <w:rPr>
                              <w:b/>
                              <w:bCs/>
                              <w:sz w:val="24"/>
                              <w:szCs w:val="32"/>
                            </w:rPr>
                          </w:pPr>
                          <w:r>
                            <w:rPr>
                              <w:rFonts w:hint="eastAsia"/>
                              <w:b/>
                              <w:bCs/>
                              <w:sz w:val="24"/>
                              <w:szCs w:val="32"/>
                            </w:rPr>
                            <w:t>装车外运</w:t>
                          </w:r>
                        </w:p>
                      </w:txbxContent>
                    </v:textbox>
                  </v:rect>
                  <v:shape id="直接箭头连接符 12" o:spid="_x0000_s1051" o:spt="32" type="#_x0000_t32" style="position:absolute;left:7060;top:314200;height:397;width:0;" filled="f" stroked="t" coordsize="21600,21600">
                    <v:path arrowok="t"/>
                    <v:fill on="f" focussize="0,0"/>
                    <v:stroke color="#000000" endarrow="block"/>
                    <v:imagedata o:title=""/>
                    <o:lock v:ext="edit" aspectratio="f"/>
                  </v:shape>
                  <v:rect id="矩形 14" o:spid="_x0000_s1053" o:spt="1" style="position:absolute;left:6923;top:311785;height:624;width:1336;" fillcolor="#FF0000" filled="t" stroked="f" coordsize="21600,21600">
                    <v:path/>
                    <v:fill on="t" color2="#FFFFFF" opacity="0f" focussize="0,0"/>
                    <v:stroke on="f" weight="0.5pt"/>
                    <v:imagedata o:title=""/>
                    <o:lock v:ext="edit" aspectratio="f"/>
                    <v:textbox>
                      <w:txbxContent>
                        <w:p>
                          <w:pPr>
                            <w:jc w:val="center"/>
                            <w:rPr>
                              <w:sz w:val="18"/>
                              <w:szCs w:val="18"/>
                            </w:rPr>
                          </w:pPr>
                          <w:r>
                            <w:rPr>
                              <w:rFonts w:hint="eastAsia"/>
                              <w:sz w:val="18"/>
                              <w:szCs w:val="18"/>
                            </w:rPr>
                            <w:t>噪声、废气、环境风险</w:t>
                          </w:r>
                        </w:p>
                      </w:txbxContent>
                    </v:textbox>
                  </v:rect>
                  <v:shape id="直接箭头连接符 15" o:spid="_x0000_s1054" o:spt="32" type="#_x0000_t32" style="position:absolute;left:5816;top:312319;flip:y;height:392;width:1;" filled="f" stroked="t" coordsize="21600,21600">
                    <v:path arrowok="t"/>
                    <v:fill on="f" focussize="0,0"/>
                    <v:stroke weight="0.25pt" color="#000000" dashstyle="dash" endarrow="block"/>
                    <v:imagedata o:title=""/>
                    <o:lock v:ext="edit" aspectratio="f"/>
                  </v:shape>
                  <v:rect id="矩形 16" o:spid="_x0000_s1055" o:spt="1" style="position:absolute;left:4740;top:313538;height:783;width:2926;" fillcolor="#FF0000" filled="t" stroked="f" coordsize="21600,21600">
                    <v:path/>
                    <v:fill on="t" color2="#FFFFFF" opacity="0f" focussize="0,0"/>
                    <v:stroke on="f" weight="0.5pt"/>
                    <v:imagedata o:title=""/>
                    <o:lock v:ext="edit" aspectratio="f"/>
                    <v:textbox>
                      <w:txbxContent>
                        <w:p>
                          <w:pPr>
                            <w:jc w:val="both"/>
                            <w:rPr>
                              <w:rFonts w:hint="eastAsia"/>
                              <w:sz w:val="18"/>
                              <w:szCs w:val="21"/>
                            </w:rPr>
                          </w:pPr>
                          <w:r>
                            <w:rPr>
                              <w:rFonts w:hint="eastAsia"/>
                              <w:sz w:val="18"/>
                              <w:szCs w:val="21"/>
                              <w:lang w:val="en-US" w:eastAsia="zh-CN"/>
                            </w:rPr>
                            <w:t>遂宁市佳安运输有限公司</w:t>
                          </w: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sz w:val="18"/>
                              <w:szCs w:val="21"/>
                            </w:rPr>
                          </w:pPr>
                          <w:r>
                            <w:rPr>
                              <w:rFonts w:hint="eastAsia"/>
                              <w:sz w:val="18"/>
                              <w:szCs w:val="21"/>
                              <w:lang w:val="en-US" w:eastAsia="zh-CN"/>
                            </w:rPr>
                            <w:t xml:space="preserve">      广安宏远物流有限公司</w:t>
                          </w:r>
                        </w:p>
                      </w:txbxContent>
                    </v:textbox>
                  </v:rect>
                  <v:rect id="矩形 17" o:spid="_x0000_s1056" o:spt="1" style="position:absolute;left:7042;top:312735;height:463;width:961;" fillcolor="#FF0000" filled="t" stroked="t" coordsize="21600,21600">
                    <v:path/>
                    <v:fill on="t" color2="#FFFFFF" opacity="0f" focussize="0,0"/>
                    <v:stroke weight="1.25pt" color="#000000" joinstyle="miter"/>
                    <v:imagedata o:title=""/>
                    <o:lock v:ext="edit" aspectratio="f"/>
                    <v:textbox>
                      <w:txbxContent>
                        <w:p>
                          <w:pPr>
                            <w:jc w:val="center"/>
                          </w:pPr>
                          <w:r>
                            <w:rPr>
                              <w:rFonts w:hint="eastAsia"/>
                              <w:b/>
                              <w:bCs/>
                              <w:sz w:val="24"/>
                              <w:szCs w:val="32"/>
                            </w:rPr>
                            <w:t>运输</w:t>
                          </w:r>
                        </w:p>
                      </w:txbxContent>
                    </v:textbox>
                  </v:rect>
                  <v:shape id="直接箭头连接符 18" o:spid="_x0000_s1057" o:spt="32" type="#_x0000_t32" style="position:absolute;left:6486;top:312967;height:1;width:567;" filled="f" stroked="t" coordsize="21600,21600">
                    <v:path arrowok="t"/>
                    <v:fill on="f" focussize="0,0"/>
                    <v:stroke color="#000000" endarrow="block"/>
                    <v:imagedata o:title=""/>
                    <o:lock v:ext="edit" aspectratio="f"/>
                  </v:shape>
                  <v:rect id="矩形 19" o:spid="_x0000_s1058" o:spt="1" style="position:absolute;left:8555;top:312735;height:463;width:1285;" fillcolor="#FF0000" filled="t" stroked="t" coordsize="21600,21600">
                    <v:path/>
                    <v:fill on="t" color2="#FFFFFF" opacity="0f" focussize="0,0"/>
                    <v:stroke weight="1.25pt" color="#000000" joinstyle="miter"/>
                    <v:imagedata o:title=""/>
                    <o:lock v:ext="edit" aspectratio="f"/>
                    <v:textbox>
                      <w:txbxContent>
                        <w:p>
                          <w:pPr>
                            <w:jc w:val="center"/>
                          </w:pPr>
                          <w:r>
                            <w:rPr>
                              <w:rFonts w:hint="eastAsia"/>
                              <w:b/>
                              <w:bCs/>
                              <w:sz w:val="24"/>
                              <w:szCs w:val="32"/>
                            </w:rPr>
                            <w:t>卸料进罐</w:t>
                          </w:r>
                        </w:p>
                      </w:txbxContent>
                    </v:textbox>
                  </v:rect>
                  <v:shape id="直接箭头连接符 20" o:spid="_x0000_s1059" o:spt="32" type="#_x0000_t32" style="position:absolute;left:7999;top:312967;height:1;width:567;" filled="f" stroked="t" coordsize="21600,21600">
                    <v:path arrowok="t"/>
                    <v:fill on="f" focussize="0,0"/>
                    <v:stroke color="#000000" endarrow="block"/>
                    <v:imagedata o:title=""/>
                    <o:lock v:ext="edit" aspectratio="f"/>
                  </v:shape>
                  <v:rect id="矩形 21" o:spid="_x0000_s1060" o:spt="1" style="position:absolute;left:8763;top:314576;height:463;width:961;" fillcolor="#FF0000" filled="t" stroked="t" coordsize="21600,21600">
                    <v:path/>
                    <v:fill on="t" color2="#FFFFFF" opacity="0f" focussize="0,0"/>
                    <v:stroke weight="1.25pt" color="#000000" joinstyle="miter"/>
                    <v:imagedata o:title=""/>
                    <o:lock v:ext="edit" aspectratio="f"/>
                    <v:textbox>
                      <w:txbxContent>
                        <w:p>
                          <w:pPr>
                            <w:jc w:val="center"/>
                          </w:pPr>
                          <w:r>
                            <w:rPr>
                              <w:rFonts w:hint="eastAsia"/>
                              <w:b/>
                              <w:bCs/>
                              <w:sz w:val="24"/>
                              <w:szCs w:val="32"/>
                            </w:rPr>
                            <w:t>储存</w:t>
                          </w:r>
                        </w:p>
                      </w:txbxContent>
                    </v:textbox>
                  </v:rect>
                  <v:shape id="直接箭头连接符 23" o:spid="_x0000_s1061" o:spt="32" type="#_x0000_t32" style="position:absolute;left:6044;top:314846;flip:x;height:1;width:664;" filled="f" stroked="t" coordsize="21600,21600">
                    <v:path arrowok="t"/>
                    <v:fill on="f" focussize="0,0"/>
                    <v:stroke color="#000000" endarrow="block"/>
                    <v:imagedata o:title=""/>
                    <o:lock v:ext="edit" aspectratio="f"/>
                  </v:shape>
                  <v:shape id="直接箭头连接符 43" o:spid="_x0000_s1062" o:spt="32" type="#_x0000_t32" style="position:absolute;left:8084;top:314832;flip:x;height:1;width:664;" filled="f" stroked="t" coordsize="21600,21600">
                    <v:path arrowok="t"/>
                    <v:fill on="f" focussize="0,0"/>
                    <v:stroke color="#000000" endarrow="block"/>
                    <v:imagedata o:title=""/>
                    <o:lock v:ext="edit" aspectratio="f"/>
                  </v:shape>
                  <v:rect id="矩形 44" o:spid="_x0000_s1063" o:spt="1" style="position:absolute;left:3337;top:314486;height:702;width:2707;" fillcolor="#FF0000" filled="t" stroked="t" coordsize="21600,21600">
                    <v:path/>
                    <v:fill on="t" color2="#FFFFFF" opacity="0f" focussize="0,0"/>
                    <v:stroke weight="1.25pt" color="#000000" joinstyle="miter"/>
                    <v:imagedata o:title=""/>
                    <o:lock v:ext="edit" aspectratio="f"/>
                    <v:textbox inset="0.5mm,1.27mm,0.5mm,1.27mm">
                      <w:txbxContent>
                        <w:p>
                          <w:pPr>
                            <w:jc w:val="center"/>
                            <w:rPr>
                              <w:rFonts w:hint="eastAsia"/>
                              <w:b/>
                              <w:bCs/>
                              <w:sz w:val="24"/>
                              <w:szCs w:val="32"/>
                            </w:rPr>
                          </w:pPr>
                          <w:r>
                            <w:rPr>
                              <w:rFonts w:hint="eastAsia"/>
                              <w:b/>
                              <w:bCs/>
                              <w:sz w:val="24"/>
                              <w:szCs w:val="32"/>
                            </w:rPr>
                            <w:t>下游有资质的回收单位</w:t>
                          </w:r>
                        </w:p>
                        <w:p>
                          <w:pPr>
                            <w:jc w:val="center"/>
                            <w:rPr>
                              <w:rFonts w:hint="eastAsia" w:eastAsia="宋体"/>
                              <w:b w:val="0"/>
                              <w:bCs w:val="0"/>
                              <w:sz w:val="18"/>
                              <w:szCs w:val="18"/>
                              <w:lang w:eastAsia="zh-CN"/>
                            </w:rPr>
                          </w:pPr>
                          <w:r>
                            <w:rPr>
                              <w:rFonts w:hint="eastAsia"/>
                              <w:b w:val="0"/>
                              <w:bCs w:val="0"/>
                              <w:sz w:val="18"/>
                              <w:szCs w:val="18"/>
                              <w:lang w:eastAsia="zh-CN"/>
                            </w:rPr>
                            <w:t>（</w:t>
                          </w:r>
                          <w:r>
                            <w:rPr>
                              <w:rFonts w:hint="eastAsia"/>
                              <w:b w:val="0"/>
                              <w:bCs w:val="0"/>
                              <w:sz w:val="18"/>
                              <w:szCs w:val="18"/>
                              <w:lang w:val="en-US" w:eastAsia="zh-CN"/>
                            </w:rPr>
                            <w:t>四川金谷环保科技有限公司</w:t>
                          </w:r>
                          <w:r>
                            <w:rPr>
                              <w:rFonts w:hint="eastAsia"/>
                              <w:b w:val="0"/>
                              <w:bCs w:val="0"/>
                              <w:sz w:val="18"/>
                              <w:szCs w:val="18"/>
                              <w:lang w:eastAsia="zh-CN"/>
                            </w:rPr>
                            <w:t>）</w:t>
                          </w:r>
                        </w:p>
                      </w:txbxContent>
                    </v:textbox>
                  </v:rect>
                  <v:shape id="直接箭头连接符 45" o:spid="_x0000_s1064" o:spt="32" type="#_x0000_t32" style="position:absolute;left:7556;top:312333;flip:y;height:392;width:1;" filled="f" stroked="t" coordsize="21600,21600">
                    <v:path arrowok="t"/>
                    <v:fill on="f" focussize="0,0"/>
                    <v:stroke weight="0.25pt" color="#000000" dashstyle="dash" endarrow="block"/>
                    <v:imagedata o:title=""/>
                    <o:lock v:ext="edit" aspectratio="f"/>
                  </v:shape>
                  <v:shape id="直接箭头连接符 46" o:spid="_x0000_s1065" o:spt="32" type="#_x0000_t32" style="position:absolute;left:9236;top:312333;flip:y;height:392;width:1;" filled="f" stroked="t" coordsize="21600,21600">
                    <v:path arrowok="t"/>
                    <v:fill on="f" focussize="0,0"/>
                    <v:stroke weight="0.25pt" color="#000000" dashstyle="dash" endarrow="block"/>
                    <v:imagedata o:title=""/>
                    <o:lock v:ext="edit" aspectratio="f"/>
                  </v:shape>
                  <v:shape id="直接箭头连接符 47" o:spid="_x0000_s1066" o:spt="32" type="#_x0000_t32" style="position:absolute;left:7856;top:314188;flip:y;height:392;width:1;" filled="f" stroked="t" coordsize="21600,21600">
                    <v:path arrowok="t"/>
                    <v:fill on="f" focussize="0,0"/>
                    <v:stroke weight="0.25pt" color="#000000" dashstyle="dash" endarrow="block"/>
                    <v:imagedata o:title=""/>
                    <o:lock v:ext="edit" aspectratio="f"/>
                  </v:shape>
                  <v:rect id="矩形 48" o:spid="_x0000_s1067" o:spt="1" style="position:absolute;left:5431;top:311962;height:464;width:782;" fillcolor="#FF0000" filled="t" stroked="f" coordsize="21600,21600">
                    <v:path/>
                    <v:fill on="t" color2="#FFFFFF" opacity="0f" focussize="0,0"/>
                    <v:stroke on="f" weight="0.5pt"/>
                    <v:imagedata o:title=""/>
                    <o:lock v:ext="edit" aspectratio="f"/>
                    <v:textbox>
                      <w:txbxContent>
                        <w:p>
                          <w:pPr>
                            <w:rPr>
                              <w:sz w:val="15"/>
                              <w:szCs w:val="18"/>
                            </w:rPr>
                          </w:pPr>
                          <w:r>
                            <w:rPr>
                              <w:rFonts w:hint="eastAsia"/>
                              <w:sz w:val="18"/>
                              <w:szCs w:val="21"/>
                            </w:rPr>
                            <w:t>噪声</w:t>
                          </w:r>
                        </w:p>
                      </w:txbxContent>
                    </v:textbox>
                  </v:rect>
                  <v:shape id="直接箭头连接符 49" o:spid="_x0000_s1068" o:spt="32" type="#_x0000_t32" style="position:absolute;left:9641;top:314188;flip:y;height:392;width:1;" filled="f" stroked="t" coordsize="21600,21600">
                    <v:path arrowok="t"/>
                    <v:fill on="f" focussize="0,0"/>
                    <v:stroke weight="0.25pt" color="#000000" dashstyle="dash" endarrow="block"/>
                    <v:imagedata o:title=""/>
                    <o:lock v:ext="edit" aspectratio="f"/>
                  </v:shape>
                  <v:rect id="矩形 50" o:spid="_x0000_s1069" o:spt="1" style="position:absolute;left:7413;top:313646;height:597;width:1267;" fillcolor="#FF0000" filled="t" stroked="f" coordsize="21600,21600">
                    <v:path/>
                    <v:fill on="t" color2="#FFFFFF" opacity="0f" focussize="0,0"/>
                    <v:stroke on="f" weight="0.5pt"/>
                    <v:imagedata o:title=""/>
                    <o:lock v:ext="edit" aspectratio="f"/>
                    <v:textbox>
                      <w:txbxContent>
                        <w:p>
                          <w:pPr>
                            <w:jc w:val="center"/>
                            <w:rPr>
                              <w:sz w:val="15"/>
                              <w:szCs w:val="18"/>
                            </w:rPr>
                          </w:pPr>
                          <w:r>
                            <w:rPr>
                              <w:rFonts w:hint="eastAsia"/>
                              <w:sz w:val="18"/>
                              <w:szCs w:val="21"/>
                            </w:rPr>
                            <w:t>噪声、废气、环境风险</w:t>
                          </w:r>
                        </w:p>
                      </w:txbxContent>
                    </v:textbox>
                  </v:rect>
                  <v:shape id="直接箭头连接符 51" o:spid="_x0000_s1070" o:spt="32" type="#_x0000_t32" style="position:absolute;left:5778;top:313210;flip:x y;height:397;width:0;" filled="f" stroked="t" coordsize="21600,21600">
                    <v:path arrowok="t"/>
                    <v:fill on="f" focussize="0,0"/>
                    <v:stroke color="#000000" endarrow="block"/>
                    <v:imagedata o:title=""/>
                    <o:lock v:ext="edit" aspectratio="f"/>
                  </v:shape>
                  <v:rect id="_x0000_s1071" o:spid="_x0000_s1071" o:spt="1" style="position:absolute;left:9149;top:313637;height:586;width:1247;" fillcolor="#FF0000" filled="t" stroked="f" coordsize="21600,21600">
                    <v:path/>
                    <v:fill on="t" color2="#FFFFFF" opacity="0f" focussize="0,0"/>
                    <v:stroke on="f" weight="0.5pt"/>
                    <v:imagedata o:title=""/>
                    <o:lock v:ext="edit" aspectratio="f"/>
                    <v:textbox>
                      <w:txbxContent>
                        <w:p>
                          <w:pPr>
                            <w:jc w:val="center"/>
                            <w:rPr>
                              <w:sz w:val="18"/>
                              <w:szCs w:val="21"/>
                            </w:rPr>
                          </w:pPr>
                          <w:r>
                            <w:rPr>
                              <w:rFonts w:hint="eastAsia"/>
                              <w:sz w:val="18"/>
                              <w:szCs w:val="21"/>
                            </w:rPr>
                            <w:t>噪声、废气、环境风险</w:t>
                          </w:r>
                        </w:p>
                      </w:txbxContent>
                    </v:textbox>
                  </v:rect>
                  <v:rect id="矩形 14" o:spid="_x0000_s1080" o:spt="1" style="position:absolute;left:8554;top:311775;height:586;width:1336;" fillcolor="#FF0000" filled="t" stroked="f" coordsize="21600,21600">
                    <v:path/>
                    <v:fill on="t" color2="#FFFFFF" opacity="0f" focussize="0,0"/>
                    <v:stroke on="f" weight="0.5pt"/>
                    <v:imagedata o:title=""/>
                    <o:lock v:ext="edit" aspectratio="f"/>
                    <v:textbox>
                      <w:txbxContent>
                        <w:p>
                          <w:pPr>
                            <w:jc w:val="center"/>
                            <w:rPr>
                              <w:sz w:val="18"/>
                              <w:szCs w:val="18"/>
                            </w:rPr>
                          </w:pPr>
                          <w:r>
                            <w:rPr>
                              <w:rFonts w:hint="eastAsia"/>
                              <w:sz w:val="18"/>
                              <w:szCs w:val="18"/>
                            </w:rPr>
                            <w:t>噪声、废气、环境风险</w:t>
                          </w:r>
                        </w:p>
                      </w:txbxContent>
                    </v:textbox>
                  </v:rect>
                </v:group>
              </w:pict>
            </w:r>
            <w:r>
              <w:rPr>
                <w:color w:val="auto"/>
                <w:kern w:val="0"/>
                <w:szCs w:val="21"/>
              </w:rPr>
              <w:t>项目运营期工艺流程如下图：</w:t>
            </w: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lang w:val="zh-CN"/>
              </w:rPr>
              <w:pict>
                <v:rect id="_x0000_s1075" o:spid="_x0000_s1075" o:spt="1" style="position:absolute;left:0pt;margin-left:96.9pt;margin-top:16.1pt;height:25.7pt;width:198.95pt;z-index:251663360;mso-width-relative:page;mso-height-relative:page;" filled="f" stroked="f" coordsize="21600,21600" o:gfxdata="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9lEq1wAAAAcBAAAP&#10;AAAAAAAAAAEAIAAAACIAAABkcnMvZG93bnJldi54bWxQSwECFAAUAAAACACHTuJAyRguy6cBAABF&#10;AwAADgAAAAAAAAABACAAAAAmAQAAZHJzL2Uyb0RvYy54bWxQSwUGAAAAAAYABgBZAQAAPwUAAAAA&#1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图2-</w:t>
                        </w:r>
                        <w:r>
                          <w:rPr>
                            <w:rFonts w:hint="eastAsia" w:ascii="Times New Roman" w:hAnsi="Times New Roman"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lang w:val="zh-CN" w:eastAsia="zh-CN"/>
                          </w:rPr>
                          <w:t>：收集流程及产污环节图</w:t>
                        </w:r>
                      </w:p>
                    </w:txbxContent>
                  </v:textbox>
                </v:rect>
              </w:pict>
            </w:r>
          </w:p>
          <w:p>
            <w:pPr>
              <w:autoSpaceDE w:val="0"/>
              <w:autoSpaceDN w:val="0"/>
              <w:adjustRightInd w:val="0"/>
              <w:snapToGrid w:val="0"/>
              <w:spacing w:line="400" w:lineRule="exact"/>
              <w:ind w:left="-31" w:leftChars="-15" w:right="-31" w:rightChars="-15" w:firstLine="422" w:firstLineChars="200"/>
              <w:rPr>
                <w:b/>
                <w:bCs/>
                <w:color w:val="auto"/>
                <w:kern w:val="0"/>
                <w:szCs w:val="21"/>
              </w:rPr>
            </w:pPr>
          </w:p>
          <w:p>
            <w:pPr>
              <w:autoSpaceDE w:val="0"/>
              <w:autoSpaceDN w:val="0"/>
              <w:adjustRightInd w:val="0"/>
              <w:snapToGrid w:val="0"/>
              <w:spacing w:line="400" w:lineRule="exact"/>
              <w:ind w:left="-31" w:leftChars="-15" w:right="-31" w:rightChars="-15" w:firstLine="422" w:firstLineChars="200"/>
              <w:rPr>
                <w:color w:val="auto"/>
                <w:kern w:val="0"/>
                <w:szCs w:val="21"/>
              </w:rPr>
            </w:pPr>
            <w:r>
              <w:rPr>
                <w:b/>
                <w:bCs/>
                <w:color w:val="auto"/>
                <w:kern w:val="0"/>
                <w:szCs w:val="21"/>
              </w:rPr>
              <w:t>（2）产污环节</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废水：主要废水为员工的生活污水。</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废气：主要为油罐呼吸废气及车辆运输废气等。</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噪声：主要为车辆运输及输送泵等设备产生的噪声。</w:t>
            </w: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固体废弃物：主要为员工生活垃圾、含油锯末、含油手套等。</w:t>
            </w:r>
          </w:p>
          <w:p>
            <w:pPr>
              <w:autoSpaceDE w:val="0"/>
              <w:autoSpaceDN w:val="0"/>
              <w:adjustRightInd w:val="0"/>
              <w:snapToGrid w:val="0"/>
              <w:spacing w:line="400" w:lineRule="exact"/>
              <w:ind w:left="-31" w:leftChars="-15" w:right="-31" w:rightChars="-15" w:firstLine="420" w:firstLineChars="200"/>
              <w:rPr>
                <w:bCs/>
                <w:color w:val="FF0000"/>
                <w:szCs w:val="21"/>
              </w:rPr>
            </w:pPr>
            <w:r>
              <w:rPr>
                <w:color w:val="auto"/>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vAlign w:val="top"/>
          </w:tcPr>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kern w:val="0"/>
                <w:szCs w:val="21"/>
              </w:rPr>
            </w:pPr>
            <w:r>
              <w:rPr>
                <w:b/>
                <w:bCs/>
                <w:color w:val="auto"/>
                <w:szCs w:val="21"/>
              </w:rPr>
              <w:t>与项目有关的原有环境污染问题</w:t>
            </w:r>
          </w:p>
        </w:tc>
        <w:tc>
          <w:tcPr>
            <w:tcW w:w="8306" w:type="dxa"/>
            <w:noWrap w:val="0"/>
            <w:vAlign w:val="top"/>
          </w:tcPr>
          <w:p>
            <w:pPr>
              <w:autoSpaceDE w:val="0"/>
              <w:autoSpaceDN w:val="0"/>
              <w:adjustRightInd w:val="0"/>
              <w:snapToGrid w:val="0"/>
              <w:spacing w:line="400" w:lineRule="exact"/>
              <w:ind w:left="-31" w:leftChars="-15" w:right="-31" w:rightChars="-15" w:firstLine="420" w:firstLineChars="200"/>
              <w:rPr>
                <w:color w:val="FF0000"/>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p>
          <w:p>
            <w:pPr>
              <w:autoSpaceDE w:val="0"/>
              <w:autoSpaceDN w:val="0"/>
              <w:adjustRightInd w:val="0"/>
              <w:snapToGrid w:val="0"/>
              <w:spacing w:line="400" w:lineRule="exact"/>
              <w:ind w:left="-31" w:leftChars="-15" w:right="-31" w:rightChars="-15" w:firstLine="420" w:firstLineChars="200"/>
              <w:rPr>
                <w:color w:val="auto"/>
                <w:kern w:val="0"/>
                <w:szCs w:val="21"/>
              </w:rPr>
            </w:pPr>
            <w:r>
              <w:rPr>
                <w:color w:val="auto"/>
                <w:kern w:val="0"/>
                <w:szCs w:val="21"/>
              </w:rPr>
              <w:t>本项目为新建，不存在与项目有关的原有环境污染问题。</w:t>
            </w:r>
          </w:p>
          <w:p>
            <w:pPr>
              <w:autoSpaceDE w:val="0"/>
              <w:autoSpaceDN w:val="0"/>
              <w:adjustRightInd w:val="0"/>
              <w:snapToGrid w:val="0"/>
              <w:spacing w:line="400" w:lineRule="exact"/>
              <w:ind w:left="-31" w:leftChars="-15" w:right="-31" w:rightChars="-15" w:firstLine="420" w:firstLineChars="200"/>
              <w:rPr>
                <w:color w:val="auto"/>
                <w:kern w:val="0"/>
                <w:szCs w:val="21"/>
              </w:rPr>
            </w:pPr>
            <w:r>
              <w:rPr>
                <w:rFonts w:hint="eastAsia"/>
                <w:color w:val="auto"/>
                <w:kern w:val="0"/>
                <w:szCs w:val="21"/>
              </w:rPr>
              <w:t>项目用地原为</w:t>
            </w:r>
            <w:r>
              <w:rPr>
                <w:rFonts w:hint="eastAsia"/>
                <w:color w:val="auto"/>
                <w:kern w:val="0"/>
                <w:szCs w:val="21"/>
                <w:lang w:val="en-US" w:eastAsia="zh-CN"/>
              </w:rPr>
              <w:t>宣汉县弘泰电化有限责任公司</w:t>
            </w:r>
            <w:r>
              <w:rPr>
                <w:rFonts w:hint="eastAsia"/>
                <w:color w:val="auto"/>
                <w:kern w:val="0"/>
                <w:szCs w:val="21"/>
              </w:rPr>
              <w:t>，</w:t>
            </w:r>
            <w:r>
              <w:rPr>
                <w:rFonts w:hint="eastAsia"/>
                <w:color w:val="auto"/>
                <w:kern w:val="0"/>
                <w:szCs w:val="21"/>
                <w:lang w:val="en-US" w:eastAsia="zh-CN"/>
              </w:rPr>
              <w:t>由于其生产经营不善，现已停止生产，</w:t>
            </w:r>
            <w:r>
              <w:rPr>
                <w:rFonts w:hint="eastAsia"/>
                <w:color w:val="auto"/>
                <w:kern w:val="0"/>
                <w:szCs w:val="21"/>
              </w:rPr>
              <w:t>该场址已废弃多年。根据环评调查，</w:t>
            </w:r>
            <w:r>
              <w:rPr>
                <w:rFonts w:hint="eastAsia"/>
                <w:color w:val="auto"/>
                <w:kern w:val="0"/>
                <w:szCs w:val="21"/>
                <w:lang w:val="en-US" w:eastAsia="zh-CN"/>
              </w:rPr>
              <w:t>项目租用的车间原为材料库房，由于长期闲置，缺乏维护，封闭的墙体已部分损坏，车间内有少量废弃的设施。本次建对车间四周进行重新封闭，对车间内的废弃物品进行清理</w:t>
            </w:r>
            <w:r>
              <w:rPr>
                <w:rFonts w:hint="eastAsia"/>
                <w:color w:val="auto"/>
                <w:kern w:val="0"/>
                <w:szCs w:val="21"/>
              </w:rPr>
              <w:t>。</w:t>
            </w:r>
          </w:p>
          <w:p>
            <w:pPr>
              <w:autoSpaceDE w:val="0"/>
              <w:autoSpaceDN w:val="0"/>
              <w:adjustRightInd w:val="0"/>
              <w:snapToGrid w:val="0"/>
              <w:spacing w:line="400" w:lineRule="exact"/>
              <w:ind w:left="-31" w:leftChars="-15" w:right="-31" w:rightChars="-15" w:firstLine="420" w:firstLineChars="200"/>
              <w:rPr>
                <w:color w:val="FF0000"/>
                <w:kern w:val="0"/>
                <w:szCs w:val="21"/>
              </w:rPr>
            </w:pPr>
          </w:p>
          <w:p>
            <w:pPr>
              <w:autoSpaceDE w:val="0"/>
              <w:autoSpaceDN w:val="0"/>
              <w:adjustRightInd w:val="0"/>
              <w:snapToGrid w:val="0"/>
              <w:spacing w:line="400" w:lineRule="exact"/>
              <w:ind w:left="-31" w:leftChars="-15" w:right="-31" w:rightChars="-15" w:firstLine="420" w:firstLineChars="200"/>
              <w:rPr>
                <w:color w:val="FF0000"/>
                <w:kern w:val="0"/>
                <w:szCs w:val="21"/>
              </w:rPr>
            </w:pPr>
          </w:p>
          <w:p>
            <w:pPr>
              <w:autoSpaceDE w:val="0"/>
              <w:autoSpaceDN w:val="0"/>
              <w:adjustRightInd w:val="0"/>
              <w:snapToGrid w:val="0"/>
              <w:spacing w:line="400" w:lineRule="exact"/>
              <w:ind w:left="-31" w:leftChars="-15" w:right="-31" w:rightChars="-15" w:firstLine="420" w:firstLineChars="200"/>
              <w:rPr>
                <w:rFonts w:hint="eastAsia"/>
                <w:color w:val="FF0000"/>
                <w:kern w:val="0"/>
                <w:szCs w:val="21"/>
              </w:rPr>
            </w:pPr>
          </w:p>
          <w:p>
            <w:pPr>
              <w:autoSpaceDE w:val="0"/>
              <w:autoSpaceDN w:val="0"/>
              <w:adjustRightInd w:val="0"/>
              <w:snapToGrid w:val="0"/>
              <w:spacing w:line="400" w:lineRule="exact"/>
              <w:ind w:left="-31" w:leftChars="-15" w:right="-31" w:rightChars="-15" w:firstLine="420" w:firstLineChars="200"/>
              <w:rPr>
                <w:bCs/>
                <w:color w:val="FF0000"/>
                <w:szCs w:val="21"/>
              </w:rPr>
            </w:pPr>
            <w:r>
              <w:rPr>
                <w:rFonts w:hint="eastAsia"/>
                <w:color w:val="FF0000"/>
                <w:kern w:val="0"/>
                <w:szCs w:val="21"/>
              </w:rPr>
              <w:t xml:space="preserve"> </w:t>
            </w:r>
          </w:p>
        </w:tc>
      </w:tr>
    </w:tbl>
    <w:p>
      <w:pPr>
        <w:jc w:val="center"/>
        <w:rPr>
          <w:rFonts w:eastAsia="黑体"/>
          <w:snapToGrid w:val="0"/>
          <w:color w:val="FF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formProt w:val="1"/>
          <w:docGrid w:linePitch="312" w:charSpace="0"/>
        </w:sectPr>
      </w:pPr>
    </w:p>
    <w:p>
      <w:pPr>
        <w:widowControl/>
        <w:adjustRightInd w:val="0"/>
        <w:snapToGrid w:val="0"/>
        <w:spacing w:line="14" w:lineRule="auto"/>
        <w:jc w:val="center"/>
        <w:outlineLvl w:val="0"/>
        <w:rPr>
          <w:rFonts w:eastAsia="黑体"/>
          <w:snapToGrid w:val="0"/>
          <w:color w:val="FF0000"/>
          <w:kern w:val="0"/>
          <w:sz w:val="30"/>
          <w:szCs w:val="30"/>
        </w:rPr>
      </w:pPr>
    </w:p>
    <w:p>
      <w:pPr>
        <w:widowControl/>
        <w:spacing w:before="100" w:beforeAutospacing="1" w:after="100" w:afterAutospacing="1"/>
        <w:jc w:val="center"/>
        <w:outlineLvl w:val="0"/>
        <w:rPr>
          <w:rFonts w:eastAsia="黑体"/>
          <w:snapToGrid w:val="0"/>
          <w:color w:val="auto"/>
          <w:kern w:val="0"/>
          <w:sz w:val="30"/>
          <w:szCs w:val="30"/>
        </w:rPr>
      </w:pPr>
      <w:r>
        <w:rPr>
          <w:rFonts w:eastAsia="黑体"/>
          <w:snapToGrid w:val="0"/>
          <w:color w:val="auto"/>
          <w:kern w:val="0"/>
          <w:sz w:val="30"/>
          <w:szCs w:val="30"/>
        </w:rPr>
        <w:t>三、区域环境质量现状、环境保护目标及评价标准</w:t>
      </w:r>
    </w:p>
    <w:tbl>
      <w:tblPr>
        <w:tblStyle w:val="1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3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2" w:type="dxa"/>
            <w:noWrap w:val="0"/>
            <w:vAlign w:val="center"/>
          </w:tcPr>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b/>
                <w:bCs/>
                <w:color w:val="auto"/>
                <w:kern w:val="0"/>
                <w:szCs w:val="21"/>
              </w:rPr>
              <w:t>区域</w:t>
            </w:r>
          </w:p>
          <w:p>
            <w:pPr>
              <w:adjustRightInd w:val="0"/>
              <w:snapToGrid w:val="0"/>
              <w:jc w:val="center"/>
              <w:rPr>
                <w:b/>
                <w:bCs/>
                <w:color w:val="auto"/>
                <w:kern w:val="0"/>
                <w:szCs w:val="21"/>
              </w:rPr>
            </w:pPr>
            <w:r>
              <w:rPr>
                <w:b/>
                <w:bCs/>
                <w:color w:val="auto"/>
                <w:kern w:val="0"/>
                <w:szCs w:val="21"/>
              </w:rPr>
              <w:t>环境</w:t>
            </w:r>
          </w:p>
          <w:p>
            <w:pPr>
              <w:adjustRightInd w:val="0"/>
              <w:snapToGrid w:val="0"/>
              <w:jc w:val="center"/>
              <w:rPr>
                <w:b/>
                <w:bCs/>
                <w:color w:val="auto"/>
                <w:kern w:val="0"/>
                <w:szCs w:val="21"/>
              </w:rPr>
            </w:pPr>
            <w:r>
              <w:rPr>
                <w:b/>
                <w:bCs/>
                <w:color w:val="auto"/>
                <w:kern w:val="0"/>
                <w:szCs w:val="21"/>
              </w:rPr>
              <w:t>质量</w:t>
            </w:r>
          </w:p>
          <w:p>
            <w:pPr>
              <w:adjustRightInd w:val="0"/>
              <w:snapToGrid w:val="0"/>
              <w:jc w:val="center"/>
              <w:rPr>
                <w:b/>
                <w:bCs/>
                <w:color w:val="auto"/>
                <w:kern w:val="0"/>
                <w:szCs w:val="21"/>
              </w:rPr>
            </w:pPr>
            <w:r>
              <w:rPr>
                <w:b/>
                <w:bCs/>
                <w:color w:val="auto"/>
                <w:kern w:val="0"/>
                <w:szCs w:val="21"/>
              </w:rPr>
              <w:t>现状</w:t>
            </w: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b/>
                <w:bCs/>
                <w:color w:val="auto"/>
                <w:kern w:val="0"/>
                <w:szCs w:val="21"/>
              </w:rPr>
              <w:t>区域</w:t>
            </w:r>
          </w:p>
          <w:p>
            <w:pPr>
              <w:adjustRightInd w:val="0"/>
              <w:snapToGrid w:val="0"/>
              <w:jc w:val="center"/>
              <w:rPr>
                <w:b/>
                <w:bCs/>
                <w:color w:val="auto"/>
                <w:kern w:val="0"/>
                <w:szCs w:val="21"/>
              </w:rPr>
            </w:pPr>
            <w:r>
              <w:rPr>
                <w:b/>
                <w:bCs/>
                <w:color w:val="auto"/>
                <w:kern w:val="0"/>
                <w:szCs w:val="21"/>
              </w:rPr>
              <w:t>环境</w:t>
            </w:r>
          </w:p>
          <w:p>
            <w:pPr>
              <w:adjustRightInd w:val="0"/>
              <w:snapToGrid w:val="0"/>
              <w:jc w:val="center"/>
              <w:rPr>
                <w:b/>
                <w:bCs/>
                <w:color w:val="auto"/>
                <w:kern w:val="0"/>
                <w:szCs w:val="21"/>
              </w:rPr>
            </w:pPr>
            <w:r>
              <w:rPr>
                <w:b/>
                <w:bCs/>
                <w:color w:val="auto"/>
                <w:kern w:val="0"/>
                <w:szCs w:val="21"/>
              </w:rPr>
              <w:t>质量</w:t>
            </w:r>
          </w:p>
          <w:p>
            <w:pPr>
              <w:adjustRightInd w:val="0"/>
              <w:snapToGrid w:val="0"/>
              <w:jc w:val="center"/>
              <w:rPr>
                <w:b/>
                <w:bCs/>
                <w:color w:val="auto"/>
                <w:kern w:val="0"/>
                <w:szCs w:val="21"/>
              </w:rPr>
            </w:pPr>
            <w:r>
              <w:rPr>
                <w:b/>
                <w:bCs/>
                <w:color w:val="auto"/>
                <w:kern w:val="0"/>
                <w:szCs w:val="21"/>
              </w:rPr>
              <w:t>现状</w:t>
            </w: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b/>
                <w:bCs/>
                <w:color w:val="auto"/>
                <w:kern w:val="0"/>
                <w:szCs w:val="21"/>
              </w:rPr>
              <w:t>区域</w:t>
            </w:r>
          </w:p>
          <w:p>
            <w:pPr>
              <w:adjustRightInd w:val="0"/>
              <w:snapToGrid w:val="0"/>
              <w:jc w:val="center"/>
              <w:rPr>
                <w:b/>
                <w:bCs/>
                <w:color w:val="auto"/>
                <w:kern w:val="0"/>
                <w:szCs w:val="21"/>
              </w:rPr>
            </w:pPr>
            <w:r>
              <w:rPr>
                <w:b/>
                <w:bCs/>
                <w:color w:val="auto"/>
                <w:kern w:val="0"/>
                <w:szCs w:val="21"/>
              </w:rPr>
              <w:t>环境</w:t>
            </w:r>
          </w:p>
          <w:p>
            <w:pPr>
              <w:adjustRightInd w:val="0"/>
              <w:snapToGrid w:val="0"/>
              <w:jc w:val="center"/>
              <w:rPr>
                <w:b/>
                <w:bCs/>
                <w:color w:val="auto"/>
                <w:kern w:val="0"/>
                <w:szCs w:val="21"/>
              </w:rPr>
            </w:pPr>
            <w:r>
              <w:rPr>
                <w:b/>
                <w:bCs/>
                <w:color w:val="auto"/>
                <w:kern w:val="0"/>
                <w:szCs w:val="21"/>
              </w:rPr>
              <w:t>质量</w:t>
            </w:r>
          </w:p>
          <w:p>
            <w:pPr>
              <w:adjustRightInd w:val="0"/>
              <w:snapToGrid w:val="0"/>
              <w:jc w:val="center"/>
              <w:rPr>
                <w:b/>
                <w:bCs/>
                <w:color w:val="auto"/>
                <w:kern w:val="0"/>
                <w:szCs w:val="21"/>
              </w:rPr>
            </w:pPr>
            <w:r>
              <w:rPr>
                <w:b/>
                <w:bCs/>
                <w:color w:val="auto"/>
                <w:kern w:val="0"/>
                <w:szCs w:val="21"/>
              </w:rPr>
              <w:t>现状</w:t>
            </w: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b/>
                <w:bCs/>
                <w:color w:val="auto"/>
                <w:kern w:val="0"/>
                <w:szCs w:val="21"/>
              </w:rPr>
              <w:t>区域</w:t>
            </w:r>
          </w:p>
          <w:p>
            <w:pPr>
              <w:adjustRightInd w:val="0"/>
              <w:snapToGrid w:val="0"/>
              <w:jc w:val="center"/>
              <w:rPr>
                <w:b/>
                <w:bCs/>
                <w:color w:val="auto"/>
                <w:kern w:val="0"/>
                <w:szCs w:val="21"/>
              </w:rPr>
            </w:pPr>
            <w:r>
              <w:rPr>
                <w:b/>
                <w:bCs/>
                <w:color w:val="auto"/>
                <w:kern w:val="0"/>
                <w:szCs w:val="21"/>
              </w:rPr>
              <w:t>环境</w:t>
            </w:r>
          </w:p>
          <w:p>
            <w:pPr>
              <w:adjustRightInd w:val="0"/>
              <w:snapToGrid w:val="0"/>
              <w:jc w:val="center"/>
              <w:rPr>
                <w:b/>
                <w:bCs/>
                <w:color w:val="auto"/>
                <w:kern w:val="0"/>
                <w:szCs w:val="21"/>
              </w:rPr>
            </w:pPr>
            <w:r>
              <w:rPr>
                <w:b/>
                <w:bCs/>
                <w:color w:val="auto"/>
                <w:kern w:val="0"/>
                <w:szCs w:val="21"/>
              </w:rPr>
              <w:t>质量</w:t>
            </w:r>
          </w:p>
          <w:p>
            <w:pPr>
              <w:adjustRightInd w:val="0"/>
              <w:snapToGrid w:val="0"/>
              <w:jc w:val="center"/>
              <w:rPr>
                <w:b/>
                <w:bCs/>
                <w:color w:val="auto"/>
                <w:kern w:val="0"/>
                <w:szCs w:val="21"/>
              </w:rPr>
            </w:pPr>
            <w:r>
              <w:rPr>
                <w:b/>
                <w:bCs/>
                <w:color w:val="auto"/>
                <w:kern w:val="0"/>
                <w:szCs w:val="21"/>
              </w:rPr>
              <w:t>现状</w:t>
            </w: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b/>
                <w:bCs/>
                <w:color w:val="auto"/>
                <w:kern w:val="0"/>
                <w:szCs w:val="21"/>
              </w:rPr>
              <w:t>区域</w:t>
            </w:r>
          </w:p>
          <w:p>
            <w:pPr>
              <w:adjustRightInd w:val="0"/>
              <w:snapToGrid w:val="0"/>
              <w:jc w:val="center"/>
              <w:rPr>
                <w:b/>
                <w:bCs/>
                <w:color w:val="auto"/>
                <w:kern w:val="0"/>
                <w:szCs w:val="21"/>
              </w:rPr>
            </w:pPr>
            <w:r>
              <w:rPr>
                <w:b/>
                <w:bCs/>
                <w:color w:val="auto"/>
                <w:kern w:val="0"/>
                <w:szCs w:val="21"/>
              </w:rPr>
              <w:t>环境</w:t>
            </w:r>
          </w:p>
          <w:p>
            <w:pPr>
              <w:adjustRightInd w:val="0"/>
              <w:snapToGrid w:val="0"/>
              <w:jc w:val="center"/>
              <w:rPr>
                <w:b/>
                <w:bCs/>
                <w:color w:val="auto"/>
                <w:kern w:val="0"/>
                <w:szCs w:val="21"/>
              </w:rPr>
            </w:pPr>
            <w:r>
              <w:rPr>
                <w:b/>
                <w:bCs/>
                <w:color w:val="auto"/>
                <w:kern w:val="0"/>
                <w:szCs w:val="21"/>
              </w:rPr>
              <w:t>质量</w:t>
            </w:r>
          </w:p>
          <w:p>
            <w:pPr>
              <w:adjustRightInd w:val="0"/>
              <w:snapToGrid w:val="0"/>
              <w:jc w:val="center"/>
              <w:rPr>
                <w:b/>
                <w:bCs/>
                <w:color w:val="auto"/>
                <w:kern w:val="0"/>
                <w:szCs w:val="21"/>
              </w:rPr>
            </w:pPr>
            <w:r>
              <w:rPr>
                <w:b/>
                <w:bCs/>
                <w:color w:val="auto"/>
                <w:kern w:val="0"/>
                <w:szCs w:val="21"/>
              </w:rPr>
              <w:t>现状</w:t>
            </w: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both"/>
              <w:rPr>
                <w:b/>
                <w:bCs/>
                <w:color w:val="auto"/>
                <w:kern w:val="0"/>
                <w:szCs w:val="21"/>
              </w:rPr>
            </w:pPr>
          </w:p>
        </w:tc>
        <w:tc>
          <w:tcPr>
            <w:tcW w:w="8308" w:type="dxa"/>
            <w:noWrap w:val="0"/>
            <w:vAlign w:val="center"/>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1、大气环境</w:t>
            </w:r>
          </w:p>
          <w:p>
            <w:pPr>
              <w:adjustRightInd w:val="0"/>
              <w:snapToGrid w:val="0"/>
              <w:spacing w:line="400" w:lineRule="exact"/>
              <w:ind w:left="-53" w:leftChars="-25" w:right="-53" w:rightChars="-25" w:firstLine="422" w:firstLineChars="200"/>
              <w:jc w:val="left"/>
              <w:rPr>
                <w:rFonts w:hint="eastAsia"/>
                <w:b/>
                <w:bCs/>
                <w:color w:val="auto"/>
                <w:szCs w:val="21"/>
                <w:lang w:val="en-US" w:eastAsia="zh-CN"/>
              </w:rPr>
            </w:pPr>
            <w:r>
              <w:rPr>
                <w:rFonts w:hint="eastAsia"/>
                <w:b/>
                <w:bCs/>
                <w:color w:val="auto"/>
                <w:szCs w:val="21"/>
                <w:lang w:val="zh-CN"/>
              </w:rPr>
              <w:t>（</w:t>
            </w:r>
            <w:r>
              <w:rPr>
                <w:rFonts w:hint="eastAsia"/>
                <w:b/>
                <w:bCs/>
                <w:color w:val="auto"/>
                <w:szCs w:val="21"/>
                <w:lang w:val="en-US" w:eastAsia="zh-CN"/>
              </w:rPr>
              <w:t>1</w:t>
            </w:r>
            <w:r>
              <w:rPr>
                <w:rFonts w:hint="eastAsia"/>
                <w:b/>
                <w:bCs/>
                <w:color w:val="auto"/>
                <w:szCs w:val="21"/>
                <w:lang w:val="zh-CN"/>
              </w:rPr>
              <w:t>）</w:t>
            </w:r>
            <w:r>
              <w:rPr>
                <w:rFonts w:hint="eastAsia"/>
                <w:b/>
                <w:bCs/>
                <w:color w:val="auto"/>
                <w:szCs w:val="21"/>
                <w:lang w:val="en-US" w:eastAsia="zh-CN"/>
              </w:rPr>
              <w:t>达标区判定</w:t>
            </w:r>
          </w:p>
          <w:p>
            <w:pPr>
              <w:adjustRightInd w:val="0"/>
              <w:snapToGrid w:val="0"/>
              <w:spacing w:line="400" w:lineRule="exact"/>
              <w:ind w:left="-53" w:leftChars="-25" w:right="-53" w:rightChars="-25" w:firstLine="420" w:firstLineChars="200"/>
              <w:jc w:val="left"/>
              <w:rPr>
                <w:color w:val="auto"/>
                <w:szCs w:val="21"/>
              </w:rPr>
            </w:pPr>
            <w:r>
              <w:rPr>
                <w:color w:val="auto"/>
                <w:szCs w:val="21"/>
                <w:lang w:val="zh-CN"/>
              </w:rPr>
              <w:t>根据达州市生态环境局官方网站2020年6月5日发布的《2019年达州市环境状况公报》，</w:t>
            </w:r>
            <w:r>
              <w:rPr>
                <w:color w:val="auto"/>
                <w:szCs w:val="21"/>
              </w:rPr>
              <w:t>2019年全市空气质量日均值达标率为91.3%（实况），较上年提高2.9个百分点（2018年实况为88.4%）。市城区及各县（市）空气质量达标率为82.5%~97.0%，其中，宣汉县94.5%，万源市97.0%，开江县93.7%，渠县91.5%，大竹县88.8%，市城区82.5%。全市环境空气中主要污染物PM</w:t>
            </w:r>
            <w:r>
              <w:rPr>
                <w:color w:val="auto"/>
                <w:szCs w:val="21"/>
                <w:vertAlign w:val="subscript"/>
              </w:rPr>
              <w:t>10</w:t>
            </w:r>
            <w:r>
              <w:rPr>
                <w:color w:val="auto"/>
                <w:szCs w:val="21"/>
              </w:rPr>
              <w:t>、PM</w:t>
            </w:r>
            <w:r>
              <w:rPr>
                <w:color w:val="auto"/>
                <w:szCs w:val="21"/>
                <w:vertAlign w:val="subscript"/>
              </w:rPr>
              <w:t>2.</w:t>
            </w:r>
            <w:r>
              <w:rPr>
                <w:color w:val="auto"/>
                <w:szCs w:val="21"/>
              </w:rPr>
              <w:t>5和O</w:t>
            </w:r>
            <w:r>
              <w:rPr>
                <w:color w:val="auto"/>
                <w:szCs w:val="21"/>
                <w:vertAlign w:val="subscript"/>
              </w:rPr>
              <w:t>3</w:t>
            </w:r>
            <w:r>
              <w:rPr>
                <w:color w:val="auto"/>
                <w:szCs w:val="21"/>
              </w:rPr>
              <w:t>。市城区SO</w:t>
            </w:r>
            <w:r>
              <w:rPr>
                <w:color w:val="auto"/>
                <w:szCs w:val="21"/>
                <w:vertAlign w:val="subscript"/>
              </w:rPr>
              <w:t>2</w:t>
            </w:r>
            <w:r>
              <w:rPr>
                <w:color w:val="auto"/>
                <w:szCs w:val="21"/>
              </w:rPr>
              <w:t>、CO、O</w:t>
            </w:r>
            <w:r>
              <w:rPr>
                <w:color w:val="auto"/>
                <w:szCs w:val="21"/>
                <w:vertAlign w:val="subscript"/>
              </w:rPr>
              <w:t>3</w:t>
            </w:r>
            <w:r>
              <w:rPr>
                <w:color w:val="auto"/>
                <w:szCs w:val="21"/>
              </w:rPr>
              <w:t>年评价结果达标，NO</w:t>
            </w:r>
            <w:r>
              <w:rPr>
                <w:color w:val="auto"/>
                <w:szCs w:val="21"/>
                <w:vertAlign w:val="subscript"/>
              </w:rPr>
              <w:t>2</w:t>
            </w:r>
            <w:r>
              <w:rPr>
                <w:color w:val="auto"/>
                <w:szCs w:val="21"/>
              </w:rPr>
              <w:t>、PM</w:t>
            </w:r>
            <w:r>
              <w:rPr>
                <w:color w:val="auto"/>
                <w:szCs w:val="21"/>
                <w:vertAlign w:val="subscript"/>
              </w:rPr>
              <w:t>10</w:t>
            </w:r>
            <w:r>
              <w:rPr>
                <w:color w:val="auto"/>
                <w:szCs w:val="21"/>
              </w:rPr>
              <w:t>、PM</w:t>
            </w:r>
            <w:r>
              <w:rPr>
                <w:color w:val="auto"/>
                <w:szCs w:val="21"/>
                <w:vertAlign w:val="subscript"/>
              </w:rPr>
              <w:t>2.5</w:t>
            </w:r>
            <w:r>
              <w:rPr>
                <w:color w:val="auto"/>
                <w:szCs w:val="21"/>
              </w:rPr>
              <w:t>年评价结果超标；各县（市）SO</w:t>
            </w:r>
            <w:r>
              <w:rPr>
                <w:color w:val="auto"/>
                <w:szCs w:val="21"/>
                <w:vertAlign w:val="subscript"/>
              </w:rPr>
              <w:t>2</w:t>
            </w:r>
            <w:r>
              <w:rPr>
                <w:color w:val="auto"/>
                <w:szCs w:val="21"/>
              </w:rPr>
              <w:t>、NO</w:t>
            </w:r>
            <w:r>
              <w:rPr>
                <w:color w:val="auto"/>
                <w:szCs w:val="21"/>
                <w:vertAlign w:val="subscript"/>
              </w:rPr>
              <w:t>2</w:t>
            </w:r>
            <w:r>
              <w:rPr>
                <w:color w:val="auto"/>
                <w:szCs w:val="21"/>
              </w:rPr>
              <w:t>、PM</w:t>
            </w:r>
            <w:r>
              <w:rPr>
                <w:color w:val="auto"/>
                <w:szCs w:val="21"/>
                <w:vertAlign w:val="subscript"/>
              </w:rPr>
              <w:t>10</w:t>
            </w:r>
            <w:r>
              <w:rPr>
                <w:color w:val="auto"/>
                <w:szCs w:val="21"/>
              </w:rPr>
              <w:t>、CO、O</w:t>
            </w:r>
            <w:r>
              <w:rPr>
                <w:color w:val="auto"/>
                <w:szCs w:val="21"/>
                <w:vertAlign w:val="subscript"/>
              </w:rPr>
              <w:t>3</w:t>
            </w:r>
            <w:r>
              <w:rPr>
                <w:color w:val="auto"/>
                <w:szCs w:val="21"/>
              </w:rPr>
              <w:t>年评价结果均达标；PM</w:t>
            </w:r>
            <w:r>
              <w:rPr>
                <w:color w:val="auto"/>
                <w:szCs w:val="21"/>
                <w:vertAlign w:val="subscript"/>
              </w:rPr>
              <w:t>2.5</w:t>
            </w:r>
            <w:r>
              <w:rPr>
                <w:color w:val="auto"/>
                <w:szCs w:val="21"/>
              </w:rPr>
              <w:t>年评价结果除大竹县超标外，其余各县（市）均达标。</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本项目位于</w:t>
            </w:r>
            <w:r>
              <w:rPr>
                <w:rFonts w:hint="eastAsia"/>
                <w:color w:val="auto"/>
                <w:szCs w:val="21"/>
                <w:lang w:eastAsia="zh-CN"/>
              </w:rPr>
              <w:t>达州市宣汉县普光经济开发区</w:t>
            </w:r>
            <w:r>
              <w:rPr>
                <w:color w:val="auto"/>
                <w:szCs w:val="21"/>
                <w:lang w:val="zh-CN"/>
              </w:rPr>
              <w:t>，所在区域为环境空气质量</w:t>
            </w:r>
            <w:r>
              <w:rPr>
                <w:color w:val="auto"/>
                <w:szCs w:val="21"/>
              </w:rPr>
              <w:t>为</w:t>
            </w:r>
            <w:r>
              <w:rPr>
                <w:color w:val="auto"/>
                <w:szCs w:val="21"/>
                <w:lang w:val="zh-CN"/>
              </w:rPr>
              <w:t>达标区</w:t>
            </w:r>
            <w:r>
              <w:rPr>
                <w:color w:val="auto"/>
                <w:szCs w:val="21"/>
              </w:rPr>
              <w:t>。</w:t>
            </w:r>
          </w:p>
          <w:p>
            <w:pPr>
              <w:adjustRightInd w:val="0"/>
              <w:snapToGrid w:val="0"/>
              <w:spacing w:line="400" w:lineRule="exact"/>
              <w:ind w:left="-53" w:leftChars="-25" w:right="-53" w:rightChars="-25" w:firstLine="422" w:firstLineChars="200"/>
              <w:jc w:val="left"/>
              <w:rPr>
                <w:rFonts w:hint="eastAsia"/>
                <w:b/>
                <w:bCs/>
                <w:szCs w:val="21"/>
                <w:lang w:val="en-US" w:eastAsia="zh-CN"/>
              </w:rPr>
            </w:pPr>
            <w:r>
              <w:rPr>
                <w:rFonts w:hint="eastAsia"/>
                <w:b/>
                <w:bCs/>
                <w:szCs w:val="21"/>
                <w:lang w:eastAsia="zh-CN"/>
              </w:rPr>
              <w:t>（</w:t>
            </w:r>
            <w:r>
              <w:rPr>
                <w:rFonts w:hint="eastAsia"/>
                <w:b/>
                <w:bCs/>
                <w:szCs w:val="21"/>
                <w:lang w:val="en-US" w:eastAsia="zh-CN"/>
              </w:rPr>
              <w:t>2</w:t>
            </w:r>
            <w:r>
              <w:rPr>
                <w:rFonts w:hint="eastAsia"/>
                <w:b/>
                <w:bCs/>
                <w:szCs w:val="21"/>
                <w:lang w:eastAsia="zh-CN"/>
              </w:rPr>
              <w:t>）</w:t>
            </w:r>
            <w:r>
              <w:rPr>
                <w:rFonts w:hint="eastAsia"/>
                <w:b/>
                <w:bCs/>
                <w:szCs w:val="21"/>
                <w:lang w:val="en-US" w:eastAsia="zh-CN"/>
              </w:rPr>
              <w:t>补充监测</w:t>
            </w:r>
          </w:p>
          <w:p>
            <w:pPr>
              <w:adjustRightInd w:val="0"/>
              <w:snapToGrid w:val="0"/>
              <w:spacing w:line="400" w:lineRule="exact"/>
              <w:ind w:left="-53" w:leftChars="-25" w:right="-53" w:rightChars="-25" w:firstLine="420" w:firstLineChars="200"/>
              <w:jc w:val="left"/>
              <w:rPr>
                <w:szCs w:val="21"/>
              </w:rPr>
            </w:pPr>
            <w:r>
              <w:rPr>
                <w:szCs w:val="21"/>
              </w:rPr>
              <w:t>根据项目特点，对项目的特征污染物（</w:t>
            </w:r>
            <w:r>
              <w:rPr>
                <w:rFonts w:hint="eastAsia"/>
                <w:szCs w:val="21"/>
                <w:lang w:val="en-US" w:eastAsia="zh-CN"/>
              </w:rPr>
              <w:t>非甲烷总烃</w:t>
            </w:r>
            <w:r>
              <w:rPr>
                <w:szCs w:val="21"/>
              </w:rPr>
              <w:t>）引用</w:t>
            </w:r>
            <w:r>
              <w:rPr>
                <w:rFonts w:hint="eastAsia"/>
                <w:szCs w:val="21"/>
              </w:rPr>
              <w:t>四川省汉谱环境检测服务有限公司</w:t>
            </w:r>
            <w:r>
              <w:rPr>
                <w:rFonts w:hint="eastAsia"/>
                <w:szCs w:val="21"/>
                <w:lang w:val="en-US" w:eastAsia="zh-CN"/>
              </w:rPr>
              <w:t>出具的</w:t>
            </w:r>
            <w:r>
              <w:rPr>
                <w:szCs w:val="21"/>
              </w:rPr>
              <w:t>《</w:t>
            </w:r>
            <w:r>
              <w:rPr>
                <w:rFonts w:hint="eastAsia"/>
                <w:szCs w:val="21"/>
              </w:rPr>
              <w:t>达州美特思乳胶制品有限公司新建年产30万张乳胶床垫、200万只枕头、2000吨片材项目</w:t>
            </w:r>
            <w:r>
              <w:rPr>
                <w:szCs w:val="21"/>
              </w:rPr>
              <w:t>监测报告》（</w:t>
            </w:r>
            <w:r>
              <w:rPr>
                <w:rFonts w:hint="eastAsia"/>
                <w:szCs w:val="21"/>
              </w:rPr>
              <w:t>汉谱HB</w:t>
            </w:r>
            <w:r>
              <w:rPr>
                <w:szCs w:val="21"/>
              </w:rPr>
              <w:t>〔</w:t>
            </w:r>
            <w:r>
              <w:rPr>
                <w:rFonts w:hint="eastAsia"/>
                <w:szCs w:val="21"/>
                <w:lang w:val="en-US" w:eastAsia="zh-CN"/>
              </w:rPr>
              <w:t>2</w:t>
            </w:r>
            <w:r>
              <w:rPr>
                <w:rFonts w:hint="eastAsia"/>
                <w:szCs w:val="21"/>
              </w:rPr>
              <w:t>019</w:t>
            </w:r>
            <w:r>
              <w:rPr>
                <w:szCs w:val="21"/>
              </w:rPr>
              <w:t>〕</w:t>
            </w:r>
            <w:r>
              <w:rPr>
                <w:rFonts w:hint="eastAsia"/>
                <w:szCs w:val="21"/>
              </w:rPr>
              <w:t>第0036号</w:t>
            </w:r>
            <w:r>
              <w:rPr>
                <w:szCs w:val="21"/>
              </w:rPr>
              <w:t>）进行评价。</w:t>
            </w:r>
          </w:p>
          <w:p>
            <w:pPr>
              <w:adjustRightInd w:val="0"/>
              <w:snapToGrid w:val="0"/>
              <w:spacing w:line="400" w:lineRule="exact"/>
              <w:ind w:left="-53" w:leftChars="-25" w:right="-53" w:rightChars="-25" w:firstLine="420" w:firstLineChars="200"/>
              <w:jc w:val="left"/>
              <w:rPr>
                <w:szCs w:val="21"/>
              </w:rPr>
            </w:pPr>
            <w:r>
              <w:rPr>
                <w:szCs w:val="21"/>
              </w:rPr>
              <w:t>该监测点位于项目区西面（</w:t>
            </w:r>
            <w:r>
              <w:rPr>
                <w:rFonts w:hint="eastAsia"/>
                <w:szCs w:val="21"/>
                <w:lang w:val="en-US" w:eastAsia="zh-CN"/>
              </w:rPr>
              <w:t>侧</w:t>
            </w:r>
            <w:r>
              <w:rPr>
                <w:szCs w:val="21"/>
              </w:rPr>
              <w:t>风向）约</w:t>
            </w:r>
            <w:r>
              <w:rPr>
                <w:rFonts w:hint="eastAsia"/>
                <w:szCs w:val="21"/>
                <w:lang w:val="en-US" w:eastAsia="zh-CN"/>
              </w:rPr>
              <w:t>8</w:t>
            </w:r>
            <w:r>
              <w:rPr>
                <w:szCs w:val="21"/>
              </w:rPr>
              <w:t>0m，监测时间为2019年1</w:t>
            </w:r>
            <w:r>
              <w:rPr>
                <w:rFonts w:hint="eastAsia"/>
                <w:szCs w:val="21"/>
                <w:lang w:val="en-US" w:eastAsia="zh-CN"/>
              </w:rPr>
              <w:t>2</w:t>
            </w:r>
            <w:r>
              <w:rPr>
                <w:szCs w:val="21"/>
              </w:rPr>
              <w:t xml:space="preserve">月，时间间隔较短，且在这期间区域无较大的排放同类污染物的企业增加，因此引用该监测报告可行。监测结果见下表。 </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表3-1  环境空气（</w:t>
            </w:r>
            <w:r>
              <w:rPr>
                <w:rFonts w:hint="eastAsia" w:ascii="Times New Roman" w:hAnsi="Times New Roman" w:eastAsia="黑体" w:cs="Times New Roman"/>
                <w:color w:val="auto"/>
                <w:kern w:val="0"/>
                <w:sz w:val="20"/>
                <w:szCs w:val="20"/>
                <w:lang w:val="en-US" w:eastAsia="zh-CN"/>
              </w:rPr>
              <w:t>非甲烷总烃</w:t>
            </w:r>
            <w:r>
              <w:rPr>
                <w:rFonts w:hint="default" w:ascii="Times New Roman" w:hAnsi="Times New Roman" w:eastAsia="黑体" w:cs="Times New Roman"/>
                <w:color w:val="auto"/>
                <w:kern w:val="0"/>
                <w:sz w:val="20"/>
                <w:szCs w:val="20"/>
                <w:lang w:val="zh-CN" w:eastAsia="zh-CN"/>
              </w:rPr>
              <w:t>）现状评价结果表</w:t>
            </w:r>
          </w:p>
          <w:tbl>
            <w:tblPr>
              <w:tblStyle w:val="14"/>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81"/>
              <w:gridCol w:w="1550"/>
              <w:gridCol w:w="1771"/>
              <w:gridCol w:w="10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noWrap w:val="0"/>
                  <w:vAlign w:val="center"/>
                </w:tcPr>
                <w:p>
                  <w:pPr>
                    <w:adjustRightInd w:val="0"/>
                    <w:snapToGrid w:val="0"/>
                    <w:spacing w:line="260" w:lineRule="exact"/>
                    <w:ind w:left="-53" w:leftChars="-25" w:right="-53" w:rightChars="-25"/>
                    <w:jc w:val="center"/>
                    <w:rPr>
                      <w:sz w:val="18"/>
                      <w:szCs w:val="18"/>
                    </w:rPr>
                  </w:pPr>
                  <w:r>
                    <w:rPr>
                      <w:b/>
                      <w:bCs/>
                      <w:sz w:val="18"/>
                      <w:szCs w:val="18"/>
                    </w:rPr>
                    <w:t>监测点位</w:t>
                  </w:r>
                </w:p>
              </w:tc>
              <w:tc>
                <w:tcPr>
                  <w:tcW w:w="1181" w:type="dxa"/>
                  <w:noWrap w:val="0"/>
                  <w:vAlign w:val="center"/>
                </w:tcPr>
                <w:p>
                  <w:pPr>
                    <w:adjustRightInd w:val="0"/>
                    <w:snapToGrid w:val="0"/>
                    <w:spacing w:line="260" w:lineRule="exact"/>
                    <w:jc w:val="center"/>
                    <w:rPr>
                      <w:b/>
                      <w:bCs/>
                      <w:sz w:val="18"/>
                      <w:szCs w:val="18"/>
                    </w:rPr>
                  </w:pPr>
                  <w:r>
                    <w:rPr>
                      <w:b/>
                      <w:bCs/>
                      <w:sz w:val="18"/>
                      <w:szCs w:val="18"/>
                    </w:rPr>
                    <w:t>监测日期</w:t>
                  </w:r>
                </w:p>
              </w:tc>
              <w:tc>
                <w:tcPr>
                  <w:tcW w:w="1550" w:type="dxa"/>
                  <w:noWrap w:val="0"/>
                  <w:vAlign w:val="center"/>
                </w:tcPr>
                <w:p>
                  <w:pPr>
                    <w:adjustRightInd w:val="0"/>
                    <w:snapToGrid w:val="0"/>
                    <w:spacing w:line="260" w:lineRule="exact"/>
                    <w:jc w:val="center"/>
                    <w:rPr>
                      <w:rFonts w:hint="eastAsia" w:eastAsia="宋体"/>
                      <w:b/>
                      <w:bCs/>
                      <w:sz w:val="18"/>
                      <w:szCs w:val="18"/>
                      <w:lang w:eastAsia="zh-CN"/>
                    </w:rPr>
                  </w:pPr>
                  <w:r>
                    <w:rPr>
                      <w:b/>
                      <w:bCs/>
                      <w:sz w:val="18"/>
                      <w:szCs w:val="18"/>
                    </w:rPr>
                    <w:t>监测结果</w:t>
                  </w:r>
                  <w:r>
                    <w:rPr>
                      <w:rFonts w:hint="eastAsia"/>
                      <w:b/>
                      <w:bCs/>
                      <w:sz w:val="18"/>
                      <w:szCs w:val="18"/>
                      <w:lang w:eastAsia="zh-CN"/>
                    </w:rPr>
                    <w:t>（</w:t>
                  </w:r>
                  <w:r>
                    <w:rPr>
                      <w:rFonts w:hint="eastAsia"/>
                      <w:b/>
                      <w:bCs/>
                      <w:sz w:val="18"/>
                      <w:szCs w:val="18"/>
                      <w:lang w:val="en-US" w:eastAsia="zh-CN"/>
                    </w:rPr>
                    <w:t>mg/L</w:t>
                  </w:r>
                  <w:r>
                    <w:rPr>
                      <w:rFonts w:hint="eastAsia"/>
                      <w:b/>
                      <w:bCs/>
                      <w:sz w:val="18"/>
                      <w:szCs w:val="18"/>
                      <w:lang w:eastAsia="zh-CN"/>
                    </w:rPr>
                    <w:t>）</w:t>
                  </w:r>
                </w:p>
              </w:tc>
              <w:tc>
                <w:tcPr>
                  <w:tcW w:w="1771" w:type="dxa"/>
                  <w:noWrap w:val="0"/>
                  <w:vAlign w:val="center"/>
                </w:tcPr>
                <w:p>
                  <w:pPr>
                    <w:adjustRightInd w:val="0"/>
                    <w:snapToGrid w:val="0"/>
                    <w:spacing w:line="260" w:lineRule="exact"/>
                    <w:jc w:val="center"/>
                    <w:rPr>
                      <w:b/>
                      <w:bCs/>
                      <w:sz w:val="18"/>
                      <w:szCs w:val="18"/>
                    </w:rPr>
                  </w:pPr>
                  <w:r>
                    <w:rPr>
                      <w:rFonts w:hint="eastAsia"/>
                      <w:b/>
                      <w:bCs/>
                      <w:sz w:val="18"/>
                      <w:szCs w:val="18"/>
                    </w:rPr>
                    <w:t>评价</w:t>
                  </w:r>
                  <w:r>
                    <w:rPr>
                      <w:b/>
                      <w:bCs/>
                      <w:sz w:val="18"/>
                      <w:szCs w:val="18"/>
                    </w:rPr>
                    <w:t>标准（8h均值）</w:t>
                  </w:r>
                </w:p>
              </w:tc>
              <w:tc>
                <w:tcPr>
                  <w:tcW w:w="1001" w:type="dxa"/>
                  <w:noWrap w:val="0"/>
                  <w:vAlign w:val="center"/>
                </w:tcPr>
                <w:p>
                  <w:pPr>
                    <w:adjustRightInd w:val="0"/>
                    <w:snapToGrid w:val="0"/>
                    <w:spacing w:line="260" w:lineRule="exact"/>
                    <w:jc w:val="center"/>
                    <w:rPr>
                      <w:b/>
                      <w:bCs/>
                      <w:sz w:val="18"/>
                      <w:szCs w:val="18"/>
                    </w:rPr>
                  </w:pPr>
                  <w:r>
                    <w:rPr>
                      <w:b/>
                      <w:bCs/>
                      <w:sz w:val="18"/>
                      <w:szCs w:val="18"/>
                    </w:rPr>
                    <w:t>占标率</w:t>
                  </w:r>
                </w:p>
              </w:tc>
              <w:tc>
                <w:tcPr>
                  <w:tcW w:w="1285" w:type="dxa"/>
                  <w:noWrap w:val="0"/>
                  <w:vAlign w:val="center"/>
                </w:tcPr>
                <w:p>
                  <w:pPr>
                    <w:adjustRightInd w:val="0"/>
                    <w:snapToGrid w:val="0"/>
                    <w:spacing w:line="260" w:lineRule="exact"/>
                    <w:jc w:val="center"/>
                    <w:rPr>
                      <w:b/>
                      <w:bCs/>
                      <w:sz w:val="18"/>
                      <w:szCs w:val="18"/>
                    </w:rPr>
                  </w:pPr>
                  <w:r>
                    <w:rPr>
                      <w:b/>
                      <w:bCs/>
                      <w:sz w:val="18"/>
                      <w:szCs w:val="18"/>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restart"/>
                  <w:noWrap w:val="0"/>
                  <w:vAlign w:val="center"/>
                </w:tcPr>
                <w:p>
                  <w:pPr>
                    <w:adjustRightInd w:val="0"/>
                    <w:snapToGrid w:val="0"/>
                    <w:spacing w:line="260" w:lineRule="exact"/>
                    <w:ind w:left="-53" w:leftChars="-25" w:right="-53" w:rightChars="-25"/>
                    <w:jc w:val="center"/>
                    <w:rPr>
                      <w:sz w:val="18"/>
                      <w:szCs w:val="18"/>
                    </w:rPr>
                  </w:pPr>
                  <w:r>
                    <w:rPr>
                      <w:sz w:val="18"/>
                      <w:szCs w:val="18"/>
                    </w:rPr>
                    <w:t>项目区</w:t>
                  </w:r>
                  <w:r>
                    <w:rPr>
                      <w:rFonts w:hint="eastAsia"/>
                      <w:sz w:val="18"/>
                      <w:szCs w:val="18"/>
                      <w:lang w:val="en-US" w:eastAsia="zh-CN"/>
                    </w:rPr>
                    <w:t>西面</w:t>
                  </w:r>
                  <w:r>
                    <w:rPr>
                      <w:sz w:val="18"/>
                      <w:szCs w:val="18"/>
                    </w:rPr>
                    <w:t>（</w:t>
                  </w:r>
                  <w:r>
                    <w:rPr>
                      <w:rFonts w:hint="eastAsia"/>
                      <w:sz w:val="18"/>
                      <w:szCs w:val="18"/>
                    </w:rPr>
                    <w:t>美特思</w:t>
                  </w:r>
                  <w:r>
                    <w:rPr>
                      <w:rFonts w:hint="eastAsia"/>
                      <w:sz w:val="18"/>
                      <w:szCs w:val="18"/>
                      <w:lang w:val="en-US" w:eastAsia="zh-CN"/>
                    </w:rPr>
                    <w:t>公司厂区内</w:t>
                  </w:r>
                  <w:r>
                    <w:rPr>
                      <w:sz w:val="18"/>
                      <w:szCs w:val="18"/>
                    </w:rPr>
                    <w:t>）</w:t>
                  </w:r>
                </w:p>
              </w:tc>
              <w:tc>
                <w:tcPr>
                  <w:tcW w:w="1181" w:type="dxa"/>
                  <w:noWrap w:val="0"/>
                  <w:vAlign w:val="center"/>
                </w:tcPr>
                <w:p>
                  <w:pPr>
                    <w:spacing w:line="260" w:lineRule="exact"/>
                    <w:ind w:left="-105" w:leftChars="-50" w:right="-105" w:rightChars="-50"/>
                    <w:jc w:val="center"/>
                    <w:rPr>
                      <w:rFonts w:hint="default" w:eastAsia="宋体"/>
                      <w:sz w:val="18"/>
                      <w:szCs w:val="18"/>
                      <w:lang w:val="en-US" w:eastAsia="zh-CN"/>
                    </w:rPr>
                  </w:pPr>
                  <w:r>
                    <w:rPr>
                      <w:sz w:val="18"/>
                      <w:szCs w:val="18"/>
                    </w:rPr>
                    <w:t>2019.</w:t>
                  </w:r>
                  <w:r>
                    <w:rPr>
                      <w:rFonts w:hint="eastAsia"/>
                      <w:sz w:val="18"/>
                      <w:szCs w:val="18"/>
                      <w:lang w:val="en-US" w:eastAsia="zh-CN"/>
                    </w:rPr>
                    <w:t>12.2</w:t>
                  </w:r>
                </w:p>
              </w:tc>
              <w:tc>
                <w:tcPr>
                  <w:tcW w:w="1550" w:type="dxa"/>
                  <w:noWrap w:val="0"/>
                  <w:vAlign w:val="center"/>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0.47</w:t>
                  </w:r>
                </w:p>
              </w:tc>
              <w:tc>
                <w:tcPr>
                  <w:tcW w:w="1771" w:type="dxa"/>
                  <w:noWrap w:val="0"/>
                  <w:vAlign w:val="center"/>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center"/>
                </w:tcPr>
                <w:p>
                  <w:pPr>
                    <w:adjustRightInd w:val="0"/>
                    <w:snapToGrid w:val="0"/>
                    <w:spacing w:line="260" w:lineRule="exact"/>
                    <w:jc w:val="center"/>
                    <w:rPr>
                      <w:sz w:val="18"/>
                      <w:szCs w:val="18"/>
                    </w:rPr>
                  </w:pPr>
                  <w:r>
                    <w:rPr>
                      <w:rFonts w:hint="eastAsia"/>
                      <w:sz w:val="18"/>
                      <w:szCs w:val="18"/>
                      <w:lang w:val="en-US" w:eastAsia="zh-CN"/>
                    </w:rPr>
                    <w:t>23.00</w:t>
                  </w:r>
                  <w:r>
                    <w:rPr>
                      <w:sz w:val="18"/>
                      <w:szCs w:val="18"/>
                    </w:rPr>
                    <w:t>%</w:t>
                  </w:r>
                </w:p>
              </w:tc>
              <w:tc>
                <w:tcPr>
                  <w:tcW w:w="1285" w:type="dxa"/>
                  <w:noWrap w:val="0"/>
                  <w:vAlign w:val="center"/>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continue"/>
                  <w:noWrap w:val="0"/>
                  <w:vAlign w:val="center"/>
                </w:tcPr>
                <w:p>
                  <w:pPr>
                    <w:adjustRightInd w:val="0"/>
                    <w:snapToGrid w:val="0"/>
                    <w:spacing w:line="260" w:lineRule="exact"/>
                    <w:ind w:left="-53" w:leftChars="-25" w:right="-53" w:rightChars="-25"/>
                    <w:jc w:val="center"/>
                    <w:rPr>
                      <w:sz w:val="18"/>
                      <w:szCs w:val="18"/>
                    </w:rPr>
                  </w:pPr>
                </w:p>
              </w:tc>
              <w:tc>
                <w:tcPr>
                  <w:tcW w:w="1181" w:type="dxa"/>
                  <w:noWrap w:val="0"/>
                  <w:vAlign w:val="center"/>
                </w:tcPr>
                <w:p>
                  <w:pPr>
                    <w:spacing w:line="260" w:lineRule="exact"/>
                    <w:ind w:left="-105" w:leftChars="-50" w:right="-105" w:rightChars="-50"/>
                    <w:jc w:val="center"/>
                    <w:rPr>
                      <w:sz w:val="18"/>
                      <w:szCs w:val="18"/>
                    </w:rPr>
                  </w:pPr>
                  <w:r>
                    <w:rPr>
                      <w:sz w:val="18"/>
                      <w:szCs w:val="18"/>
                    </w:rPr>
                    <w:t>2019.</w:t>
                  </w:r>
                  <w:r>
                    <w:rPr>
                      <w:rFonts w:hint="eastAsia"/>
                      <w:sz w:val="18"/>
                      <w:szCs w:val="18"/>
                      <w:lang w:val="en-US" w:eastAsia="zh-CN"/>
                    </w:rPr>
                    <w:t>12.3</w:t>
                  </w:r>
                </w:p>
              </w:tc>
              <w:tc>
                <w:tcPr>
                  <w:tcW w:w="1550" w:type="dxa"/>
                  <w:noWrap w:val="0"/>
                  <w:vAlign w:val="center"/>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0.53</w:t>
                  </w:r>
                </w:p>
              </w:tc>
              <w:tc>
                <w:tcPr>
                  <w:tcW w:w="1771" w:type="dxa"/>
                  <w:noWrap w:val="0"/>
                  <w:vAlign w:val="center"/>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center"/>
                </w:tcPr>
                <w:p>
                  <w:pPr>
                    <w:adjustRightInd w:val="0"/>
                    <w:snapToGrid w:val="0"/>
                    <w:spacing w:line="260" w:lineRule="exact"/>
                    <w:jc w:val="center"/>
                    <w:rPr>
                      <w:sz w:val="18"/>
                      <w:szCs w:val="18"/>
                    </w:rPr>
                  </w:pPr>
                  <w:r>
                    <w:rPr>
                      <w:rFonts w:hint="eastAsia"/>
                      <w:sz w:val="18"/>
                      <w:szCs w:val="18"/>
                      <w:lang w:val="en-US" w:eastAsia="zh-CN"/>
                    </w:rPr>
                    <w:t>26.50</w:t>
                  </w:r>
                  <w:r>
                    <w:rPr>
                      <w:sz w:val="18"/>
                      <w:szCs w:val="18"/>
                    </w:rPr>
                    <w:t>%</w:t>
                  </w:r>
                </w:p>
              </w:tc>
              <w:tc>
                <w:tcPr>
                  <w:tcW w:w="1285" w:type="dxa"/>
                  <w:noWrap w:val="0"/>
                  <w:vAlign w:val="center"/>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continue"/>
                  <w:noWrap w:val="0"/>
                  <w:vAlign w:val="center"/>
                </w:tcPr>
                <w:p>
                  <w:pPr>
                    <w:adjustRightInd w:val="0"/>
                    <w:snapToGrid w:val="0"/>
                    <w:spacing w:line="260" w:lineRule="exact"/>
                    <w:ind w:left="-53" w:leftChars="-25" w:right="-53" w:rightChars="-25"/>
                    <w:jc w:val="center"/>
                    <w:rPr>
                      <w:sz w:val="18"/>
                      <w:szCs w:val="18"/>
                    </w:rPr>
                  </w:pPr>
                </w:p>
              </w:tc>
              <w:tc>
                <w:tcPr>
                  <w:tcW w:w="1181" w:type="dxa"/>
                  <w:noWrap w:val="0"/>
                  <w:vAlign w:val="center"/>
                </w:tcPr>
                <w:p>
                  <w:pPr>
                    <w:spacing w:line="260" w:lineRule="exact"/>
                    <w:ind w:left="-105" w:leftChars="-50" w:right="-105" w:rightChars="-50"/>
                    <w:jc w:val="center"/>
                    <w:rPr>
                      <w:sz w:val="18"/>
                      <w:szCs w:val="18"/>
                    </w:rPr>
                  </w:pPr>
                  <w:r>
                    <w:rPr>
                      <w:sz w:val="18"/>
                      <w:szCs w:val="18"/>
                    </w:rPr>
                    <w:t>2019.</w:t>
                  </w:r>
                  <w:r>
                    <w:rPr>
                      <w:rFonts w:hint="eastAsia"/>
                      <w:sz w:val="18"/>
                      <w:szCs w:val="18"/>
                      <w:lang w:val="en-US" w:eastAsia="zh-CN"/>
                    </w:rPr>
                    <w:t>12.4</w:t>
                  </w:r>
                </w:p>
              </w:tc>
              <w:tc>
                <w:tcPr>
                  <w:tcW w:w="1550" w:type="dxa"/>
                  <w:noWrap w:val="0"/>
                  <w:vAlign w:val="center"/>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0.53</w:t>
                  </w:r>
                </w:p>
              </w:tc>
              <w:tc>
                <w:tcPr>
                  <w:tcW w:w="1771" w:type="dxa"/>
                  <w:noWrap w:val="0"/>
                  <w:vAlign w:val="center"/>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center"/>
                </w:tcPr>
                <w:p>
                  <w:pPr>
                    <w:adjustRightInd w:val="0"/>
                    <w:snapToGrid w:val="0"/>
                    <w:spacing w:line="260" w:lineRule="exact"/>
                    <w:jc w:val="center"/>
                    <w:rPr>
                      <w:sz w:val="18"/>
                      <w:szCs w:val="18"/>
                    </w:rPr>
                  </w:pPr>
                  <w:r>
                    <w:rPr>
                      <w:rFonts w:hint="eastAsia"/>
                      <w:sz w:val="18"/>
                      <w:szCs w:val="18"/>
                      <w:lang w:val="en-US" w:eastAsia="zh-CN"/>
                    </w:rPr>
                    <w:t>26.5</w:t>
                  </w:r>
                  <w:r>
                    <w:rPr>
                      <w:sz w:val="18"/>
                      <w:szCs w:val="18"/>
                    </w:rPr>
                    <w:t>0%</w:t>
                  </w:r>
                </w:p>
              </w:tc>
              <w:tc>
                <w:tcPr>
                  <w:tcW w:w="1285" w:type="dxa"/>
                  <w:noWrap w:val="0"/>
                  <w:vAlign w:val="center"/>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continue"/>
                  <w:noWrap w:val="0"/>
                  <w:vAlign w:val="top"/>
                </w:tcPr>
                <w:p>
                  <w:pPr>
                    <w:adjustRightInd w:val="0"/>
                    <w:snapToGrid w:val="0"/>
                    <w:spacing w:line="260" w:lineRule="exact"/>
                    <w:ind w:left="-53" w:leftChars="-25" w:right="-53" w:rightChars="-25"/>
                    <w:jc w:val="center"/>
                    <w:rPr>
                      <w:sz w:val="18"/>
                      <w:szCs w:val="18"/>
                    </w:rPr>
                  </w:pPr>
                </w:p>
              </w:tc>
              <w:tc>
                <w:tcPr>
                  <w:tcW w:w="1181" w:type="dxa"/>
                  <w:noWrap w:val="0"/>
                  <w:vAlign w:val="center"/>
                </w:tcPr>
                <w:p>
                  <w:pPr>
                    <w:spacing w:line="260" w:lineRule="exact"/>
                    <w:ind w:left="-105" w:leftChars="-50" w:right="-105" w:rightChars="-50"/>
                    <w:jc w:val="center"/>
                    <w:rPr>
                      <w:sz w:val="18"/>
                      <w:szCs w:val="18"/>
                    </w:rPr>
                  </w:pPr>
                  <w:r>
                    <w:rPr>
                      <w:sz w:val="18"/>
                      <w:szCs w:val="18"/>
                    </w:rPr>
                    <w:t>2019.</w:t>
                  </w:r>
                  <w:r>
                    <w:rPr>
                      <w:rFonts w:hint="eastAsia"/>
                      <w:sz w:val="18"/>
                      <w:szCs w:val="18"/>
                      <w:lang w:val="en-US" w:eastAsia="zh-CN"/>
                    </w:rPr>
                    <w:t>12.5</w:t>
                  </w:r>
                </w:p>
              </w:tc>
              <w:tc>
                <w:tcPr>
                  <w:tcW w:w="1550" w:type="dxa"/>
                  <w:noWrap w:val="0"/>
                  <w:vAlign w:val="top"/>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0.45</w:t>
                  </w:r>
                </w:p>
              </w:tc>
              <w:tc>
                <w:tcPr>
                  <w:tcW w:w="1771" w:type="dxa"/>
                  <w:noWrap w:val="0"/>
                  <w:vAlign w:val="top"/>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top"/>
                </w:tcPr>
                <w:p>
                  <w:pPr>
                    <w:adjustRightInd w:val="0"/>
                    <w:snapToGrid w:val="0"/>
                    <w:spacing w:line="260" w:lineRule="exact"/>
                    <w:jc w:val="center"/>
                    <w:rPr>
                      <w:sz w:val="18"/>
                      <w:szCs w:val="18"/>
                    </w:rPr>
                  </w:pPr>
                  <w:r>
                    <w:rPr>
                      <w:rFonts w:hint="eastAsia"/>
                      <w:sz w:val="18"/>
                      <w:szCs w:val="18"/>
                      <w:lang w:val="en-US" w:eastAsia="zh-CN"/>
                    </w:rPr>
                    <w:t>22.50</w:t>
                  </w:r>
                  <w:r>
                    <w:rPr>
                      <w:sz w:val="18"/>
                      <w:szCs w:val="18"/>
                    </w:rPr>
                    <w:t>%</w:t>
                  </w:r>
                </w:p>
              </w:tc>
              <w:tc>
                <w:tcPr>
                  <w:tcW w:w="1285" w:type="dxa"/>
                  <w:noWrap w:val="0"/>
                  <w:vAlign w:val="top"/>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continue"/>
                  <w:noWrap w:val="0"/>
                  <w:vAlign w:val="top"/>
                </w:tcPr>
                <w:p>
                  <w:pPr>
                    <w:adjustRightInd w:val="0"/>
                    <w:snapToGrid w:val="0"/>
                    <w:spacing w:line="260" w:lineRule="exact"/>
                    <w:ind w:left="-53" w:leftChars="-25" w:right="-53" w:rightChars="-25"/>
                    <w:jc w:val="center"/>
                    <w:rPr>
                      <w:sz w:val="18"/>
                      <w:szCs w:val="18"/>
                    </w:rPr>
                  </w:pPr>
                </w:p>
              </w:tc>
              <w:tc>
                <w:tcPr>
                  <w:tcW w:w="1181" w:type="dxa"/>
                  <w:noWrap w:val="0"/>
                  <w:vAlign w:val="center"/>
                </w:tcPr>
                <w:p>
                  <w:pPr>
                    <w:spacing w:line="260" w:lineRule="exact"/>
                    <w:ind w:left="-105" w:leftChars="-50" w:right="-105" w:rightChars="-50"/>
                    <w:jc w:val="center"/>
                    <w:rPr>
                      <w:sz w:val="18"/>
                      <w:szCs w:val="18"/>
                    </w:rPr>
                  </w:pPr>
                  <w:r>
                    <w:rPr>
                      <w:sz w:val="18"/>
                      <w:szCs w:val="18"/>
                    </w:rPr>
                    <w:t>2019.</w:t>
                  </w:r>
                  <w:r>
                    <w:rPr>
                      <w:rFonts w:hint="eastAsia"/>
                      <w:sz w:val="18"/>
                      <w:szCs w:val="18"/>
                      <w:lang w:val="en-US" w:eastAsia="zh-CN"/>
                    </w:rPr>
                    <w:t>12.6</w:t>
                  </w:r>
                </w:p>
              </w:tc>
              <w:tc>
                <w:tcPr>
                  <w:tcW w:w="1550" w:type="dxa"/>
                  <w:noWrap w:val="0"/>
                  <w:vAlign w:val="top"/>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0.43</w:t>
                  </w:r>
                </w:p>
              </w:tc>
              <w:tc>
                <w:tcPr>
                  <w:tcW w:w="1771" w:type="dxa"/>
                  <w:noWrap w:val="0"/>
                  <w:vAlign w:val="top"/>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top"/>
                </w:tcPr>
                <w:p>
                  <w:pPr>
                    <w:adjustRightInd w:val="0"/>
                    <w:snapToGrid w:val="0"/>
                    <w:spacing w:line="260" w:lineRule="exact"/>
                    <w:jc w:val="center"/>
                    <w:rPr>
                      <w:sz w:val="18"/>
                      <w:szCs w:val="18"/>
                    </w:rPr>
                  </w:pPr>
                  <w:r>
                    <w:rPr>
                      <w:rFonts w:hint="eastAsia"/>
                      <w:sz w:val="18"/>
                      <w:szCs w:val="18"/>
                      <w:lang w:val="en-US" w:eastAsia="zh-CN"/>
                    </w:rPr>
                    <w:t>21.50</w:t>
                  </w:r>
                  <w:r>
                    <w:rPr>
                      <w:sz w:val="18"/>
                      <w:szCs w:val="18"/>
                    </w:rPr>
                    <w:t>%</w:t>
                  </w:r>
                </w:p>
              </w:tc>
              <w:tc>
                <w:tcPr>
                  <w:tcW w:w="1285" w:type="dxa"/>
                  <w:noWrap w:val="0"/>
                  <w:vAlign w:val="top"/>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continue"/>
                  <w:noWrap w:val="0"/>
                  <w:vAlign w:val="top"/>
                </w:tcPr>
                <w:p>
                  <w:pPr>
                    <w:adjustRightInd w:val="0"/>
                    <w:snapToGrid w:val="0"/>
                    <w:spacing w:line="260" w:lineRule="exact"/>
                    <w:ind w:left="-53" w:leftChars="-25" w:right="-53" w:rightChars="-25"/>
                    <w:jc w:val="center"/>
                    <w:rPr>
                      <w:sz w:val="18"/>
                      <w:szCs w:val="18"/>
                    </w:rPr>
                  </w:pPr>
                </w:p>
              </w:tc>
              <w:tc>
                <w:tcPr>
                  <w:tcW w:w="1181" w:type="dxa"/>
                  <w:noWrap w:val="0"/>
                  <w:vAlign w:val="center"/>
                </w:tcPr>
                <w:p>
                  <w:pPr>
                    <w:spacing w:line="260" w:lineRule="exact"/>
                    <w:ind w:left="-105" w:leftChars="-50" w:right="-105" w:rightChars="-50"/>
                    <w:jc w:val="center"/>
                    <w:rPr>
                      <w:sz w:val="18"/>
                      <w:szCs w:val="18"/>
                    </w:rPr>
                  </w:pPr>
                  <w:r>
                    <w:rPr>
                      <w:sz w:val="18"/>
                      <w:szCs w:val="18"/>
                    </w:rPr>
                    <w:t>2019.</w:t>
                  </w:r>
                  <w:r>
                    <w:rPr>
                      <w:rFonts w:hint="eastAsia"/>
                      <w:sz w:val="18"/>
                      <w:szCs w:val="18"/>
                      <w:lang w:val="en-US" w:eastAsia="zh-CN"/>
                    </w:rPr>
                    <w:t>12.7</w:t>
                  </w:r>
                </w:p>
              </w:tc>
              <w:tc>
                <w:tcPr>
                  <w:tcW w:w="1550" w:type="dxa"/>
                  <w:noWrap w:val="0"/>
                  <w:vAlign w:val="top"/>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0.43</w:t>
                  </w:r>
                </w:p>
              </w:tc>
              <w:tc>
                <w:tcPr>
                  <w:tcW w:w="1771" w:type="dxa"/>
                  <w:noWrap w:val="0"/>
                  <w:vAlign w:val="top"/>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top"/>
                </w:tcPr>
                <w:p>
                  <w:pPr>
                    <w:adjustRightInd w:val="0"/>
                    <w:snapToGrid w:val="0"/>
                    <w:spacing w:line="260" w:lineRule="exact"/>
                    <w:jc w:val="center"/>
                    <w:rPr>
                      <w:sz w:val="18"/>
                      <w:szCs w:val="18"/>
                    </w:rPr>
                  </w:pPr>
                  <w:r>
                    <w:rPr>
                      <w:rFonts w:hint="eastAsia"/>
                      <w:sz w:val="18"/>
                      <w:szCs w:val="18"/>
                      <w:lang w:val="en-US" w:eastAsia="zh-CN"/>
                    </w:rPr>
                    <w:t>21.50</w:t>
                  </w:r>
                  <w:r>
                    <w:rPr>
                      <w:sz w:val="18"/>
                      <w:szCs w:val="18"/>
                    </w:rPr>
                    <w:t>%</w:t>
                  </w:r>
                </w:p>
              </w:tc>
              <w:tc>
                <w:tcPr>
                  <w:tcW w:w="1285" w:type="dxa"/>
                  <w:noWrap w:val="0"/>
                  <w:vAlign w:val="top"/>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2" w:type="dxa"/>
                  <w:vMerge w:val="continue"/>
                  <w:noWrap w:val="0"/>
                  <w:vAlign w:val="top"/>
                </w:tcPr>
                <w:p>
                  <w:pPr>
                    <w:adjustRightInd w:val="0"/>
                    <w:snapToGrid w:val="0"/>
                    <w:spacing w:line="260" w:lineRule="exact"/>
                    <w:ind w:left="-53" w:leftChars="-25" w:right="-53" w:rightChars="-25"/>
                    <w:jc w:val="center"/>
                    <w:rPr>
                      <w:sz w:val="18"/>
                      <w:szCs w:val="18"/>
                    </w:rPr>
                  </w:pPr>
                </w:p>
              </w:tc>
              <w:tc>
                <w:tcPr>
                  <w:tcW w:w="1181" w:type="dxa"/>
                  <w:noWrap w:val="0"/>
                  <w:vAlign w:val="center"/>
                </w:tcPr>
                <w:p>
                  <w:pPr>
                    <w:spacing w:line="260" w:lineRule="exact"/>
                    <w:ind w:left="-105" w:leftChars="-50" w:right="-105" w:rightChars="-50"/>
                    <w:jc w:val="center"/>
                    <w:rPr>
                      <w:sz w:val="18"/>
                      <w:szCs w:val="18"/>
                    </w:rPr>
                  </w:pPr>
                  <w:r>
                    <w:rPr>
                      <w:sz w:val="18"/>
                      <w:szCs w:val="18"/>
                    </w:rPr>
                    <w:t>2019.</w:t>
                  </w:r>
                  <w:r>
                    <w:rPr>
                      <w:rFonts w:hint="eastAsia"/>
                      <w:sz w:val="18"/>
                      <w:szCs w:val="18"/>
                      <w:lang w:val="en-US" w:eastAsia="zh-CN"/>
                    </w:rPr>
                    <w:t>12.8</w:t>
                  </w:r>
                </w:p>
              </w:tc>
              <w:tc>
                <w:tcPr>
                  <w:tcW w:w="1550" w:type="dxa"/>
                  <w:noWrap w:val="0"/>
                  <w:vAlign w:val="top"/>
                </w:tcPr>
                <w:p>
                  <w:pPr>
                    <w:spacing w:line="260" w:lineRule="exact"/>
                    <w:ind w:left="-105" w:leftChars="-50" w:right="-105" w:rightChars="-50"/>
                    <w:jc w:val="center"/>
                    <w:rPr>
                      <w:rFonts w:hint="default" w:eastAsia="宋体"/>
                      <w:sz w:val="18"/>
                      <w:szCs w:val="18"/>
                      <w:lang w:val="en-US" w:eastAsia="zh-CN"/>
                    </w:rPr>
                  </w:pPr>
                  <w:r>
                    <w:rPr>
                      <w:rFonts w:hint="eastAsia"/>
                      <w:sz w:val="18"/>
                      <w:szCs w:val="18"/>
                      <w:lang w:val="en-US" w:eastAsia="zh-CN"/>
                    </w:rPr>
                    <w:t>0.36</w:t>
                  </w:r>
                </w:p>
              </w:tc>
              <w:tc>
                <w:tcPr>
                  <w:tcW w:w="1771" w:type="dxa"/>
                  <w:noWrap w:val="0"/>
                  <w:vAlign w:val="top"/>
                </w:tcPr>
                <w:p>
                  <w:pPr>
                    <w:adjustRightInd w:val="0"/>
                    <w:snapToGrid w:val="0"/>
                    <w:spacing w:line="260" w:lineRule="exact"/>
                    <w:jc w:val="center"/>
                    <w:rPr>
                      <w:sz w:val="18"/>
                      <w:szCs w:val="18"/>
                    </w:rPr>
                  </w:pPr>
                  <w:r>
                    <w:rPr>
                      <w:rFonts w:hint="eastAsia"/>
                      <w:sz w:val="18"/>
                      <w:szCs w:val="18"/>
                      <w:lang w:val="en-US" w:eastAsia="zh-CN"/>
                    </w:rPr>
                    <w:t>2.0m</w:t>
                  </w:r>
                  <w:r>
                    <w:rPr>
                      <w:sz w:val="18"/>
                      <w:szCs w:val="18"/>
                    </w:rPr>
                    <w:t>g/m</w:t>
                  </w:r>
                  <w:r>
                    <w:rPr>
                      <w:sz w:val="18"/>
                      <w:szCs w:val="18"/>
                      <w:vertAlign w:val="superscript"/>
                    </w:rPr>
                    <w:t>3</w:t>
                  </w:r>
                </w:p>
              </w:tc>
              <w:tc>
                <w:tcPr>
                  <w:tcW w:w="1001" w:type="dxa"/>
                  <w:noWrap w:val="0"/>
                  <w:vAlign w:val="top"/>
                </w:tcPr>
                <w:p>
                  <w:pPr>
                    <w:adjustRightInd w:val="0"/>
                    <w:snapToGrid w:val="0"/>
                    <w:spacing w:line="260" w:lineRule="exact"/>
                    <w:jc w:val="center"/>
                    <w:rPr>
                      <w:sz w:val="18"/>
                      <w:szCs w:val="18"/>
                    </w:rPr>
                  </w:pPr>
                  <w:r>
                    <w:rPr>
                      <w:rFonts w:hint="eastAsia"/>
                      <w:sz w:val="18"/>
                      <w:szCs w:val="18"/>
                      <w:lang w:val="en-US" w:eastAsia="zh-CN"/>
                    </w:rPr>
                    <w:t>18.00</w:t>
                  </w:r>
                  <w:r>
                    <w:rPr>
                      <w:sz w:val="18"/>
                      <w:szCs w:val="18"/>
                    </w:rPr>
                    <w:t>%</w:t>
                  </w:r>
                </w:p>
              </w:tc>
              <w:tc>
                <w:tcPr>
                  <w:tcW w:w="1285" w:type="dxa"/>
                  <w:noWrap w:val="0"/>
                  <w:vAlign w:val="top"/>
                </w:tcPr>
                <w:p>
                  <w:pPr>
                    <w:adjustRightInd w:val="0"/>
                    <w:snapToGrid w:val="0"/>
                    <w:spacing w:line="2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980" w:type="dxa"/>
                  <w:gridSpan w:val="6"/>
                  <w:noWrap w:val="0"/>
                  <w:vAlign w:val="center"/>
                </w:tcPr>
                <w:p>
                  <w:pPr>
                    <w:adjustRightInd w:val="0"/>
                    <w:snapToGrid w:val="0"/>
                    <w:spacing w:line="260" w:lineRule="exact"/>
                    <w:jc w:val="both"/>
                    <w:rPr>
                      <w:b/>
                      <w:bCs/>
                      <w:color w:val="auto"/>
                      <w:sz w:val="18"/>
                      <w:szCs w:val="18"/>
                    </w:rPr>
                  </w:pPr>
                  <w:r>
                    <w:rPr>
                      <w:rFonts w:hint="eastAsia"/>
                      <w:b/>
                      <w:bCs/>
                      <w:color w:val="auto"/>
                      <w:sz w:val="18"/>
                      <w:szCs w:val="18"/>
                    </w:rPr>
                    <w:t>评价标准：</w:t>
                  </w:r>
                  <w:r>
                    <w:rPr>
                      <w:rFonts w:hint="eastAsia"/>
                      <w:color w:val="auto"/>
                      <w:sz w:val="18"/>
                      <w:szCs w:val="18"/>
                    </w:rPr>
                    <w:t>采用《大气污染物综合排放标准详解》</w:t>
                  </w:r>
                  <w:r>
                    <w:rPr>
                      <w:rFonts w:hint="eastAsia"/>
                      <w:color w:val="auto"/>
                      <w:sz w:val="18"/>
                      <w:szCs w:val="18"/>
                      <w:lang w:val="en-US" w:eastAsia="zh-CN"/>
                    </w:rPr>
                    <w:t>中的</w:t>
                  </w:r>
                  <w:r>
                    <w:rPr>
                      <w:rFonts w:hint="eastAsia"/>
                      <w:color w:val="auto"/>
                      <w:sz w:val="18"/>
                      <w:szCs w:val="18"/>
                    </w:rPr>
                    <w:t>2.0mg/m</w:t>
                  </w:r>
                  <w:r>
                    <w:rPr>
                      <w:rFonts w:hint="eastAsia"/>
                      <w:color w:val="auto"/>
                      <w:sz w:val="18"/>
                      <w:szCs w:val="18"/>
                      <w:vertAlign w:val="superscript"/>
                    </w:rPr>
                    <w:t>3</w:t>
                  </w:r>
                  <w:r>
                    <w:rPr>
                      <w:rFonts w:hint="eastAsia"/>
                      <w:color w:val="auto"/>
                      <w:sz w:val="18"/>
                      <w:szCs w:val="18"/>
                    </w:rPr>
                    <w:t>作为参考浓度限值。</w:t>
                  </w:r>
                </w:p>
              </w:tc>
            </w:tr>
          </w:tbl>
          <w:p>
            <w:pPr>
              <w:autoSpaceDE w:val="0"/>
              <w:autoSpaceDN w:val="0"/>
              <w:adjustRightInd w:val="0"/>
              <w:snapToGrid w:val="0"/>
              <w:spacing w:line="400" w:lineRule="exact"/>
              <w:ind w:right="-31" w:rightChars="-15" w:firstLine="420" w:firstLineChars="200"/>
              <w:rPr>
                <w:rFonts w:hint="eastAsia" w:eastAsia="宋体"/>
                <w:szCs w:val="21"/>
                <w:lang w:eastAsia="zh-CN"/>
              </w:rPr>
            </w:pPr>
            <w:r>
              <w:rPr>
                <w:szCs w:val="21"/>
              </w:rPr>
              <w:t>由上表可见，项目区环境空气中项目特征因子</w:t>
            </w:r>
            <w:r>
              <w:rPr>
                <w:rFonts w:hint="eastAsia"/>
                <w:szCs w:val="21"/>
                <w:lang w:val="en-US" w:eastAsia="zh-CN"/>
              </w:rPr>
              <w:t>非甲烷总烃</w:t>
            </w:r>
            <w:r>
              <w:rPr>
                <w:szCs w:val="21"/>
              </w:rPr>
              <w:t>的占标率均小于100%。说明项目所在地环境空气质量（</w:t>
            </w:r>
            <w:r>
              <w:rPr>
                <w:rFonts w:hint="eastAsia"/>
                <w:szCs w:val="21"/>
                <w:lang w:val="en-US" w:eastAsia="zh-CN"/>
              </w:rPr>
              <w:t>非甲烷总烃</w:t>
            </w:r>
            <w:r>
              <w:rPr>
                <w:szCs w:val="21"/>
              </w:rPr>
              <w:t>）能够满足相关要求</w:t>
            </w:r>
            <w:r>
              <w:rPr>
                <w:rFonts w:hint="eastAsia"/>
                <w:szCs w:val="21"/>
                <w:lang w:eastAsia="zh-CN"/>
              </w:rPr>
              <w:t>。</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2、地表水环境</w:t>
            </w:r>
          </w:p>
          <w:p>
            <w:pPr>
              <w:adjustRightInd w:val="0"/>
              <w:snapToGrid w:val="0"/>
              <w:spacing w:line="400" w:lineRule="exact"/>
              <w:ind w:left="-53" w:leftChars="-25" w:right="-53" w:rightChars="-25" w:firstLine="420" w:firstLineChars="200"/>
              <w:jc w:val="left"/>
              <w:rPr>
                <w:color w:val="auto"/>
                <w:szCs w:val="21"/>
              </w:rPr>
            </w:pPr>
            <w:r>
              <w:rPr>
                <w:color w:val="auto"/>
                <w:szCs w:val="21"/>
              </w:rPr>
              <w:t>根据调查，项目周围的地表水体为</w:t>
            </w:r>
            <w:r>
              <w:rPr>
                <w:rFonts w:hint="eastAsia"/>
                <w:color w:val="auto"/>
                <w:szCs w:val="21"/>
                <w:lang w:val="en-US" w:eastAsia="zh-CN"/>
              </w:rPr>
              <w:t>后河</w:t>
            </w:r>
            <w:r>
              <w:rPr>
                <w:color w:val="auto"/>
                <w:szCs w:val="21"/>
              </w:rPr>
              <w:t>，项目区域地表水环境质量引用</w:t>
            </w:r>
            <w:r>
              <w:rPr>
                <w:rFonts w:hint="eastAsia"/>
                <w:color w:val="auto"/>
                <w:szCs w:val="21"/>
              </w:rPr>
              <w:t>四川省汉谱环境检测服务有限公司</w:t>
            </w:r>
            <w:r>
              <w:rPr>
                <w:rFonts w:hint="eastAsia"/>
                <w:color w:val="auto"/>
                <w:szCs w:val="21"/>
                <w:lang w:val="en-US" w:eastAsia="zh-CN"/>
              </w:rPr>
              <w:t>出具的</w:t>
            </w:r>
            <w:r>
              <w:rPr>
                <w:color w:val="auto"/>
                <w:szCs w:val="21"/>
              </w:rPr>
              <w:t>《</w:t>
            </w:r>
            <w:r>
              <w:rPr>
                <w:rFonts w:hint="eastAsia"/>
                <w:color w:val="auto"/>
                <w:szCs w:val="21"/>
              </w:rPr>
              <w:t>达州美特思乳胶制品有限公司新建年产30万张乳胶床垫、200万只枕头、2000吨片材项目</w:t>
            </w:r>
            <w:r>
              <w:rPr>
                <w:color w:val="auto"/>
                <w:szCs w:val="21"/>
              </w:rPr>
              <w:t>监测报告》（</w:t>
            </w:r>
            <w:r>
              <w:rPr>
                <w:rFonts w:hint="eastAsia"/>
                <w:color w:val="auto"/>
                <w:szCs w:val="21"/>
              </w:rPr>
              <w:t>汉谱HB</w:t>
            </w:r>
            <w:r>
              <w:rPr>
                <w:color w:val="auto"/>
                <w:szCs w:val="21"/>
              </w:rPr>
              <w:t>〔</w:t>
            </w:r>
            <w:r>
              <w:rPr>
                <w:rFonts w:hint="eastAsia"/>
                <w:color w:val="auto"/>
                <w:szCs w:val="21"/>
                <w:lang w:val="en-US" w:eastAsia="zh-CN"/>
              </w:rPr>
              <w:t>2</w:t>
            </w:r>
            <w:r>
              <w:rPr>
                <w:rFonts w:hint="eastAsia"/>
                <w:color w:val="auto"/>
                <w:szCs w:val="21"/>
              </w:rPr>
              <w:t>019</w:t>
            </w:r>
            <w:r>
              <w:rPr>
                <w:color w:val="auto"/>
                <w:szCs w:val="21"/>
              </w:rPr>
              <w:t>〕</w:t>
            </w:r>
            <w:r>
              <w:rPr>
                <w:rFonts w:hint="eastAsia"/>
                <w:color w:val="auto"/>
                <w:szCs w:val="21"/>
              </w:rPr>
              <w:t>第0036号</w:t>
            </w:r>
            <w:r>
              <w:rPr>
                <w:color w:val="auto"/>
                <w:szCs w:val="21"/>
              </w:rPr>
              <w:t>）进行评价。</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达州美特思乳胶制品有限公司</w:t>
            </w:r>
            <w:r>
              <w:rPr>
                <w:rFonts w:hint="eastAsia"/>
                <w:color w:val="auto"/>
                <w:szCs w:val="21"/>
                <w:lang w:eastAsia="zh-CN"/>
              </w:rPr>
              <w:t>“</w:t>
            </w:r>
            <w:r>
              <w:rPr>
                <w:rFonts w:hint="eastAsia"/>
                <w:color w:val="auto"/>
                <w:szCs w:val="21"/>
              </w:rPr>
              <w:t>新建年产30万张乳胶床垫、200万只枕头、2000吨片材项目项目</w:t>
            </w:r>
            <w:r>
              <w:rPr>
                <w:rFonts w:hint="eastAsia"/>
                <w:color w:val="auto"/>
                <w:szCs w:val="21"/>
                <w:lang w:eastAsia="zh-CN"/>
              </w:rPr>
              <w:t>”</w:t>
            </w:r>
            <w:r>
              <w:rPr>
                <w:rFonts w:hint="eastAsia"/>
                <w:color w:val="auto"/>
                <w:szCs w:val="21"/>
                <w:lang w:val="en-US" w:eastAsia="zh-CN"/>
              </w:rPr>
              <w:t>位于本项目西面约55m处，废水均是经园区污水管道收集后排至园区污水厂，最后排至后河。四川省汉谱环境检测服务有限公司于2020年1月2日~3日对园区污水厂废水排放口上下游进行了采样监测，共监测了pH、COD、BOD</w:t>
            </w:r>
            <w:r>
              <w:rPr>
                <w:rFonts w:hint="eastAsia"/>
                <w:color w:val="auto"/>
                <w:szCs w:val="21"/>
                <w:vertAlign w:val="subscript"/>
                <w:lang w:val="en-US" w:eastAsia="zh-CN"/>
              </w:rPr>
              <w:t>5</w:t>
            </w:r>
            <w:r>
              <w:rPr>
                <w:rFonts w:hint="eastAsia"/>
                <w:color w:val="auto"/>
                <w:szCs w:val="21"/>
                <w:lang w:val="en-US" w:eastAsia="zh-CN"/>
              </w:rPr>
              <w:t>、NH</w:t>
            </w:r>
            <w:r>
              <w:rPr>
                <w:rFonts w:hint="eastAsia"/>
                <w:color w:val="auto"/>
                <w:szCs w:val="21"/>
                <w:vertAlign w:val="subscript"/>
                <w:lang w:val="en-US" w:eastAsia="zh-CN"/>
              </w:rPr>
              <w:t>3</w:t>
            </w:r>
            <w:r>
              <w:rPr>
                <w:rFonts w:hint="eastAsia"/>
                <w:color w:val="auto"/>
                <w:szCs w:val="21"/>
                <w:lang w:val="en-US" w:eastAsia="zh-CN"/>
              </w:rPr>
              <w:t>-N、TP、锌6项。监测结果及</w:t>
            </w:r>
            <w:r>
              <w:rPr>
                <w:rFonts w:hint="eastAsia"/>
                <w:color w:val="auto"/>
                <w:szCs w:val="21"/>
              </w:rPr>
              <w:t>评价结果</w:t>
            </w:r>
            <w:r>
              <w:rPr>
                <w:color w:val="auto"/>
                <w:szCs w:val="21"/>
                <w:lang w:val="zh-CN"/>
              </w:rPr>
              <w:t>详见下表。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表3-</w:t>
            </w:r>
            <w:r>
              <w:rPr>
                <w:rFonts w:hint="eastAsia" w:ascii="Times New Roman" w:hAnsi="Times New Roman"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lang w:val="zh-CN" w:eastAsia="zh-CN"/>
              </w:rPr>
              <w:t xml:space="preserve">  地表水环境质量评价结果</w:t>
            </w:r>
          </w:p>
          <w:tbl>
            <w:tblPr>
              <w:tblStyle w:val="14"/>
              <w:tblW w:w="7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200"/>
              <w:gridCol w:w="958"/>
              <w:gridCol w:w="1234"/>
              <w:gridCol w:w="938"/>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78" w:type="dxa"/>
                  <w:vMerge w:val="restart"/>
                  <w:noWrap w:val="0"/>
                  <w:vAlign w:val="center"/>
                </w:tcPr>
                <w:p>
                  <w:pPr>
                    <w:spacing w:line="280" w:lineRule="exact"/>
                    <w:ind w:left="-53" w:leftChars="-25" w:right="-53" w:rightChars="-25"/>
                    <w:jc w:val="center"/>
                    <w:rPr>
                      <w:b/>
                      <w:bCs/>
                      <w:color w:val="auto"/>
                      <w:sz w:val="18"/>
                      <w:szCs w:val="18"/>
                    </w:rPr>
                  </w:pPr>
                  <w:r>
                    <w:rPr>
                      <w:b/>
                      <w:bCs/>
                      <w:color w:val="auto"/>
                      <w:sz w:val="18"/>
                      <w:szCs w:val="18"/>
                    </w:rPr>
                    <w:t>项 目</w:t>
                  </w:r>
                </w:p>
              </w:tc>
              <w:tc>
                <w:tcPr>
                  <w:tcW w:w="2158" w:type="dxa"/>
                  <w:gridSpan w:val="2"/>
                  <w:noWrap w:val="0"/>
                  <w:vAlign w:val="center"/>
                </w:tcPr>
                <w:p>
                  <w:pPr>
                    <w:spacing w:line="280" w:lineRule="exact"/>
                    <w:ind w:left="-53" w:leftChars="-25" w:right="-53" w:rightChars="-25"/>
                    <w:jc w:val="center"/>
                    <w:rPr>
                      <w:b/>
                      <w:bCs/>
                      <w:color w:val="auto"/>
                      <w:sz w:val="18"/>
                      <w:szCs w:val="18"/>
                    </w:rPr>
                  </w:pPr>
                  <w:r>
                    <w:rPr>
                      <w:rFonts w:hint="eastAsia"/>
                      <w:b/>
                      <w:bCs/>
                      <w:color w:val="auto"/>
                      <w:sz w:val="18"/>
                      <w:szCs w:val="18"/>
                    </w:rPr>
                    <w:t>监测结果（mg/L）</w:t>
                  </w:r>
                </w:p>
              </w:tc>
              <w:tc>
                <w:tcPr>
                  <w:tcW w:w="1234" w:type="dxa"/>
                  <w:vMerge w:val="restart"/>
                  <w:noWrap w:val="0"/>
                  <w:vAlign w:val="center"/>
                </w:tcPr>
                <w:p>
                  <w:pPr>
                    <w:spacing w:line="280" w:lineRule="exact"/>
                    <w:ind w:left="-199" w:leftChars="-95" w:right="-235" w:rightChars="-112"/>
                    <w:jc w:val="center"/>
                    <w:rPr>
                      <w:rFonts w:hint="eastAsia"/>
                      <w:b/>
                      <w:bCs/>
                      <w:color w:val="auto"/>
                      <w:sz w:val="18"/>
                      <w:szCs w:val="18"/>
                    </w:rPr>
                  </w:pPr>
                  <w:r>
                    <w:rPr>
                      <w:rFonts w:hint="eastAsia"/>
                      <w:b/>
                      <w:bCs/>
                      <w:color w:val="auto"/>
                      <w:sz w:val="18"/>
                      <w:szCs w:val="18"/>
                    </w:rPr>
                    <w:t>评价结果</w:t>
                  </w:r>
                </w:p>
                <w:p>
                  <w:pPr>
                    <w:spacing w:line="280" w:lineRule="exact"/>
                    <w:ind w:left="-199" w:leftChars="-95" w:right="-235" w:rightChars="-112"/>
                    <w:jc w:val="center"/>
                    <w:rPr>
                      <w:rFonts w:hint="eastAsia"/>
                      <w:b/>
                      <w:bCs/>
                      <w:color w:val="auto"/>
                      <w:sz w:val="18"/>
                      <w:szCs w:val="18"/>
                    </w:rPr>
                  </w:pPr>
                  <w:r>
                    <w:rPr>
                      <w:rFonts w:hint="eastAsia"/>
                      <w:b/>
                      <w:bCs/>
                      <w:color w:val="auto"/>
                      <w:sz w:val="18"/>
                      <w:szCs w:val="18"/>
                    </w:rPr>
                    <w:t>（单项指数）</w:t>
                  </w:r>
                </w:p>
              </w:tc>
              <w:tc>
                <w:tcPr>
                  <w:tcW w:w="938" w:type="dxa"/>
                  <w:vMerge w:val="restart"/>
                  <w:noWrap w:val="0"/>
                  <w:vAlign w:val="center"/>
                </w:tcPr>
                <w:p>
                  <w:pPr>
                    <w:spacing w:line="280" w:lineRule="exact"/>
                    <w:ind w:left="-53" w:leftChars="-25" w:right="-53" w:rightChars="-25"/>
                    <w:jc w:val="center"/>
                    <w:rPr>
                      <w:b/>
                      <w:bCs/>
                      <w:color w:val="auto"/>
                      <w:sz w:val="18"/>
                      <w:szCs w:val="18"/>
                    </w:rPr>
                  </w:pPr>
                  <w:r>
                    <w:rPr>
                      <w:rFonts w:hint="eastAsia"/>
                      <w:b/>
                      <w:bCs/>
                      <w:color w:val="auto"/>
                      <w:sz w:val="18"/>
                      <w:szCs w:val="18"/>
                    </w:rPr>
                    <w:t>超标率%</w:t>
                  </w:r>
                </w:p>
              </w:tc>
              <w:tc>
                <w:tcPr>
                  <w:tcW w:w="1465" w:type="dxa"/>
                  <w:vMerge w:val="restart"/>
                  <w:noWrap w:val="0"/>
                  <w:vAlign w:val="center"/>
                </w:tcPr>
                <w:p>
                  <w:pPr>
                    <w:spacing w:line="280" w:lineRule="exact"/>
                    <w:ind w:left="-53" w:leftChars="-25" w:right="-53" w:rightChars="-25"/>
                    <w:jc w:val="center"/>
                    <w:rPr>
                      <w:b/>
                      <w:bCs/>
                      <w:color w:val="auto"/>
                      <w:sz w:val="18"/>
                      <w:szCs w:val="18"/>
                    </w:rPr>
                  </w:pPr>
                  <w:r>
                    <w:rPr>
                      <w:rFonts w:hint="eastAsia"/>
                      <w:b/>
                      <w:bCs/>
                      <w:color w:val="auto"/>
                      <w:sz w:val="18"/>
                      <w:szCs w:val="18"/>
                    </w:rPr>
                    <w:t>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78" w:type="dxa"/>
                  <w:vMerge w:val="continue"/>
                  <w:noWrap w:val="0"/>
                  <w:vAlign w:val="center"/>
                </w:tcPr>
                <w:p>
                  <w:pPr>
                    <w:spacing w:line="280" w:lineRule="exact"/>
                    <w:ind w:left="-53" w:leftChars="-25" w:right="-53" w:rightChars="-25"/>
                    <w:jc w:val="center"/>
                    <w:rPr>
                      <w:b/>
                      <w:bCs/>
                      <w:color w:val="auto"/>
                      <w:sz w:val="18"/>
                      <w:szCs w:val="18"/>
                    </w:rPr>
                  </w:pPr>
                </w:p>
              </w:tc>
              <w:tc>
                <w:tcPr>
                  <w:tcW w:w="1200" w:type="dxa"/>
                  <w:noWrap w:val="0"/>
                  <w:vAlign w:val="center"/>
                </w:tcPr>
                <w:p>
                  <w:pPr>
                    <w:spacing w:line="280" w:lineRule="exact"/>
                    <w:ind w:left="-53" w:leftChars="-25" w:right="-53" w:rightChars="-25"/>
                    <w:jc w:val="center"/>
                    <w:rPr>
                      <w:rFonts w:hint="default" w:eastAsia="宋体"/>
                      <w:b/>
                      <w:bCs/>
                      <w:color w:val="auto"/>
                      <w:sz w:val="18"/>
                      <w:szCs w:val="18"/>
                      <w:lang w:val="en-US" w:eastAsia="zh-CN"/>
                    </w:rPr>
                  </w:pPr>
                  <w:r>
                    <w:rPr>
                      <w:rFonts w:hint="eastAsia"/>
                      <w:b/>
                      <w:bCs/>
                      <w:color w:val="auto"/>
                      <w:sz w:val="18"/>
                      <w:szCs w:val="18"/>
                      <w:lang w:val="en-US" w:eastAsia="zh-CN"/>
                    </w:rPr>
                    <w:t>2020.1.2</w:t>
                  </w:r>
                </w:p>
              </w:tc>
              <w:tc>
                <w:tcPr>
                  <w:tcW w:w="958" w:type="dxa"/>
                  <w:noWrap w:val="0"/>
                  <w:vAlign w:val="center"/>
                </w:tcPr>
                <w:p>
                  <w:pPr>
                    <w:spacing w:line="280" w:lineRule="exact"/>
                    <w:ind w:left="-53" w:leftChars="-25" w:right="-53" w:rightChars="-25"/>
                    <w:jc w:val="center"/>
                    <w:rPr>
                      <w:rFonts w:hint="default" w:eastAsia="宋体"/>
                      <w:b/>
                      <w:bCs/>
                      <w:color w:val="auto"/>
                      <w:sz w:val="18"/>
                      <w:szCs w:val="18"/>
                      <w:lang w:val="en-US" w:eastAsia="zh-CN"/>
                    </w:rPr>
                  </w:pPr>
                  <w:r>
                    <w:rPr>
                      <w:rFonts w:hint="eastAsia"/>
                      <w:b/>
                      <w:bCs/>
                      <w:color w:val="auto"/>
                      <w:sz w:val="18"/>
                      <w:szCs w:val="18"/>
                      <w:lang w:val="en-US" w:eastAsia="zh-CN"/>
                    </w:rPr>
                    <w:t>2020.1.3</w:t>
                  </w:r>
                </w:p>
              </w:tc>
              <w:tc>
                <w:tcPr>
                  <w:tcW w:w="1234" w:type="dxa"/>
                  <w:vMerge w:val="continue"/>
                  <w:noWrap w:val="0"/>
                  <w:vAlign w:val="center"/>
                </w:tcPr>
                <w:p>
                  <w:pPr>
                    <w:spacing w:line="280" w:lineRule="exact"/>
                    <w:ind w:left="-199" w:leftChars="-95" w:right="-235" w:rightChars="-112"/>
                    <w:jc w:val="center"/>
                    <w:rPr>
                      <w:rFonts w:hint="eastAsia"/>
                      <w:b/>
                      <w:bCs/>
                      <w:color w:val="auto"/>
                      <w:sz w:val="18"/>
                      <w:szCs w:val="18"/>
                    </w:rPr>
                  </w:pPr>
                </w:p>
              </w:tc>
              <w:tc>
                <w:tcPr>
                  <w:tcW w:w="938" w:type="dxa"/>
                  <w:vMerge w:val="continue"/>
                  <w:noWrap w:val="0"/>
                  <w:vAlign w:val="center"/>
                </w:tcPr>
                <w:p>
                  <w:pPr>
                    <w:spacing w:line="280" w:lineRule="exact"/>
                    <w:ind w:left="-53" w:leftChars="-25" w:right="-53" w:rightChars="-25"/>
                    <w:jc w:val="center"/>
                    <w:rPr>
                      <w:rFonts w:hint="eastAsia"/>
                      <w:b/>
                      <w:bCs/>
                      <w:color w:val="auto"/>
                      <w:sz w:val="18"/>
                      <w:szCs w:val="18"/>
                    </w:rPr>
                  </w:pPr>
                </w:p>
              </w:tc>
              <w:tc>
                <w:tcPr>
                  <w:tcW w:w="1465" w:type="dxa"/>
                  <w:vMerge w:val="continue"/>
                  <w:noWrap w:val="0"/>
                  <w:vAlign w:val="center"/>
                </w:tcPr>
                <w:p>
                  <w:pPr>
                    <w:spacing w:line="280" w:lineRule="exact"/>
                    <w:ind w:left="-53" w:leftChars="-25" w:right="-53" w:rightChars="-25"/>
                    <w:jc w:val="center"/>
                    <w:rPr>
                      <w:rFonts w:hint="eastAsia"/>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78" w:type="dxa"/>
                  <w:noWrap w:val="0"/>
                  <w:vAlign w:val="center"/>
                </w:tcPr>
                <w:p>
                  <w:pPr>
                    <w:spacing w:line="280" w:lineRule="exact"/>
                    <w:ind w:left="-53" w:leftChars="-25" w:right="-53" w:rightChars="-25"/>
                    <w:jc w:val="center"/>
                    <w:rPr>
                      <w:color w:val="auto"/>
                      <w:sz w:val="18"/>
                      <w:szCs w:val="18"/>
                    </w:rPr>
                  </w:pPr>
                  <w:r>
                    <w:rPr>
                      <w:color w:val="auto"/>
                      <w:sz w:val="18"/>
                      <w:szCs w:val="18"/>
                    </w:rPr>
                    <w:t>pH（无量纲）</w:t>
                  </w:r>
                </w:p>
              </w:tc>
              <w:tc>
                <w:tcPr>
                  <w:tcW w:w="1200"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7.67</w:t>
                  </w:r>
                </w:p>
              </w:tc>
              <w:tc>
                <w:tcPr>
                  <w:tcW w:w="958"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7.56</w:t>
                  </w:r>
                </w:p>
              </w:tc>
              <w:tc>
                <w:tcPr>
                  <w:tcW w:w="1234" w:type="dxa"/>
                  <w:noWrap w:val="0"/>
                  <w:vAlign w:val="center"/>
                </w:tcPr>
                <w:p>
                  <w:pPr>
                    <w:spacing w:line="280" w:lineRule="exact"/>
                    <w:jc w:val="center"/>
                    <w:rPr>
                      <w:rFonts w:hint="default" w:eastAsia="宋体"/>
                      <w:color w:val="auto"/>
                      <w:sz w:val="18"/>
                      <w:szCs w:val="18"/>
                      <w:lang w:val="en-US" w:eastAsia="zh-CN"/>
                    </w:rPr>
                  </w:pPr>
                  <w:r>
                    <w:rPr>
                      <w:color w:val="auto"/>
                      <w:sz w:val="18"/>
                      <w:szCs w:val="18"/>
                    </w:rPr>
                    <w:t>0.2</w:t>
                  </w:r>
                  <w:r>
                    <w:rPr>
                      <w:rFonts w:hint="eastAsia"/>
                      <w:color w:val="auto"/>
                      <w:sz w:val="18"/>
                      <w:szCs w:val="18"/>
                      <w:lang w:val="en-US" w:eastAsia="zh-CN"/>
                    </w:rPr>
                    <w:t>8~0.34</w:t>
                  </w:r>
                </w:p>
              </w:tc>
              <w:tc>
                <w:tcPr>
                  <w:tcW w:w="938"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w:t>
                  </w:r>
                </w:p>
              </w:tc>
              <w:tc>
                <w:tcPr>
                  <w:tcW w:w="1465"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78" w:type="dxa"/>
                  <w:noWrap w:val="0"/>
                  <w:vAlign w:val="center"/>
                </w:tcPr>
                <w:p>
                  <w:pPr>
                    <w:spacing w:line="280" w:lineRule="exact"/>
                    <w:ind w:left="-53" w:leftChars="-25" w:right="-53" w:rightChars="-25"/>
                    <w:jc w:val="center"/>
                    <w:rPr>
                      <w:color w:val="auto"/>
                      <w:sz w:val="18"/>
                      <w:szCs w:val="18"/>
                    </w:rPr>
                  </w:pPr>
                  <w:r>
                    <w:rPr>
                      <w:color w:val="auto"/>
                      <w:sz w:val="18"/>
                      <w:szCs w:val="18"/>
                    </w:rPr>
                    <w:t>氨氮</w:t>
                  </w:r>
                </w:p>
              </w:tc>
              <w:tc>
                <w:tcPr>
                  <w:tcW w:w="1200"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0.254</w:t>
                  </w:r>
                </w:p>
              </w:tc>
              <w:tc>
                <w:tcPr>
                  <w:tcW w:w="958"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0.251</w:t>
                  </w:r>
                </w:p>
              </w:tc>
              <w:tc>
                <w:tcPr>
                  <w:tcW w:w="1234" w:type="dxa"/>
                  <w:noWrap w:val="0"/>
                  <w:vAlign w:val="center"/>
                </w:tcPr>
                <w:p>
                  <w:pPr>
                    <w:spacing w:line="280" w:lineRule="exact"/>
                    <w:jc w:val="center"/>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251~0.254</w:t>
                  </w:r>
                </w:p>
              </w:tc>
              <w:tc>
                <w:tcPr>
                  <w:tcW w:w="938"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w:t>
                  </w:r>
                </w:p>
              </w:tc>
              <w:tc>
                <w:tcPr>
                  <w:tcW w:w="1465"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78" w:type="dxa"/>
                  <w:noWrap w:val="0"/>
                  <w:vAlign w:val="center"/>
                </w:tcPr>
                <w:p>
                  <w:pPr>
                    <w:spacing w:line="280" w:lineRule="exact"/>
                    <w:ind w:left="-53" w:leftChars="-25" w:right="-53" w:rightChars="-25"/>
                    <w:jc w:val="center"/>
                    <w:rPr>
                      <w:color w:val="auto"/>
                      <w:sz w:val="18"/>
                      <w:szCs w:val="18"/>
                    </w:rPr>
                  </w:pPr>
                  <w:r>
                    <w:rPr>
                      <w:color w:val="auto"/>
                      <w:sz w:val="18"/>
                      <w:szCs w:val="18"/>
                    </w:rPr>
                    <w:t>五日生化需氧量</w:t>
                  </w:r>
                </w:p>
              </w:tc>
              <w:tc>
                <w:tcPr>
                  <w:tcW w:w="1200"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11</w:t>
                  </w:r>
                </w:p>
              </w:tc>
              <w:tc>
                <w:tcPr>
                  <w:tcW w:w="958"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11</w:t>
                  </w:r>
                </w:p>
              </w:tc>
              <w:tc>
                <w:tcPr>
                  <w:tcW w:w="1234" w:type="dxa"/>
                  <w:noWrap w:val="0"/>
                  <w:vAlign w:val="center"/>
                </w:tcPr>
                <w:p>
                  <w:pPr>
                    <w:spacing w:line="280" w:lineRule="exact"/>
                    <w:jc w:val="center"/>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55</w:t>
                  </w:r>
                </w:p>
              </w:tc>
              <w:tc>
                <w:tcPr>
                  <w:tcW w:w="938"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w:t>
                  </w:r>
                </w:p>
              </w:tc>
              <w:tc>
                <w:tcPr>
                  <w:tcW w:w="1465"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78" w:type="dxa"/>
                  <w:noWrap w:val="0"/>
                  <w:vAlign w:val="center"/>
                </w:tcPr>
                <w:p>
                  <w:pPr>
                    <w:spacing w:line="280" w:lineRule="exact"/>
                    <w:ind w:left="-53" w:leftChars="-25" w:right="-53" w:rightChars="-25"/>
                    <w:jc w:val="center"/>
                    <w:rPr>
                      <w:color w:val="auto"/>
                      <w:sz w:val="18"/>
                      <w:szCs w:val="18"/>
                    </w:rPr>
                  </w:pPr>
                  <w:r>
                    <w:rPr>
                      <w:color w:val="auto"/>
                      <w:sz w:val="18"/>
                      <w:szCs w:val="18"/>
                    </w:rPr>
                    <w:t>化学需氧量</w:t>
                  </w:r>
                </w:p>
              </w:tc>
              <w:tc>
                <w:tcPr>
                  <w:tcW w:w="1200"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2.3</w:t>
                  </w:r>
                </w:p>
              </w:tc>
              <w:tc>
                <w:tcPr>
                  <w:tcW w:w="958"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2.4</w:t>
                  </w:r>
                </w:p>
              </w:tc>
              <w:tc>
                <w:tcPr>
                  <w:tcW w:w="1234" w:type="dxa"/>
                  <w:noWrap w:val="0"/>
                  <w:vAlign w:val="center"/>
                </w:tcPr>
                <w:p>
                  <w:pPr>
                    <w:spacing w:line="280" w:lineRule="exact"/>
                    <w:jc w:val="center"/>
                    <w:rPr>
                      <w:rFonts w:hint="eastAsia" w:eastAsia="宋体"/>
                      <w:color w:val="auto"/>
                      <w:sz w:val="18"/>
                      <w:szCs w:val="18"/>
                      <w:lang w:eastAsia="zh-CN"/>
                    </w:rPr>
                  </w:pPr>
                  <w:r>
                    <w:rPr>
                      <w:rFonts w:hint="eastAsia"/>
                      <w:color w:val="auto"/>
                      <w:sz w:val="18"/>
                      <w:szCs w:val="18"/>
                      <w:lang w:val="en-US" w:eastAsia="zh-CN"/>
                    </w:rPr>
                    <w:t>0.575~</w:t>
                  </w:r>
                  <w:r>
                    <w:rPr>
                      <w:color w:val="auto"/>
                      <w:sz w:val="18"/>
                      <w:szCs w:val="18"/>
                    </w:rPr>
                    <w:t>0.</w:t>
                  </w:r>
                  <w:r>
                    <w:rPr>
                      <w:rFonts w:hint="eastAsia"/>
                      <w:color w:val="auto"/>
                      <w:sz w:val="18"/>
                      <w:szCs w:val="18"/>
                      <w:lang w:val="en-US" w:eastAsia="zh-CN"/>
                    </w:rPr>
                    <w:t>6</w:t>
                  </w:r>
                </w:p>
              </w:tc>
              <w:tc>
                <w:tcPr>
                  <w:tcW w:w="938"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w:t>
                  </w:r>
                </w:p>
              </w:tc>
              <w:tc>
                <w:tcPr>
                  <w:tcW w:w="1465"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78" w:type="dxa"/>
                  <w:noWrap w:val="0"/>
                  <w:vAlign w:val="center"/>
                </w:tcPr>
                <w:p>
                  <w:pPr>
                    <w:spacing w:line="280" w:lineRule="exact"/>
                    <w:ind w:left="-53" w:leftChars="-25" w:right="-53" w:rightChars="-25"/>
                    <w:jc w:val="center"/>
                    <w:rPr>
                      <w:color w:val="auto"/>
                      <w:sz w:val="18"/>
                      <w:szCs w:val="18"/>
                    </w:rPr>
                  </w:pPr>
                  <w:r>
                    <w:rPr>
                      <w:color w:val="auto"/>
                      <w:sz w:val="18"/>
                      <w:szCs w:val="18"/>
                    </w:rPr>
                    <w:t>总磷</w:t>
                  </w:r>
                </w:p>
              </w:tc>
              <w:tc>
                <w:tcPr>
                  <w:tcW w:w="1200" w:type="dxa"/>
                  <w:noWrap w:val="0"/>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0.049</w:t>
                  </w:r>
                </w:p>
              </w:tc>
              <w:tc>
                <w:tcPr>
                  <w:tcW w:w="958" w:type="dxa"/>
                  <w:noWrap w:val="0"/>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0.041</w:t>
                  </w:r>
                </w:p>
              </w:tc>
              <w:tc>
                <w:tcPr>
                  <w:tcW w:w="1234" w:type="dxa"/>
                  <w:noWrap w:val="0"/>
                  <w:vAlign w:val="center"/>
                </w:tcPr>
                <w:p>
                  <w:pPr>
                    <w:spacing w:line="280" w:lineRule="exact"/>
                    <w:jc w:val="center"/>
                    <w:rPr>
                      <w:rFonts w:hint="default" w:eastAsia="宋体"/>
                      <w:color w:val="auto"/>
                      <w:sz w:val="18"/>
                      <w:szCs w:val="18"/>
                      <w:lang w:val="en-US" w:eastAsia="zh-CN"/>
                    </w:rPr>
                  </w:pPr>
                  <w:r>
                    <w:rPr>
                      <w:color w:val="auto"/>
                      <w:sz w:val="18"/>
                      <w:szCs w:val="18"/>
                    </w:rPr>
                    <w:t>0.2</w:t>
                  </w:r>
                  <w:r>
                    <w:rPr>
                      <w:rFonts w:hint="eastAsia"/>
                      <w:color w:val="auto"/>
                      <w:sz w:val="18"/>
                      <w:szCs w:val="18"/>
                      <w:lang w:val="en-US" w:eastAsia="zh-CN"/>
                    </w:rPr>
                    <w:t>0</w:t>
                  </w:r>
                  <w:r>
                    <w:rPr>
                      <w:color w:val="auto"/>
                      <w:sz w:val="18"/>
                      <w:szCs w:val="18"/>
                    </w:rPr>
                    <w:t>5</w:t>
                  </w:r>
                  <w:r>
                    <w:rPr>
                      <w:rFonts w:hint="eastAsia"/>
                      <w:color w:val="auto"/>
                      <w:sz w:val="18"/>
                      <w:szCs w:val="18"/>
                      <w:lang w:val="en-US" w:eastAsia="zh-CN"/>
                    </w:rPr>
                    <w:t>~0.245</w:t>
                  </w:r>
                </w:p>
              </w:tc>
              <w:tc>
                <w:tcPr>
                  <w:tcW w:w="938"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w:t>
                  </w:r>
                </w:p>
              </w:tc>
              <w:tc>
                <w:tcPr>
                  <w:tcW w:w="1465"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78" w:type="dxa"/>
                  <w:noWrap w:val="0"/>
                  <w:vAlign w:val="center"/>
                </w:tcPr>
                <w:p>
                  <w:pPr>
                    <w:spacing w:line="280" w:lineRule="exact"/>
                    <w:jc w:val="center"/>
                    <w:rPr>
                      <w:color w:val="auto"/>
                      <w:sz w:val="18"/>
                      <w:szCs w:val="18"/>
                    </w:rPr>
                  </w:pPr>
                  <w:r>
                    <w:rPr>
                      <w:color w:val="auto"/>
                      <w:sz w:val="18"/>
                      <w:szCs w:val="18"/>
                    </w:rPr>
                    <w:t>锌</w:t>
                  </w:r>
                </w:p>
              </w:tc>
              <w:tc>
                <w:tcPr>
                  <w:tcW w:w="1200" w:type="dxa"/>
                  <w:noWrap w:val="0"/>
                  <w:vAlign w:val="center"/>
                </w:tcPr>
                <w:p>
                  <w:pPr>
                    <w:spacing w:line="280" w:lineRule="exact"/>
                    <w:jc w:val="center"/>
                    <w:rPr>
                      <w:color w:val="auto"/>
                      <w:sz w:val="18"/>
                      <w:szCs w:val="18"/>
                    </w:rPr>
                  </w:pPr>
                  <w:r>
                    <w:rPr>
                      <w:color w:val="auto"/>
                      <w:sz w:val="18"/>
                      <w:szCs w:val="18"/>
                    </w:rPr>
                    <w:t>0.0</w:t>
                  </w:r>
                  <w:r>
                    <w:rPr>
                      <w:rFonts w:hint="eastAsia"/>
                      <w:color w:val="auto"/>
                      <w:sz w:val="18"/>
                      <w:szCs w:val="18"/>
                      <w:lang w:val="en-US" w:eastAsia="zh-CN"/>
                    </w:rPr>
                    <w:t>1</w:t>
                  </w:r>
                  <w:r>
                    <w:rPr>
                      <w:color w:val="auto"/>
                      <w:sz w:val="18"/>
                      <w:szCs w:val="18"/>
                      <w:vertAlign w:val="superscript"/>
                    </w:rPr>
                    <w:t>L</w:t>
                  </w:r>
                </w:p>
              </w:tc>
              <w:tc>
                <w:tcPr>
                  <w:tcW w:w="958" w:type="dxa"/>
                  <w:noWrap w:val="0"/>
                  <w:vAlign w:val="center"/>
                </w:tcPr>
                <w:p>
                  <w:pPr>
                    <w:spacing w:line="280" w:lineRule="exact"/>
                    <w:jc w:val="center"/>
                    <w:rPr>
                      <w:color w:val="auto"/>
                      <w:sz w:val="18"/>
                      <w:szCs w:val="18"/>
                    </w:rPr>
                  </w:pPr>
                  <w:r>
                    <w:rPr>
                      <w:color w:val="auto"/>
                      <w:sz w:val="18"/>
                      <w:szCs w:val="18"/>
                    </w:rPr>
                    <w:t>0.0</w:t>
                  </w:r>
                  <w:r>
                    <w:rPr>
                      <w:rFonts w:hint="eastAsia"/>
                      <w:color w:val="auto"/>
                      <w:sz w:val="18"/>
                      <w:szCs w:val="18"/>
                      <w:lang w:val="en-US" w:eastAsia="zh-CN"/>
                    </w:rPr>
                    <w:t>1</w:t>
                  </w:r>
                  <w:r>
                    <w:rPr>
                      <w:color w:val="auto"/>
                      <w:sz w:val="18"/>
                      <w:szCs w:val="18"/>
                      <w:vertAlign w:val="superscript"/>
                    </w:rPr>
                    <w:t>L</w:t>
                  </w:r>
                </w:p>
              </w:tc>
              <w:tc>
                <w:tcPr>
                  <w:tcW w:w="1234" w:type="dxa"/>
                  <w:noWrap w:val="0"/>
                  <w:vAlign w:val="center"/>
                </w:tcPr>
                <w:p>
                  <w:pPr>
                    <w:spacing w:line="280" w:lineRule="exact"/>
                    <w:jc w:val="center"/>
                    <w:rPr>
                      <w:rFonts w:hint="eastAsia" w:eastAsia="宋体"/>
                      <w:color w:val="auto"/>
                      <w:sz w:val="18"/>
                      <w:szCs w:val="18"/>
                      <w:lang w:eastAsia="zh-CN"/>
                    </w:rPr>
                  </w:pPr>
                  <w:r>
                    <w:rPr>
                      <w:color w:val="auto"/>
                      <w:sz w:val="18"/>
                      <w:szCs w:val="18"/>
                    </w:rPr>
                    <w:t>0.0</w:t>
                  </w:r>
                  <w:r>
                    <w:rPr>
                      <w:rFonts w:hint="eastAsia"/>
                      <w:color w:val="auto"/>
                      <w:sz w:val="18"/>
                      <w:szCs w:val="18"/>
                      <w:lang w:val="en-US" w:eastAsia="zh-CN"/>
                    </w:rPr>
                    <w:t>1</w:t>
                  </w:r>
                </w:p>
              </w:tc>
              <w:tc>
                <w:tcPr>
                  <w:tcW w:w="938"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0</w:t>
                  </w:r>
                </w:p>
              </w:tc>
              <w:tc>
                <w:tcPr>
                  <w:tcW w:w="1465"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673" w:type="dxa"/>
                  <w:gridSpan w:val="6"/>
                  <w:noWrap w:val="0"/>
                  <w:vAlign w:val="center"/>
                </w:tcPr>
                <w:p>
                  <w:pPr>
                    <w:spacing w:line="280" w:lineRule="exact"/>
                    <w:ind w:left="-53" w:leftChars="-25" w:right="-53" w:rightChars="-25"/>
                    <w:jc w:val="left"/>
                    <w:rPr>
                      <w:color w:val="auto"/>
                      <w:sz w:val="18"/>
                      <w:szCs w:val="18"/>
                    </w:rPr>
                  </w:pPr>
                  <w:r>
                    <w:rPr>
                      <w:b/>
                      <w:bCs/>
                      <w:color w:val="auto"/>
                      <w:sz w:val="18"/>
                      <w:szCs w:val="18"/>
                    </w:rPr>
                    <w:t>注：监测数据右上角带L者表示未检出，其统计方法为该检测方法检出限的1/2。</w:t>
                  </w:r>
                </w:p>
              </w:tc>
            </w:tr>
          </w:tbl>
          <w:p>
            <w:pPr>
              <w:adjustRightInd w:val="0"/>
              <w:snapToGrid w:val="0"/>
              <w:spacing w:line="400" w:lineRule="exact"/>
              <w:ind w:left="-53" w:leftChars="-25" w:right="-53" w:rightChars="-25" w:firstLine="420" w:firstLineChars="200"/>
              <w:rPr>
                <w:color w:val="auto"/>
                <w:szCs w:val="21"/>
              </w:rPr>
            </w:pPr>
            <w:r>
              <w:rPr>
                <w:rFonts w:hint="default"/>
                <w:color w:val="auto"/>
                <w:szCs w:val="21"/>
                <w:lang w:val="zh-CN"/>
              </w:rPr>
              <w:t>由上表可知，项目所在区域地表水</w:t>
            </w:r>
            <w:r>
              <w:rPr>
                <w:rFonts w:hint="eastAsia"/>
                <w:color w:val="auto"/>
                <w:szCs w:val="21"/>
                <w:lang w:val="en-US" w:eastAsia="zh-CN"/>
              </w:rPr>
              <w:t>后</w:t>
            </w:r>
            <w:r>
              <w:rPr>
                <w:rFonts w:hint="eastAsia"/>
                <w:color w:val="auto"/>
                <w:szCs w:val="21"/>
                <w:lang w:val="zh-CN" w:eastAsia="zh-CN"/>
              </w:rPr>
              <w:t>河</w:t>
            </w:r>
            <w:r>
              <w:rPr>
                <w:rFonts w:hint="default"/>
                <w:color w:val="auto"/>
                <w:szCs w:val="21"/>
                <w:lang w:val="zh-CN" w:eastAsia="zh-CN"/>
              </w:rPr>
              <w:t>监测断面各项评价指标</w:t>
            </w:r>
            <w:r>
              <w:rPr>
                <w:rFonts w:hint="eastAsia"/>
                <w:color w:val="auto"/>
                <w:szCs w:val="21"/>
                <w:lang w:val="zh-CN" w:eastAsia="zh-CN"/>
              </w:rPr>
              <w:t>的单线指数值</w:t>
            </w:r>
            <w:r>
              <w:rPr>
                <w:rFonts w:hint="default"/>
                <w:color w:val="auto"/>
                <w:szCs w:val="21"/>
                <w:lang w:val="zh-CN" w:eastAsia="zh-CN"/>
              </w:rPr>
              <w:t>均小于1，</w:t>
            </w:r>
            <w:r>
              <w:rPr>
                <w:rFonts w:hint="default"/>
                <w:color w:val="auto"/>
                <w:szCs w:val="21"/>
                <w:lang w:val="zh-CN"/>
              </w:rPr>
              <w:t>能够</w:t>
            </w:r>
            <w:r>
              <w:rPr>
                <w:rFonts w:hint="default"/>
                <w:color w:val="auto"/>
                <w:szCs w:val="21"/>
                <w:lang w:val="zh-CN" w:eastAsia="zh-CN"/>
              </w:rPr>
              <w:t>达到</w:t>
            </w:r>
            <w:r>
              <w:rPr>
                <w:rFonts w:hint="default"/>
                <w:color w:val="auto"/>
                <w:szCs w:val="21"/>
                <w:lang w:val="zh-CN"/>
              </w:rPr>
              <w:t>《地表水环境质量标准》（GB3838-2002）</w:t>
            </w:r>
            <w:r>
              <w:rPr>
                <w:rFonts w:hint="eastAsia"/>
                <w:color w:val="auto"/>
                <w:szCs w:val="21"/>
                <w:lang w:val="zh-CN"/>
              </w:rPr>
              <w:t>Ⅲ</w:t>
            </w:r>
            <w:r>
              <w:rPr>
                <w:rFonts w:hint="default"/>
                <w:color w:val="auto"/>
                <w:szCs w:val="21"/>
                <w:lang w:val="zh-CN"/>
              </w:rPr>
              <w:t>类水域水质标准</w:t>
            </w:r>
            <w:r>
              <w:rPr>
                <w:rFonts w:hint="eastAsia"/>
                <w:color w:val="auto"/>
                <w:szCs w:val="21"/>
                <w:lang w:val="zh-CN"/>
              </w:rPr>
              <w:t>，</w:t>
            </w:r>
            <w:r>
              <w:rPr>
                <w:rFonts w:hint="default"/>
                <w:color w:val="auto"/>
                <w:szCs w:val="21"/>
                <w:lang w:val="zh-CN" w:eastAsia="zh-CN"/>
              </w:rPr>
              <w:t>区域地表水环境质量良好</w:t>
            </w:r>
            <w:r>
              <w:rPr>
                <w:color w:val="auto"/>
                <w:szCs w:val="21"/>
                <w:lang w:val="zh-CN"/>
              </w:rPr>
              <w:t>。</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3、声环境</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四川融华环境检测有限公司于</w:t>
            </w:r>
            <w:r>
              <w:rPr>
                <w:rFonts w:hint="eastAsia"/>
                <w:color w:val="auto"/>
                <w:szCs w:val="21"/>
                <w:lang w:val="zh-CN"/>
              </w:rPr>
              <w:t>202</w:t>
            </w:r>
            <w:r>
              <w:rPr>
                <w:rFonts w:hint="eastAsia"/>
                <w:color w:val="auto"/>
                <w:szCs w:val="21"/>
                <w:lang w:val="en-US" w:eastAsia="zh-CN"/>
              </w:rPr>
              <w:t>2</w:t>
            </w:r>
            <w:r>
              <w:rPr>
                <w:rFonts w:hint="eastAsia"/>
                <w:color w:val="auto"/>
                <w:szCs w:val="21"/>
                <w:lang w:val="zh-CN"/>
              </w:rPr>
              <w:t>年</w:t>
            </w:r>
            <w:r>
              <w:rPr>
                <w:rFonts w:hint="eastAsia"/>
                <w:color w:val="auto"/>
                <w:szCs w:val="21"/>
                <w:lang w:val="en-US" w:eastAsia="zh-CN"/>
              </w:rPr>
              <w:t>4</w:t>
            </w:r>
            <w:r>
              <w:rPr>
                <w:rFonts w:hint="eastAsia"/>
                <w:color w:val="auto"/>
                <w:szCs w:val="21"/>
                <w:lang w:val="zh-CN"/>
              </w:rPr>
              <w:t>月1日，</w:t>
            </w:r>
            <w:r>
              <w:rPr>
                <w:rFonts w:hint="eastAsia"/>
                <w:color w:val="auto"/>
                <w:szCs w:val="21"/>
                <w:lang w:val="en-US" w:eastAsia="zh-CN"/>
              </w:rPr>
              <w:t>对公司厂区周围</w:t>
            </w:r>
            <w:r>
              <w:rPr>
                <w:rFonts w:hint="eastAsia"/>
                <w:color w:val="auto"/>
                <w:szCs w:val="21"/>
              </w:rPr>
              <w:t>设</w:t>
            </w:r>
            <w:r>
              <w:rPr>
                <w:rFonts w:hint="eastAsia"/>
                <w:color w:val="auto"/>
                <w:szCs w:val="21"/>
                <w:lang w:val="en-US" w:eastAsia="zh-CN"/>
              </w:rPr>
              <w:t>2</w:t>
            </w:r>
            <w:r>
              <w:rPr>
                <w:rFonts w:hint="eastAsia"/>
                <w:color w:val="auto"/>
                <w:szCs w:val="21"/>
              </w:rPr>
              <w:t>个环境噪声监测点位</w:t>
            </w:r>
            <w:r>
              <w:rPr>
                <w:rFonts w:hint="eastAsia"/>
                <w:color w:val="auto"/>
                <w:szCs w:val="21"/>
                <w:lang w:val="en-US" w:eastAsia="zh-CN"/>
              </w:rPr>
              <w:t>。</w:t>
            </w:r>
            <w:r>
              <w:rPr>
                <w:rFonts w:hint="eastAsia"/>
                <w:color w:val="auto"/>
                <w:szCs w:val="21"/>
              </w:rPr>
              <w:t>将监测结果与评价标准进行对照，得出评价结果如下表</w:t>
            </w:r>
            <w:r>
              <w:rPr>
                <w:color w:val="auto"/>
                <w:szCs w:val="21"/>
                <w:lang w:val="zh-CN"/>
              </w:rPr>
              <w:t>。</w:t>
            </w:r>
            <w:r>
              <w:rPr>
                <w:color w:val="auto"/>
                <w:szCs w:val="21"/>
              </w:rPr>
              <w:t xml:space="preserve"> </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表3-</w:t>
            </w:r>
            <w:r>
              <w:rPr>
                <w:rFonts w:hint="eastAsia" w:ascii="Times New Roman" w:hAnsi="Times New Roman" w:eastAsia="黑体" w:cs="Times New Roman"/>
                <w:color w:val="auto"/>
                <w:kern w:val="0"/>
                <w:sz w:val="20"/>
                <w:szCs w:val="20"/>
                <w:lang w:val="en-US" w:eastAsia="zh-CN"/>
              </w:rPr>
              <w:t>3</w:t>
            </w:r>
            <w:r>
              <w:rPr>
                <w:rFonts w:hint="default" w:ascii="Times New Roman" w:hAnsi="Times New Roman" w:eastAsia="黑体" w:cs="Times New Roman"/>
                <w:color w:val="auto"/>
                <w:kern w:val="0"/>
                <w:sz w:val="20"/>
                <w:szCs w:val="20"/>
                <w:lang w:val="zh-CN" w:eastAsia="zh-CN"/>
              </w:rPr>
              <w:t xml:space="preserve">  环境噪声现状评价结果表</w:t>
            </w:r>
          </w:p>
          <w:tbl>
            <w:tblPr>
              <w:tblStyle w:val="14"/>
              <w:tblW w:w="7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496"/>
              <w:gridCol w:w="1008"/>
              <w:gridCol w:w="947"/>
              <w:gridCol w:w="649"/>
              <w:gridCol w:w="679"/>
              <w:gridCol w:w="62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24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监测点位</w:t>
                  </w:r>
                </w:p>
              </w:tc>
              <w:tc>
                <w:tcPr>
                  <w:tcW w:w="19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监测结果</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w:t>
                  </w:r>
                  <w:r>
                    <w:rPr>
                      <w:rFonts w:hint="eastAsia" w:cs="Times New Roman"/>
                      <w:b/>
                      <w:bCs/>
                      <w:color w:val="auto"/>
                      <w:sz w:val="18"/>
                      <w:szCs w:val="18"/>
                      <w:highlight w:val="none"/>
                      <w:lang w:val="en-US" w:eastAsia="zh-CN"/>
                    </w:rPr>
                    <w:t>2.4.1</w:t>
                  </w:r>
                  <w:r>
                    <w:rPr>
                      <w:rFonts w:hint="eastAsia" w:ascii="Times New Roman" w:hAnsi="Times New Roman" w:cs="Times New Roman"/>
                      <w:b/>
                      <w:bCs/>
                      <w:color w:val="auto"/>
                      <w:sz w:val="18"/>
                      <w:szCs w:val="18"/>
                      <w:highlight w:val="none"/>
                      <w:lang w:eastAsia="zh-CN"/>
                    </w:rPr>
                    <w:t>）</w:t>
                  </w:r>
                </w:p>
              </w:tc>
              <w:tc>
                <w:tcPr>
                  <w:tcW w:w="1328" w:type="dxa"/>
                  <w:gridSpan w:val="2"/>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评价标准</w:t>
                  </w:r>
                </w:p>
              </w:tc>
              <w:tc>
                <w:tcPr>
                  <w:tcW w:w="1316" w:type="dxa"/>
                  <w:gridSpan w:val="2"/>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p>
              </w:tc>
              <w:tc>
                <w:tcPr>
                  <w:tcW w:w="24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p>
              </w:tc>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昼间</w:t>
                  </w:r>
                </w:p>
              </w:tc>
              <w:tc>
                <w:tcPr>
                  <w:tcW w:w="94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夜间</w:t>
                  </w:r>
                </w:p>
              </w:tc>
              <w:tc>
                <w:tcPr>
                  <w:tcW w:w="649"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昼间</w:t>
                  </w:r>
                </w:p>
              </w:tc>
              <w:tc>
                <w:tcPr>
                  <w:tcW w:w="679"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夜间</w:t>
                  </w:r>
                </w:p>
              </w:tc>
              <w:tc>
                <w:tcPr>
                  <w:tcW w:w="625"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昼间</w:t>
                  </w:r>
                </w:p>
              </w:tc>
              <w:tc>
                <w:tcPr>
                  <w:tcW w:w="691"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49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弘泰公司北</w:t>
                  </w:r>
                  <w:r>
                    <w:rPr>
                      <w:rFonts w:hint="default" w:ascii="Times New Roman" w:hAnsi="Times New Roman" w:cs="Times New Roman"/>
                      <w:color w:val="auto"/>
                      <w:sz w:val="18"/>
                      <w:szCs w:val="18"/>
                    </w:rPr>
                    <w:t>厂界</w:t>
                  </w:r>
                  <w:r>
                    <w:rPr>
                      <w:rFonts w:hint="eastAsia" w:ascii="Times New Roman" w:hAnsi="Times New Roman" w:cs="Times New Roman"/>
                      <w:color w:val="auto"/>
                      <w:sz w:val="18"/>
                      <w:szCs w:val="18"/>
                      <w:lang w:val="en-US" w:eastAsia="zh-CN"/>
                    </w:rPr>
                    <w:t>外</w:t>
                  </w:r>
                  <w:r>
                    <w:rPr>
                      <w:rFonts w:hint="default" w:ascii="Times New Roman" w:hAnsi="Times New Roman" w:cs="Times New Roman"/>
                      <w:color w:val="auto"/>
                      <w:sz w:val="18"/>
                      <w:szCs w:val="18"/>
                    </w:rPr>
                    <w:t>1m处</w:t>
                  </w:r>
                </w:p>
              </w:tc>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57.9</w:t>
                  </w:r>
                </w:p>
              </w:tc>
              <w:tc>
                <w:tcPr>
                  <w:tcW w:w="94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37.1</w:t>
                  </w:r>
                </w:p>
              </w:tc>
              <w:tc>
                <w:tcPr>
                  <w:tcW w:w="649"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65</w:t>
                  </w:r>
                </w:p>
              </w:tc>
              <w:tc>
                <w:tcPr>
                  <w:tcW w:w="679"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55</w:t>
                  </w:r>
                </w:p>
              </w:tc>
              <w:tc>
                <w:tcPr>
                  <w:tcW w:w="625" w:type="dxa"/>
                  <w:noWrap w:val="0"/>
                  <w:vAlign w:val="center"/>
                </w:tcPr>
                <w:p>
                  <w:pPr>
                    <w:keepNext w:val="0"/>
                    <w:keepLines w:val="0"/>
                    <w:pageBreakBefore w:val="0"/>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c>
                <w:tcPr>
                  <w:tcW w:w="691" w:type="dxa"/>
                  <w:noWrap w:val="0"/>
                  <w:vAlign w:val="center"/>
                </w:tcPr>
                <w:p>
                  <w:pPr>
                    <w:keepNext w:val="0"/>
                    <w:keepLines w:val="0"/>
                    <w:pageBreakBefore w:val="0"/>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49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弘泰公司</w:t>
                  </w:r>
                  <w:r>
                    <w:rPr>
                      <w:rFonts w:hint="eastAsia" w:ascii="Times New Roman" w:hAnsi="Times New Roman" w:cs="Times New Roman"/>
                      <w:color w:val="auto"/>
                      <w:sz w:val="18"/>
                      <w:szCs w:val="18"/>
                      <w:lang w:val="en-US" w:eastAsia="zh-CN"/>
                    </w:rPr>
                    <w:t>西</w:t>
                  </w:r>
                  <w:r>
                    <w:rPr>
                      <w:rFonts w:hint="default" w:ascii="Times New Roman" w:hAnsi="Times New Roman" w:cs="Times New Roman"/>
                      <w:color w:val="auto"/>
                      <w:sz w:val="18"/>
                      <w:szCs w:val="18"/>
                    </w:rPr>
                    <w:t>厂界</w:t>
                  </w:r>
                  <w:r>
                    <w:rPr>
                      <w:rFonts w:hint="default" w:ascii="Times New Roman" w:hAnsi="Times New Roman" w:cs="Times New Roman"/>
                      <w:color w:val="auto"/>
                      <w:sz w:val="18"/>
                      <w:szCs w:val="18"/>
                      <w:lang w:val="en-US" w:eastAsia="zh-CN"/>
                    </w:rPr>
                    <w:t>外</w:t>
                  </w:r>
                  <w:r>
                    <w:rPr>
                      <w:rFonts w:hint="default" w:ascii="Times New Roman" w:hAnsi="Times New Roman" w:cs="Times New Roman"/>
                      <w:color w:val="auto"/>
                      <w:sz w:val="18"/>
                      <w:szCs w:val="18"/>
                    </w:rPr>
                    <w:t>1m处</w:t>
                  </w:r>
                </w:p>
              </w:tc>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56.1</w:t>
                  </w:r>
                </w:p>
              </w:tc>
              <w:tc>
                <w:tcPr>
                  <w:tcW w:w="94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40.4</w:t>
                  </w:r>
                </w:p>
              </w:tc>
              <w:tc>
                <w:tcPr>
                  <w:tcW w:w="649"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65</w:t>
                  </w:r>
                </w:p>
              </w:tc>
              <w:tc>
                <w:tcPr>
                  <w:tcW w:w="679" w:type="dxa"/>
                  <w:noWrap w:val="0"/>
                  <w:vAlign w:val="center"/>
                </w:tcPr>
                <w:p>
                  <w:pPr>
                    <w:keepNext w:val="0"/>
                    <w:keepLines w:val="0"/>
                    <w:pageBreakBefore w:val="0"/>
                    <w:widowControl/>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55</w:t>
                  </w:r>
                </w:p>
              </w:tc>
              <w:tc>
                <w:tcPr>
                  <w:tcW w:w="625" w:type="dxa"/>
                  <w:noWrap w:val="0"/>
                  <w:vAlign w:val="center"/>
                </w:tcPr>
                <w:p>
                  <w:pPr>
                    <w:keepNext w:val="0"/>
                    <w:keepLines w:val="0"/>
                    <w:pageBreakBefore w:val="0"/>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c>
                <w:tcPr>
                  <w:tcW w:w="691" w:type="dxa"/>
                  <w:noWrap w:val="0"/>
                  <w:vAlign w:val="center"/>
                </w:tcPr>
                <w:p>
                  <w:pPr>
                    <w:keepNext w:val="0"/>
                    <w:keepLines w:val="0"/>
                    <w:pageBreakBefore w:val="0"/>
                    <w:kinsoku/>
                    <w:wordWrap/>
                    <w:overflowPunct/>
                    <w:topLinePunct w:val="0"/>
                    <w:bidi w:val="0"/>
                    <w:spacing w:line="32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bl>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由上表可知，项目评价区域</w:t>
            </w:r>
            <w:r>
              <w:rPr>
                <w:rFonts w:hint="eastAsia"/>
                <w:color w:val="auto"/>
                <w:szCs w:val="21"/>
              </w:rPr>
              <w:t>声环境质量</w:t>
            </w:r>
            <w:r>
              <w:rPr>
                <w:color w:val="auto"/>
                <w:szCs w:val="21"/>
                <w:lang w:val="zh-CN"/>
              </w:rPr>
              <w:t>能满足《声环境质量标准》（GB3096-2008）中的</w:t>
            </w:r>
            <w:r>
              <w:rPr>
                <w:rFonts w:hint="eastAsia"/>
                <w:color w:val="auto"/>
                <w:szCs w:val="21"/>
                <w:lang w:val="en-US" w:eastAsia="zh-CN"/>
              </w:rPr>
              <w:t>3</w:t>
            </w:r>
            <w:r>
              <w:rPr>
                <w:color w:val="auto"/>
                <w:szCs w:val="21"/>
                <w:lang w:val="zh-CN"/>
              </w:rPr>
              <w:t>类区标准。</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4、生态环境</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本项目位于</w:t>
            </w:r>
            <w:r>
              <w:rPr>
                <w:rFonts w:hint="eastAsia"/>
                <w:color w:val="auto"/>
                <w:szCs w:val="21"/>
                <w:lang w:val="zh-CN" w:eastAsia="zh-CN"/>
              </w:rPr>
              <w:t>达州市宣汉县普光经济开发区柳池工业园弘泰电化厂区内</w:t>
            </w:r>
            <w:r>
              <w:rPr>
                <w:color w:val="auto"/>
                <w:szCs w:val="21"/>
                <w:lang w:val="zh-CN"/>
              </w:rPr>
              <w:t>，</w:t>
            </w:r>
            <w:r>
              <w:rPr>
                <w:rFonts w:hint="eastAsia"/>
                <w:color w:val="auto"/>
                <w:szCs w:val="21"/>
                <w:lang w:val="en-US" w:eastAsia="zh-CN"/>
              </w:rPr>
              <w:t>根据现场调查，除</w:t>
            </w:r>
            <w:r>
              <w:rPr>
                <w:color w:val="auto"/>
                <w:szCs w:val="21"/>
              </w:rPr>
              <w:t>项目区</w:t>
            </w:r>
            <w:r>
              <w:rPr>
                <w:rFonts w:hint="eastAsia"/>
                <w:color w:val="auto"/>
                <w:szCs w:val="21"/>
                <w:lang w:val="en-US" w:eastAsia="zh-CN"/>
              </w:rPr>
              <w:t>南面、西面为生产企业外，其余方向上均为林地、坡地</w:t>
            </w:r>
            <w:r>
              <w:rPr>
                <w:rFonts w:hint="eastAsia"/>
                <w:color w:val="auto"/>
                <w:szCs w:val="21"/>
                <w:lang w:val="zh-CN"/>
              </w:rPr>
              <w:t>，</w:t>
            </w:r>
            <w:r>
              <w:rPr>
                <w:rFonts w:hint="default"/>
                <w:color w:val="auto"/>
                <w:szCs w:val="21"/>
                <w:lang w:val="zh-CN"/>
              </w:rPr>
              <w:t>植被覆盖率较高</w:t>
            </w:r>
            <w:r>
              <w:rPr>
                <w:rFonts w:hint="eastAsia"/>
                <w:color w:val="auto"/>
                <w:szCs w:val="21"/>
                <w:lang w:val="zh-CN"/>
              </w:rPr>
              <w:t>。项目周边主要植被为人工种植的农作物，例如常见的小麦、玉米等，无天然林及珍稀植被，场区基本无大型兽类出没，陆生动物主要有山雀、蛇、兔等，以及各类昆虫和鼠等小型啮齿类动物等。本项目区域内无国家及省市级重点保护的濒危、稀有动植物及受保护的野生动植物，无自然保护区和风景名胜区，属于生态环境非敏感区，区域生态环境现状质量</w:t>
            </w:r>
            <w:r>
              <w:rPr>
                <w:color w:val="auto"/>
                <w:szCs w:val="21"/>
                <w:lang w:val="zh-CN"/>
              </w:rPr>
              <w:t>一般。</w:t>
            </w:r>
          </w:p>
          <w:p>
            <w:pPr>
              <w:autoSpaceDE w:val="0"/>
              <w:autoSpaceDN w:val="0"/>
              <w:adjustRightInd w:val="0"/>
              <w:snapToGrid w:val="0"/>
              <w:spacing w:line="400" w:lineRule="exact"/>
              <w:ind w:right="-31" w:rightChars="-15"/>
              <w:rPr>
                <w:rFonts w:eastAsia="黑体"/>
                <w:color w:val="auto"/>
                <w:kern w:val="0"/>
                <w:sz w:val="22"/>
                <w:szCs w:val="22"/>
                <w:lang w:val="zh-CN"/>
              </w:rPr>
            </w:pP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5、地下水</w:t>
            </w:r>
          </w:p>
          <w:p>
            <w:pPr>
              <w:autoSpaceDE w:val="0"/>
              <w:autoSpaceDN w:val="0"/>
              <w:spacing w:line="400" w:lineRule="exact"/>
              <w:ind w:firstLine="420" w:firstLineChars="200"/>
              <w:rPr>
                <w:color w:val="auto"/>
                <w:szCs w:val="21"/>
                <w:lang w:val="zh-CN"/>
              </w:rPr>
            </w:pPr>
            <w:r>
              <w:rPr>
                <w:rFonts w:hint="eastAsia"/>
                <w:color w:val="auto"/>
                <w:szCs w:val="21"/>
                <w:lang w:val="en-US" w:eastAsia="zh-CN"/>
              </w:rPr>
              <w:t>对于项目区域地下水现状，</w:t>
            </w:r>
            <w:r>
              <w:rPr>
                <w:rFonts w:hint="eastAsia"/>
                <w:color w:val="auto"/>
                <w:szCs w:val="21"/>
              </w:rPr>
              <w:t>本次</w:t>
            </w:r>
            <w:r>
              <w:rPr>
                <w:rFonts w:hint="eastAsia"/>
                <w:color w:val="auto"/>
                <w:szCs w:val="21"/>
                <w:lang w:val="en-US" w:eastAsia="zh-CN"/>
              </w:rPr>
              <w:t>评价引用四川省汉谱环境检测服务有限公司出具的《达州美特思乳胶制品有限公司新建年产30万张乳胶床垫、200万只枕头、2000吨片材项目监测报告》（汉谱HB〔2019〕第0036号），评价项目所在区域地下水现状。该项目</w:t>
            </w:r>
            <w:r>
              <w:rPr>
                <w:rFonts w:hint="eastAsia"/>
                <w:color w:val="auto"/>
                <w:szCs w:val="21"/>
              </w:rPr>
              <w:t>共</w:t>
            </w:r>
            <w:r>
              <w:rPr>
                <w:rFonts w:hint="eastAsia"/>
                <w:color w:val="auto"/>
                <w:szCs w:val="21"/>
                <w:lang w:val="en-US" w:eastAsia="zh-CN"/>
              </w:rPr>
              <w:t>在厂址周边</w:t>
            </w:r>
            <w:r>
              <w:rPr>
                <w:rFonts w:hint="eastAsia"/>
                <w:color w:val="auto"/>
                <w:szCs w:val="21"/>
              </w:rPr>
              <w:t>设置</w:t>
            </w:r>
            <w:r>
              <w:rPr>
                <w:rFonts w:hint="eastAsia"/>
                <w:color w:val="auto"/>
                <w:szCs w:val="21"/>
                <w:lang w:eastAsia="zh-CN"/>
              </w:rPr>
              <w:t>了</w:t>
            </w:r>
            <w:r>
              <w:rPr>
                <w:rFonts w:hint="eastAsia"/>
                <w:color w:val="auto"/>
                <w:szCs w:val="21"/>
              </w:rPr>
              <w:t>3个地下水</w:t>
            </w:r>
            <w:r>
              <w:rPr>
                <w:color w:val="auto"/>
                <w:szCs w:val="21"/>
              </w:rPr>
              <w:t>监测点位</w:t>
            </w:r>
            <w:r>
              <w:rPr>
                <w:rFonts w:hint="eastAsia"/>
                <w:color w:val="auto"/>
                <w:szCs w:val="21"/>
              </w:rPr>
              <w:t>，监测及评价结果</w:t>
            </w:r>
            <w:r>
              <w:rPr>
                <w:color w:val="auto"/>
                <w:szCs w:val="21"/>
                <w:lang w:val="zh-CN"/>
              </w:rPr>
              <w:t>详见下表。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表3-</w:t>
            </w:r>
            <w:r>
              <w:rPr>
                <w:rFonts w:hint="eastAsia" w:ascii="Times New Roman" w:hAnsi="Times New Roman" w:eastAsia="黑体" w:cs="Times New Roman"/>
                <w:color w:val="auto"/>
                <w:kern w:val="0"/>
                <w:sz w:val="20"/>
                <w:szCs w:val="20"/>
                <w:lang w:val="en-US" w:eastAsia="zh-CN"/>
              </w:rPr>
              <w:t>4</w:t>
            </w:r>
            <w:r>
              <w:rPr>
                <w:rFonts w:hint="default" w:ascii="Times New Roman" w:hAnsi="Times New Roman" w:eastAsia="黑体" w:cs="Times New Roman"/>
                <w:color w:val="auto"/>
                <w:kern w:val="0"/>
                <w:sz w:val="20"/>
                <w:szCs w:val="20"/>
                <w:lang w:val="zh-CN" w:eastAsia="zh-CN"/>
              </w:rPr>
              <w:t xml:space="preserve">  地下水监测结果     单位：mg/L</w:t>
            </w:r>
          </w:p>
          <w:tbl>
            <w:tblPr>
              <w:tblStyle w:val="14"/>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692"/>
              <w:gridCol w:w="556"/>
              <w:gridCol w:w="489"/>
              <w:gridCol w:w="668"/>
              <w:gridCol w:w="571"/>
              <w:gridCol w:w="516"/>
              <w:gridCol w:w="617"/>
              <w:gridCol w:w="564"/>
              <w:gridCol w:w="51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90" w:type="dxa"/>
                  <w:vMerge w:val="restart"/>
                  <w:noWrap w:val="0"/>
                  <w:vAlign w:val="center"/>
                </w:tcPr>
                <w:p>
                  <w:pPr>
                    <w:spacing w:line="280" w:lineRule="exact"/>
                    <w:ind w:left="-105" w:leftChars="-50" w:right="-105" w:rightChars="-50"/>
                    <w:jc w:val="center"/>
                    <w:rPr>
                      <w:color w:val="auto"/>
                      <w:sz w:val="18"/>
                      <w:szCs w:val="18"/>
                    </w:rPr>
                  </w:pPr>
                  <w:r>
                    <w:rPr>
                      <w:b/>
                      <w:bCs/>
                      <w:color w:val="auto"/>
                      <w:sz w:val="18"/>
                      <w:szCs w:val="18"/>
                    </w:rPr>
                    <w:t>监测项目</w:t>
                  </w:r>
                </w:p>
              </w:tc>
              <w:tc>
                <w:tcPr>
                  <w:tcW w:w="1737" w:type="dxa"/>
                  <w:gridSpan w:val="3"/>
                  <w:noWrap w:val="0"/>
                  <w:vAlign w:val="center"/>
                </w:tcPr>
                <w:p>
                  <w:pPr>
                    <w:spacing w:line="280" w:lineRule="exact"/>
                    <w:ind w:left="-105" w:leftChars="-50" w:right="-105" w:rightChars="-50"/>
                    <w:jc w:val="center"/>
                    <w:rPr>
                      <w:b/>
                      <w:bCs/>
                      <w:color w:val="auto"/>
                      <w:sz w:val="18"/>
                      <w:szCs w:val="18"/>
                    </w:rPr>
                  </w:pPr>
                  <w:r>
                    <w:rPr>
                      <w:b/>
                      <w:bCs/>
                      <w:color w:val="auto"/>
                      <w:sz w:val="18"/>
                      <w:szCs w:val="18"/>
                    </w:rPr>
                    <w:t>1#（上游）</w:t>
                  </w:r>
                </w:p>
                <w:p>
                  <w:pPr>
                    <w:spacing w:line="280" w:lineRule="exact"/>
                    <w:ind w:left="-105" w:leftChars="-50" w:right="-105" w:rightChars="-50"/>
                    <w:jc w:val="center"/>
                    <w:rPr>
                      <w:b/>
                      <w:bCs/>
                      <w:color w:val="auto"/>
                      <w:sz w:val="18"/>
                      <w:szCs w:val="18"/>
                    </w:rPr>
                  </w:pPr>
                  <w:r>
                    <w:rPr>
                      <w:b/>
                      <w:bCs/>
                      <w:color w:val="auto"/>
                      <w:sz w:val="18"/>
                      <w:szCs w:val="18"/>
                    </w:rPr>
                    <w:t>项目所在地北面</w:t>
                  </w:r>
                </w:p>
                <w:p>
                  <w:pPr>
                    <w:spacing w:line="280" w:lineRule="exact"/>
                    <w:ind w:left="-105" w:leftChars="-50" w:right="-105" w:rightChars="-50"/>
                    <w:jc w:val="center"/>
                    <w:rPr>
                      <w:b/>
                      <w:bCs/>
                      <w:color w:val="auto"/>
                      <w:sz w:val="18"/>
                      <w:szCs w:val="18"/>
                    </w:rPr>
                  </w:pPr>
                  <w:r>
                    <w:rPr>
                      <w:b/>
                      <w:bCs/>
                      <w:color w:val="auto"/>
                      <w:sz w:val="18"/>
                      <w:szCs w:val="18"/>
                    </w:rPr>
                    <w:t>（农户自掘井）</w:t>
                  </w:r>
                </w:p>
              </w:tc>
              <w:tc>
                <w:tcPr>
                  <w:tcW w:w="1755" w:type="dxa"/>
                  <w:gridSpan w:val="3"/>
                  <w:noWrap w:val="0"/>
                  <w:vAlign w:val="center"/>
                </w:tcPr>
                <w:p>
                  <w:pPr>
                    <w:spacing w:line="280" w:lineRule="exact"/>
                    <w:ind w:left="-105" w:leftChars="-50" w:right="-105" w:rightChars="-50"/>
                    <w:jc w:val="center"/>
                    <w:rPr>
                      <w:b/>
                      <w:bCs/>
                      <w:color w:val="auto"/>
                      <w:sz w:val="18"/>
                      <w:szCs w:val="18"/>
                    </w:rPr>
                  </w:pPr>
                  <w:r>
                    <w:rPr>
                      <w:b/>
                      <w:bCs/>
                      <w:color w:val="auto"/>
                      <w:sz w:val="18"/>
                      <w:szCs w:val="18"/>
                    </w:rPr>
                    <w:t>2#（下游）</w:t>
                  </w:r>
                </w:p>
                <w:p>
                  <w:pPr>
                    <w:spacing w:line="280" w:lineRule="exact"/>
                    <w:ind w:left="-105" w:leftChars="-50" w:right="-105" w:rightChars="-50"/>
                    <w:jc w:val="center"/>
                    <w:rPr>
                      <w:b/>
                      <w:bCs/>
                      <w:color w:val="auto"/>
                      <w:sz w:val="18"/>
                      <w:szCs w:val="18"/>
                    </w:rPr>
                  </w:pPr>
                  <w:r>
                    <w:rPr>
                      <w:b/>
                      <w:bCs/>
                      <w:color w:val="auto"/>
                      <w:sz w:val="18"/>
                      <w:szCs w:val="18"/>
                    </w:rPr>
                    <w:t>项目所在地南面</w:t>
                  </w:r>
                </w:p>
                <w:p>
                  <w:pPr>
                    <w:spacing w:line="280" w:lineRule="exact"/>
                    <w:ind w:left="-105" w:leftChars="-50" w:right="-105" w:rightChars="-50"/>
                    <w:jc w:val="center"/>
                    <w:rPr>
                      <w:b/>
                      <w:bCs/>
                      <w:color w:val="auto"/>
                      <w:sz w:val="18"/>
                      <w:szCs w:val="18"/>
                    </w:rPr>
                  </w:pPr>
                  <w:r>
                    <w:rPr>
                      <w:b/>
                      <w:bCs/>
                      <w:color w:val="auto"/>
                      <w:sz w:val="18"/>
                      <w:szCs w:val="18"/>
                    </w:rPr>
                    <w:t>（农户自掘井）</w:t>
                  </w:r>
                </w:p>
              </w:tc>
              <w:tc>
                <w:tcPr>
                  <w:tcW w:w="1693" w:type="dxa"/>
                  <w:gridSpan w:val="3"/>
                  <w:noWrap w:val="0"/>
                  <w:vAlign w:val="center"/>
                </w:tcPr>
                <w:p>
                  <w:pPr>
                    <w:spacing w:line="280" w:lineRule="exact"/>
                    <w:ind w:left="-105" w:leftChars="-50" w:right="-105" w:rightChars="-50"/>
                    <w:jc w:val="center"/>
                    <w:rPr>
                      <w:b/>
                      <w:bCs/>
                      <w:color w:val="auto"/>
                      <w:sz w:val="18"/>
                      <w:szCs w:val="18"/>
                    </w:rPr>
                  </w:pPr>
                  <w:r>
                    <w:rPr>
                      <w:b/>
                      <w:bCs/>
                      <w:color w:val="auto"/>
                      <w:sz w:val="18"/>
                      <w:szCs w:val="18"/>
                    </w:rPr>
                    <w:t>3#（下游）</w:t>
                  </w:r>
                </w:p>
                <w:p>
                  <w:pPr>
                    <w:spacing w:line="280" w:lineRule="exact"/>
                    <w:ind w:left="-105" w:leftChars="-50" w:right="-105" w:rightChars="-50"/>
                    <w:jc w:val="center"/>
                    <w:rPr>
                      <w:b/>
                      <w:bCs/>
                      <w:color w:val="auto"/>
                      <w:sz w:val="18"/>
                      <w:szCs w:val="18"/>
                    </w:rPr>
                  </w:pPr>
                  <w:r>
                    <w:rPr>
                      <w:b/>
                      <w:bCs/>
                      <w:color w:val="auto"/>
                      <w:sz w:val="18"/>
                      <w:szCs w:val="18"/>
                    </w:rPr>
                    <w:t>项目所在地东南面</w:t>
                  </w:r>
                </w:p>
                <w:p>
                  <w:pPr>
                    <w:spacing w:line="280" w:lineRule="exact"/>
                    <w:ind w:left="-105" w:leftChars="-50" w:right="-105" w:rightChars="-50"/>
                    <w:jc w:val="center"/>
                    <w:rPr>
                      <w:b/>
                      <w:bCs/>
                      <w:color w:val="auto"/>
                      <w:sz w:val="18"/>
                      <w:szCs w:val="18"/>
                    </w:rPr>
                  </w:pPr>
                  <w:r>
                    <w:rPr>
                      <w:b/>
                      <w:bCs/>
                      <w:color w:val="auto"/>
                      <w:sz w:val="18"/>
                      <w:szCs w:val="18"/>
                    </w:rPr>
                    <w:t>（农户自掘井）</w:t>
                  </w:r>
                </w:p>
              </w:tc>
              <w:tc>
                <w:tcPr>
                  <w:tcW w:w="765" w:type="dxa"/>
                  <w:vMerge w:val="restart"/>
                  <w:noWrap w:val="0"/>
                  <w:vAlign w:val="center"/>
                </w:tcPr>
                <w:p>
                  <w:pPr>
                    <w:spacing w:line="280" w:lineRule="exact"/>
                    <w:ind w:left="-199" w:leftChars="-95" w:right="-122" w:rightChars="-58"/>
                    <w:jc w:val="center"/>
                    <w:rPr>
                      <w:rFonts w:hint="eastAsia"/>
                      <w:b/>
                      <w:bCs/>
                      <w:color w:val="auto"/>
                      <w:sz w:val="18"/>
                      <w:szCs w:val="18"/>
                    </w:rPr>
                  </w:pPr>
                  <w:r>
                    <w:rPr>
                      <w:rFonts w:hint="eastAsia"/>
                      <w:b/>
                      <w:bCs/>
                      <w:color w:val="auto"/>
                      <w:sz w:val="18"/>
                      <w:szCs w:val="18"/>
                    </w:rPr>
                    <w:t>标准</w:t>
                  </w:r>
                </w:p>
                <w:p>
                  <w:pPr>
                    <w:spacing w:line="280" w:lineRule="exact"/>
                    <w:ind w:left="-199" w:leftChars="-95" w:right="-122" w:rightChars="-58"/>
                    <w:jc w:val="center"/>
                    <w:rPr>
                      <w:rFonts w:hint="eastAsia"/>
                      <w:b/>
                      <w:bCs/>
                      <w:color w:val="auto"/>
                      <w:sz w:val="18"/>
                      <w:szCs w:val="18"/>
                    </w:rPr>
                  </w:pPr>
                  <w:r>
                    <w:rPr>
                      <w:rFonts w:hint="eastAsia"/>
                      <w:b/>
                      <w:bCs/>
                      <w:color w:val="auto"/>
                      <w:sz w:val="18"/>
                      <w:szCs w:val="18"/>
                    </w:rPr>
                    <w:t>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990" w:type="dxa"/>
                  <w:vMerge w:val="continue"/>
                  <w:noWrap w:val="0"/>
                  <w:vAlign w:val="center"/>
                </w:tcPr>
                <w:p>
                  <w:pPr>
                    <w:spacing w:line="280" w:lineRule="exact"/>
                    <w:ind w:left="-105" w:leftChars="-50" w:right="-105" w:rightChars="-50"/>
                    <w:jc w:val="center"/>
                    <w:rPr>
                      <w:color w:val="auto"/>
                      <w:sz w:val="18"/>
                      <w:szCs w:val="18"/>
                    </w:rPr>
                  </w:pPr>
                </w:p>
              </w:tc>
              <w:tc>
                <w:tcPr>
                  <w:tcW w:w="692" w:type="dxa"/>
                  <w:noWrap w:val="0"/>
                  <w:vAlign w:val="center"/>
                </w:tcPr>
                <w:p>
                  <w:pPr>
                    <w:spacing w:line="280" w:lineRule="exact"/>
                    <w:ind w:left="-105" w:leftChars="-50" w:right="-105" w:rightChars="-50"/>
                    <w:jc w:val="center"/>
                    <w:rPr>
                      <w:rFonts w:hint="eastAsia"/>
                      <w:b/>
                      <w:bCs/>
                      <w:color w:val="auto"/>
                      <w:sz w:val="18"/>
                      <w:szCs w:val="18"/>
                    </w:rPr>
                  </w:pPr>
                  <w:r>
                    <w:rPr>
                      <w:rFonts w:hint="eastAsia"/>
                      <w:b/>
                      <w:bCs/>
                      <w:color w:val="auto"/>
                      <w:sz w:val="18"/>
                      <w:szCs w:val="18"/>
                    </w:rPr>
                    <w:t>监测</w:t>
                  </w:r>
                </w:p>
                <w:p>
                  <w:pPr>
                    <w:spacing w:line="280" w:lineRule="exact"/>
                    <w:ind w:left="-105" w:leftChars="-50" w:right="-105" w:rightChars="-50"/>
                    <w:jc w:val="center"/>
                    <w:rPr>
                      <w:b/>
                      <w:bCs/>
                      <w:color w:val="auto"/>
                      <w:sz w:val="18"/>
                      <w:szCs w:val="18"/>
                    </w:rPr>
                  </w:pPr>
                  <w:r>
                    <w:rPr>
                      <w:rFonts w:hint="eastAsia"/>
                      <w:b/>
                      <w:bCs/>
                      <w:color w:val="auto"/>
                      <w:sz w:val="18"/>
                      <w:szCs w:val="18"/>
                    </w:rPr>
                    <w:t>结果</w:t>
                  </w:r>
                </w:p>
              </w:tc>
              <w:tc>
                <w:tcPr>
                  <w:tcW w:w="556" w:type="dxa"/>
                  <w:noWrap w:val="0"/>
                  <w:vAlign w:val="center"/>
                </w:tcPr>
                <w:p>
                  <w:pPr>
                    <w:spacing w:line="280" w:lineRule="exact"/>
                    <w:ind w:left="-105" w:leftChars="-50" w:right="-105" w:rightChars="-50"/>
                    <w:jc w:val="center"/>
                    <w:rPr>
                      <w:rFonts w:hint="eastAsia"/>
                      <w:b/>
                      <w:bCs/>
                      <w:color w:val="auto"/>
                      <w:sz w:val="18"/>
                      <w:szCs w:val="18"/>
                    </w:rPr>
                  </w:pPr>
                  <w:r>
                    <w:rPr>
                      <w:rFonts w:hint="eastAsia"/>
                      <w:b/>
                      <w:bCs/>
                      <w:color w:val="auto"/>
                      <w:sz w:val="18"/>
                      <w:szCs w:val="18"/>
                    </w:rPr>
                    <w:t>评价</w:t>
                  </w:r>
                </w:p>
                <w:p>
                  <w:pPr>
                    <w:spacing w:line="280" w:lineRule="exact"/>
                    <w:ind w:left="-105" w:leftChars="-50" w:right="-105" w:rightChars="-50"/>
                    <w:jc w:val="center"/>
                    <w:rPr>
                      <w:b/>
                      <w:bCs/>
                      <w:color w:val="auto"/>
                      <w:sz w:val="18"/>
                      <w:szCs w:val="18"/>
                    </w:rPr>
                  </w:pPr>
                  <w:r>
                    <w:rPr>
                      <w:rFonts w:hint="eastAsia"/>
                      <w:b/>
                      <w:bCs/>
                      <w:color w:val="auto"/>
                      <w:sz w:val="18"/>
                      <w:szCs w:val="18"/>
                    </w:rPr>
                    <w:t>结果</w:t>
                  </w:r>
                </w:p>
              </w:tc>
              <w:tc>
                <w:tcPr>
                  <w:tcW w:w="489" w:type="dxa"/>
                  <w:noWrap w:val="0"/>
                  <w:vAlign w:val="center"/>
                </w:tcPr>
                <w:p>
                  <w:pPr>
                    <w:spacing w:line="280" w:lineRule="exact"/>
                    <w:ind w:left="-105" w:leftChars="-50" w:right="-105" w:rightChars="-50"/>
                    <w:jc w:val="center"/>
                    <w:rPr>
                      <w:b/>
                      <w:bCs/>
                      <w:color w:val="auto"/>
                      <w:sz w:val="18"/>
                      <w:szCs w:val="18"/>
                    </w:rPr>
                  </w:pPr>
                  <w:r>
                    <w:rPr>
                      <w:rFonts w:hint="eastAsia"/>
                      <w:b/>
                      <w:bCs/>
                      <w:color w:val="auto"/>
                      <w:sz w:val="18"/>
                      <w:szCs w:val="18"/>
                    </w:rPr>
                    <w:t>超标率%</w:t>
                  </w:r>
                </w:p>
              </w:tc>
              <w:tc>
                <w:tcPr>
                  <w:tcW w:w="668" w:type="dxa"/>
                  <w:noWrap w:val="0"/>
                  <w:vAlign w:val="center"/>
                </w:tcPr>
                <w:p>
                  <w:pPr>
                    <w:spacing w:line="280" w:lineRule="exact"/>
                    <w:ind w:left="-105" w:leftChars="-50" w:right="-105" w:rightChars="-50"/>
                    <w:jc w:val="center"/>
                    <w:rPr>
                      <w:rFonts w:hint="eastAsia"/>
                      <w:b/>
                      <w:bCs/>
                      <w:color w:val="auto"/>
                      <w:sz w:val="18"/>
                      <w:szCs w:val="18"/>
                    </w:rPr>
                  </w:pPr>
                  <w:r>
                    <w:rPr>
                      <w:rFonts w:hint="eastAsia"/>
                      <w:b/>
                      <w:bCs/>
                      <w:color w:val="auto"/>
                      <w:sz w:val="18"/>
                      <w:szCs w:val="18"/>
                    </w:rPr>
                    <w:t>监测</w:t>
                  </w:r>
                </w:p>
                <w:p>
                  <w:pPr>
                    <w:spacing w:line="280" w:lineRule="exact"/>
                    <w:ind w:left="-105" w:leftChars="-50" w:right="-105" w:rightChars="-50"/>
                    <w:jc w:val="center"/>
                    <w:rPr>
                      <w:b/>
                      <w:bCs/>
                      <w:color w:val="auto"/>
                      <w:sz w:val="18"/>
                      <w:szCs w:val="18"/>
                    </w:rPr>
                  </w:pPr>
                  <w:r>
                    <w:rPr>
                      <w:rFonts w:hint="eastAsia"/>
                      <w:b/>
                      <w:bCs/>
                      <w:color w:val="auto"/>
                      <w:sz w:val="18"/>
                      <w:szCs w:val="18"/>
                    </w:rPr>
                    <w:t>结果</w:t>
                  </w:r>
                </w:p>
              </w:tc>
              <w:tc>
                <w:tcPr>
                  <w:tcW w:w="571" w:type="dxa"/>
                  <w:noWrap w:val="0"/>
                  <w:vAlign w:val="center"/>
                </w:tcPr>
                <w:p>
                  <w:pPr>
                    <w:spacing w:line="280" w:lineRule="exact"/>
                    <w:ind w:left="-105" w:leftChars="-50" w:right="-105" w:rightChars="-50"/>
                    <w:jc w:val="center"/>
                    <w:rPr>
                      <w:rFonts w:hint="eastAsia"/>
                      <w:b/>
                      <w:bCs/>
                      <w:color w:val="auto"/>
                      <w:sz w:val="18"/>
                      <w:szCs w:val="18"/>
                    </w:rPr>
                  </w:pPr>
                  <w:r>
                    <w:rPr>
                      <w:rFonts w:hint="eastAsia"/>
                      <w:b/>
                      <w:bCs/>
                      <w:color w:val="auto"/>
                      <w:sz w:val="18"/>
                      <w:szCs w:val="18"/>
                    </w:rPr>
                    <w:t>评价</w:t>
                  </w:r>
                </w:p>
                <w:p>
                  <w:pPr>
                    <w:spacing w:line="280" w:lineRule="exact"/>
                    <w:ind w:left="-105" w:leftChars="-50" w:right="-105" w:rightChars="-50"/>
                    <w:jc w:val="center"/>
                    <w:rPr>
                      <w:b/>
                      <w:bCs/>
                      <w:color w:val="auto"/>
                      <w:sz w:val="18"/>
                      <w:szCs w:val="18"/>
                    </w:rPr>
                  </w:pPr>
                  <w:r>
                    <w:rPr>
                      <w:rFonts w:hint="eastAsia"/>
                      <w:b/>
                      <w:bCs/>
                      <w:color w:val="auto"/>
                      <w:sz w:val="18"/>
                      <w:szCs w:val="18"/>
                    </w:rPr>
                    <w:t>结果</w:t>
                  </w:r>
                </w:p>
              </w:tc>
              <w:tc>
                <w:tcPr>
                  <w:tcW w:w="516" w:type="dxa"/>
                  <w:noWrap w:val="0"/>
                  <w:vAlign w:val="center"/>
                </w:tcPr>
                <w:p>
                  <w:pPr>
                    <w:spacing w:line="280" w:lineRule="exact"/>
                    <w:ind w:left="-105" w:leftChars="-50" w:right="-105" w:rightChars="-50"/>
                    <w:jc w:val="center"/>
                    <w:rPr>
                      <w:b/>
                      <w:bCs/>
                      <w:color w:val="auto"/>
                      <w:sz w:val="18"/>
                      <w:szCs w:val="18"/>
                    </w:rPr>
                  </w:pPr>
                  <w:r>
                    <w:rPr>
                      <w:rFonts w:hint="eastAsia"/>
                      <w:b/>
                      <w:bCs/>
                      <w:color w:val="auto"/>
                      <w:sz w:val="18"/>
                      <w:szCs w:val="18"/>
                    </w:rPr>
                    <w:t>超标率%</w:t>
                  </w:r>
                </w:p>
              </w:tc>
              <w:tc>
                <w:tcPr>
                  <w:tcW w:w="617" w:type="dxa"/>
                  <w:noWrap w:val="0"/>
                  <w:vAlign w:val="center"/>
                </w:tcPr>
                <w:p>
                  <w:pPr>
                    <w:spacing w:line="280" w:lineRule="exact"/>
                    <w:ind w:left="-105" w:leftChars="-50" w:right="-105" w:rightChars="-50"/>
                    <w:jc w:val="center"/>
                    <w:rPr>
                      <w:rFonts w:hint="eastAsia"/>
                      <w:b/>
                      <w:bCs/>
                      <w:color w:val="auto"/>
                      <w:sz w:val="18"/>
                      <w:szCs w:val="18"/>
                    </w:rPr>
                  </w:pPr>
                  <w:r>
                    <w:rPr>
                      <w:rFonts w:hint="eastAsia"/>
                      <w:b/>
                      <w:bCs/>
                      <w:color w:val="auto"/>
                      <w:sz w:val="18"/>
                      <w:szCs w:val="18"/>
                    </w:rPr>
                    <w:t>监测</w:t>
                  </w:r>
                </w:p>
                <w:p>
                  <w:pPr>
                    <w:spacing w:line="280" w:lineRule="exact"/>
                    <w:ind w:left="-105" w:leftChars="-50" w:right="-105" w:rightChars="-50"/>
                    <w:jc w:val="center"/>
                    <w:rPr>
                      <w:b/>
                      <w:bCs/>
                      <w:color w:val="auto"/>
                      <w:sz w:val="18"/>
                      <w:szCs w:val="18"/>
                    </w:rPr>
                  </w:pPr>
                  <w:r>
                    <w:rPr>
                      <w:rFonts w:hint="eastAsia"/>
                      <w:b/>
                      <w:bCs/>
                      <w:color w:val="auto"/>
                      <w:sz w:val="18"/>
                      <w:szCs w:val="18"/>
                    </w:rPr>
                    <w:t>结果</w:t>
                  </w:r>
                </w:p>
              </w:tc>
              <w:tc>
                <w:tcPr>
                  <w:tcW w:w="564" w:type="dxa"/>
                  <w:noWrap w:val="0"/>
                  <w:vAlign w:val="center"/>
                </w:tcPr>
                <w:p>
                  <w:pPr>
                    <w:spacing w:line="280" w:lineRule="exact"/>
                    <w:ind w:left="-105" w:leftChars="-50" w:right="-105" w:rightChars="-50"/>
                    <w:jc w:val="center"/>
                    <w:rPr>
                      <w:rFonts w:hint="eastAsia"/>
                      <w:b/>
                      <w:bCs/>
                      <w:color w:val="auto"/>
                      <w:sz w:val="18"/>
                      <w:szCs w:val="18"/>
                    </w:rPr>
                  </w:pPr>
                  <w:r>
                    <w:rPr>
                      <w:rFonts w:hint="eastAsia"/>
                      <w:b/>
                      <w:bCs/>
                      <w:color w:val="auto"/>
                      <w:sz w:val="18"/>
                      <w:szCs w:val="18"/>
                    </w:rPr>
                    <w:t>评价</w:t>
                  </w:r>
                </w:p>
                <w:p>
                  <w:pPr>
                    <w:spacing w:line="280" w:lineRule="exact"/>
                    <w:ind w:left="-105" w:leftChars="-50" w:right="-105" w:rightChars="-50"/>
                    <w:jc w:val="center"/>
                    <w:rPr>
                      <w:b/>
                      <w:bCs/>
                      <w:color w:val="auto"/>
                      <w:sz w:val="18"/>
                      <w:szCs w:val="18"/>
                    </w:rPr>
                  </w:pPr>
                  <w:r>
                    <w:rPr>
                      <w:rFonts w:hint="eastAsia"/>
                      <w:b/>
                      <w:bCs/>
                      <w:color w:val="auto"/>
                      <w:sz w:val="18"/>
                      <w:szCs w:val="18"/>
                    </w:rPr>
                    <w:t>结果</w:t>
                  </w:r>
                </w:p>
              </w:tc>
              <w:tc>
                <w:tcPr>
                  <w:tcW w:w="512" w:type="dxa"/>
                  <w:noWrap w:val="0"/>
                  <w:vAlign w:val="center"/>
                </w:tcPr>
                <w:p>
                  <w:pPr>
                    <w:spacing w:line="280" w:lineRule="exact"/>
                    <w:ind w:left="-105" w:leftChars="-50" w:right="-105" w:rightChars="-50"/>
                    <w:jc w:val="center"/>
                    <w:rPr>
                      <w:b/>
                      <w:bCs/>
                      <w:color w:val="auto"/>
                      <w:sz w:val="18"/>
                      <w:szCs w:val="18"/>
                    </w:rPr>
                  </w:pPr>
                  <w:r>
                    <w:rPr>
                      <w:rFonts w:hint="eastAsia"/>
                      <w:b/>
                      <w:bCs/>
                      <w:color w:val="auto"/>
                      <w:sz w:val="18"/>
                      <w:szCs w:val="18"/>
                    </w:rPr>
                    <w:t>超标率%</w:t>
                  </w:r>
                </w:p>
              </w:tc>
              <w:tc>
                <w:tcPr>
                  <w:tcW w:w="765" w:type="dxa"/>
                  <w:vMerge w:val="continue"/>
                  <w:noWrap w:val="0"/>
                  <w:vAlign w:val="center"/>
                </w:tcPr>
                <w:p>
                  <w:pPr>
                    <w:spacing w:line="280" w:lineRule="exact"/>
                    <w:ind w:left="-105" w:leftChars="-50" w:right="-105" w:rightChars="-50"/>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jc w:val="center"/>
                    <w:rPr>
                      <w:bCs/>
                      <w:color w:val="auto"/>
                      <w:sz w:val="18"/>
                      <w:szCs w:val="18"/>
                    </w:rPr>
                  </w:pPr>
                  <w:r>
                    <w:rPr>
                      <w:bCs/>
                      <w:color w:val="auto"/>
                      <w:sz w:val="18"/>
                      <w:szCs w:val="18"/>
                    </w:rPr>
                    <w:t>pH（无量纲）</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7.29</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0.19</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7.31</w:t>
                  </w:r>
                </w:p>
              </w:tc>
              <w:tc>
                <w:tcPr>
                  <w:tcW w:w="571"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0.21</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7.27</w:t>
                  </w:r>
                </w:p>
              </w:tc>
              <w:tc>
                <w:tcPr>
                  <w:tcW w:w="564"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0.18</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990" w:type="dxa"/>
                  <w:noWrap w:val="0"/>
                  <w:vAlign w:val="center"/>
                </w:tcPr>
                <w:p>
                  <w:pPr>
                    <w:spacing w:line="280" w:lineRule="exact"/>
                    <w:ind w:left="-105" w:leftChars="-50" w:right="-105" w:rightChars="-50"/>
                    <w:jc w:val="center"/>
                    <w:rPr>
                      <w:color w:val="auto"/>
                      <w:sz w:val="18"/>
                      <w:szCs w:val="18"/>
                    </w:rPr>
                  </w:pPr>
                  <w:r>
                    <w:rPr>
                      <w:color w:val="auto"/>
                      <w:sz w:val="18"/>
                      <w:szCs w:val="18"/>
                    </w:rPr>
                    <w:t>总硬度</w:t>
                  </w:r>
                </w:p>
                <w:p>
                  <w:pPr>
                    <w:spacing w:line="280" w:lineRule="exact"/>
                    <w:ind w:left="-105" w:leftChars="-50" w:right="-105" w:rightChars="-50"/>
                    <w:jc w:val="center"/>
                    <w:rPr>
                      <w:bCs/>
                      <w:color w:val="auto"/>
                      <w:sz w:val="18"/>
                      <w:szCs w:val="18"/>
                    </w:rPr>
                  </w:pPr>
                  <w:r>
                    <w:rPr>
                      <w:color w:val="auto"/>
                      <w:sz w:val="18"/>
                      <w:szCs w:val="18"/>
                    </w:rPr>
                    <w:t>（以</w:t>
                  </w:r>
                  <w:r>
                    <w:rPr>
                      <w:bCs/>
                      <w:color w:val="auto"/>
                      <w:sz w:val="18"/>
                      <w:szCs w:val="18"/>
                    </w:rPr>
                    <w:t>CaCO</w:t>
                  </w:r>
                  <w:r>
                    <w:rPr>
                      <w:bCs/>
                      <w:color w:val="auto"/>
                      <w:sz w:val="18"/>
                      <w:szCs w:val="18"/>
                      <w:vertAlign w:val="subscript"/>
                    </w:rPr>
                    <w:t>3</w:t>
                  </w:r>
                  <w:r>
                    <w:rPr>
                      <w:bCs/>
                      <w:color w:val="auto"/>
                      <w:sz w:val="18"/>
                      <w:szCs w:val="18"/>
                    </w:rPr>
                    <w:t>计</w:t>
                  </w:r>
                  <w:r>
                    <w:rPr>
                      <w:color w:val="auto"/>
                      <w:sz w:val="18"/>
                      <w:szCs w:val="18"/>
                    </w:rPr>
                    <w:t>）</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234</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0.52</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187</w:t>
                  </w:r>
                </w:p>
              </w:tc>
              <w:tc>
                <w:tcPr>
                  <w:tcW w:w="571"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0.42</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236</w:t>
                  </w:r>
                </w:p>
              </w:tc>
              <w:tc>
                <w:tcPr>
                  <w:tcW w:w="564"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0.52</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rFonts w:hint="eastAsia"/>
                      <w:bCs/>
                      <w:color w:val="auto"/>
                      <w:sz w:val="18"/>
                      <w:szCs w:val="18"/>
                    </w:rPr>
                  </w:pPr>
                  <w:r>
                    <w:rPr>
                      <w:rFonts w:hint="eastAsia"/>
                      <w:bCs/>
                      <w:color w:val="auto"/>
                      <w:sz w:val="18"/>
                      <w:szCs w:val="18"/>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氨氮</w:t>
                  </w:r>
                  <w:r>
                    <w:rPr>
                      <w:color w:val="auto"/>
                      <w:sz w:val="18"/>
                      <w:szCs w:val="18"/>
                    </w:rPr>
                    <w:t>（以N计）</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0.101</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0.20</w:t>
                  </w:r>
                </w:p>
              </w:tc>
              <w:tc>
                <w:tcPr>
                  <w:tcW w:w="489" w:type="dxa"/>
                  <w:noWrap w:val="0"/>
                  <w:vAlign w:val="center"/>
                </w:tcPr>
                <w:p>
                  <w:pPr>
                    <w:spacing w:line="280" w:lineRule="exact"/>
                    <w:ind w:left="-53" w:leftChars="-25" w:right="-53" w:rightChars="-25"/>
                    <w:jc w:val="center"/>
                    <w:rPr>
                      <w:rFonts w:hint="eastAsia" w:eastAsia="宋体"/>
                      <w:color w:val="auto"/>
                      <w:sz w:val="18"/>
                      <w:szCs w:val="18"/>
                      <w:lang w:val="en-US" w:eastAsia="zh-CN"/>
                    </w:rPr>
                  </w:pPr>
                  <w:r>
                    <w:rPr>
                      <w:rFonts w:hint="eastAsia"/>
                      <w:color w:val="auto"/>
                      <w:sz w:val="18"/>
                      <w:szCs w:val="18"/>
                      <w:lang w:val="en-US" w:eastAsia="zh-CN"/>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0.059</w:t>
                  </w:r>
                </w:p>
              </w:tc>
              <w:tc>
                <w:tcPr>
                  <w:tcW w:w="571"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0.12</w:t>
                  </w:r>
                </w:p>
              </w:tc>
              <w:tc>
                <w:tcPr>
                  <w:tcW w:w="516" w:type="dxa"/>
                  <w:noWrap w:val="0"/>
                  <w:vAlign w:val="center"/>
                </w:tcPr>
                <w:p>
                  <w:pPr>
                    <w:spacing w:line="280" w:lineRule="exact"/>
                    <w:ind w:left="-53" w:leftChars="-25" w:right="-53" w:rightChars="-25"/>
                    <w:jc w:val="center"/>
                    <w:rPr>
                      <w:rFonts w:hint="eastAsia" w:eastAsia="宋体"/>
                      <w:color w:val="auto"/>
                      <w:sz w:val="18"/>
                      <w:szCs w:val="18"/>
                      <w:lang w:val="en-US" w:eastAsia="zh-CN"/>
                    </w:rPr>
                  </w:pPr>
                  <w:r>
                    <w:rPr>
                      <w:rFonts w:hint="eastAsia"/>
                      <w:color w:val="auto"/>
                      <w:sz w:val="18"/>
                      <w:szCs w:val="18"/>
                      <w:lang w:val="en-US" w:eastAsia="zh-CN"/>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0.090</w:t>
                  </w:r>
                </w:p>
              </w:tc>
              <w:tc>
                <w:tcPr>
                  <w:tcW w:w="564"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0.18</w:t>
                  </w:r>
                </w:p>
              </w:tc>
              <w:tc>
                <w:tcPr>
                  <w:tcW w:w="512" w:type="dxa"/>
                  <w:noWrap w:val="0"/>
                  <w:vAlign w:val="center"/>
                </w:tcPr>
                <w:p>
                  <w:pPr>
                    <w:spacing w:line="280" w:lineRule="exact"/>
                    <w:ind w:left="-53" w:leftChars="-25" w:right="-53" w:rightChars="-25"/>
                    <w:jc w:val="center"/>
                    <w:rPr>
                      <w:rFonts w:hint="eastAsia" w:eastAsia="宋体"/>
                      <w:color w:val="auto"/>
                      <w:sz w:val="18"/>
                      <w:szCs w:val="18"/>
                      <w:lang w:val="en-US" w:eastAsia="zh-CN"/>
                    </w:rPr>
                  </w:pPr>
                  <w:r>
                    <w:rPr>
                      <w:rFonts w:hint="eastAsia"/>
                      <w:color w:val="auto"/>
                      <w:sz w:val="18"/>
                      <w:szCs w:val="18"/>
                      <w:lang w:val="en-US" w:eastAsia="zh-CN"/>
                    </w:rPr>
                    <w:t>0</w:t>
                  </w:r>
                </w:p>
              </w:tc>
              <w:tc>
                <w:tcPr>
                  <w:tcW w:w="765"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rPr>
                    <w:t>≤</w:t>
                  </w:r>
                  <w:r>
                    <w:rPr>
                      <w:rFonts w:hint="eastAsia"/>
                      <w:bCs/>
                      <w:color w:val="auto"/>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990" w:type="dxa"/>
                  <w:noWrap w:val="0"/>
                  <w:vAlign w:val="center"/>
                </w:tcPr>
                <w:p>
                  <w:pPr>
                    <w:spacing w:line="280" w:lineRule="exact"/>
                    <w:jc w:val="center"/>
                    <w:rPr>
                      <w:bCs/>
                      <w:color w:val="auto"/>
                      <w:sz w:val="18"/>
                      <w:szCs w:val="18"/>
                    </w:rPr>
                  </w:pPr>
                  <w:r>
                    <w:rPr>
                      <w:bCs/>
                      <w:color w:val="auto"/>
                      <w:sz w:val="18"/>
                      <w:szCs w:val="18"/>
                    </w:rPr>
                    <w:t>耗氧量（COD</w:t>
                  </w:r>
                  <w:r>
                    <w:rPr>
                      <w:bCs/>
                      <w:color w:val="auto"/>
                      <w:sz w:val="18"/>
                      <w:szCs w:val="18"/>
                      <w:vertAlign w:val="subscript"/>
                    </w:rPr>
                    <w:t>Mn</w:t>
                  </w:r>
                  <w:r>
                    <w:rPr>
                      <w:bCs/>
                      <w:color w:val="auto"/>
                      <w:sz w:val="18"/>
                      <w:szCs w:val="18"/>
                    </w:rPr>
                    <w:t>法，以O</w:t>
                  </w:r>
                  <w:r>
                    <w:rPr>
                      <w:bCs/>
                      <w:color w:val="auto"/>
                      <w:sz w:val="18"/>
                      <w:szCs w:val="18"/>
                      <w:vertAlign w:val="subscript"/>
                    </w:rPr>
                    <w:t>2</w:t>
                  </w:r>
                  <w:r>
                    <w:rPr>
                      <w:bCs/>
                      <w:color w:val="auto"/>
                      <w:sz w:val="18"/>
                      <w:szCs w:val="18"/>
                    </w:rPr>
                    <w:t>计）</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0.9</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0.30</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0.8</w:t>
                  </w:r>
                </w:p>
              </w:tc>
              <w:tc>
                <w:tcPr>
                  <w:tcW w:w="571"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0.27</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1.0</w:t>
                  </w:r>
                </w:p>
              </w:tc>
              <w:tc>
                <w:tcPr>
                  <w:tcW w:w="564"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0.33</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rFonts w:hint="eastAsia"/>
                      <w:color w:val="auto"/>
                      <w:sz w:val="18"/>
                      <w:szCs w:val="18"/>
                      <w:lang w:val="en-US" w:eastAsia="zh-CN"/>
                    </w:rPr>
                  </w:pPr>
                  <w:r>
                    <w:rPr>
                      <w:color w:val="auto"/>
                      <w:sz w:val="18"/>
                      <w:szCs w:val="18"/>
                    </w:rPr>
                    <w:t>硝酸盐（以N计）</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16.40</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0.82</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17.23</w:t>
                  </w:r>
                </w:p>
              </w:tc>
              <w:tc>
                <w:tcPr>
                  <w:tcW w:w="571"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0.86</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16.69</w:t>
                  </w:r>
                </w:p>
              </w:tc>
              <w:tc>
                <w:tcPr>
                  <w:tcW w:w="564"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0.84</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rFonts w:hint="eastAsia"/>
                      <w:bCs/>
                      <w:color w:val="auto"/>
                      <w:sz w:val="18"/>
                      <w:szCs w:val="18"/>
                    </w:rPr>
                  </w:pPr>
                  <w:r>
                    <w:rPr>
                      <w:rFonts w:hint="eastAsia"/>
                      <w:bCs/>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color w:val="auto"/>
                      <w:sz w:val="18"/>
                      <w:szCs w:val="18"/>
                    </w:rPr>
                  </w:pPr>
                  <w:r>
                    <w:rPr>
                      <w:rFonts w:hint="eastAsia"/>
                      <w:color w:val="auto"/>
                      <w:sz w:val="18"/>
                      <w:szCs w:val="18"/>
                      <w:lang w:val="en-US" w:eastAsia="zh-CN"/>
                    </w:rPr>
                    <w:t>亚</w:t>
                  </w:r>
                  <w:r>
                    <w:rPr>
                      <w:color w:val="auto"/>
                      <w:sz w:val="18"/>
                      <w:szCs w:val="18"/>
                    </w:rPr>
                    <w:t>硝酸盐（以N计）</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0.008L</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0.008</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lang w:val="en-US" w:eastAsia="zh-CN"/>
                    </w:rPr>
                    <w:t>0.008L</w:t>
                  </w:r>
                </w:p>
              </w:tc>
              <w:tc>
                <w:tcPr>
                  <w:tcW w:w="571"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lang w:val="en-US" w:eastAsia="zh-CN"/>
                    </w:rPr>
                    <w:t>0.008</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lang w:val="en-US" w:eastAsia="zh-CN"/>
                    </w:rPr>
                    <w:t>0.008L</w:t>
                  </w:r>
                </w:p>
              </w:tc>
              <w:tc>
                <w:tcPr>
                  <w:tcW w:w="564"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lang w:val="en-US" w:eastAsia="zh-CN"/>
                    </w:rPr>
                    <w:t>0.008</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rPr>
                    <w:t>≤</w:t>
                  </w:r>
                  <w:r>
                    <w:rPr>
                      <w:rFonts w:hint="eastAsia"/>
                      <w:bCs/>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90" w:type="dxa"/>
                  <w:noWrap w:val="0"/>
                  <w:vAlign w:val="center"/>
                </w:tcPr>
                <w:p>
                  <w:pPr>
                    <w:spacing w:line="280" w:lineRule="exact"/>
                    <w:ind w:left="-105" w:leftChars="-50" w:right="-105" w:rightChars="-50"/>
                    <w:jc w:val="center"/>
                    <w:rPr>
                      <w:rFonts w:hint="default"/>
                      <w:color w:val="auto"/>
                      <w:sz w:val="18"/>
                      <w:szCs w:val="18"/>
                      <w:lang w:val="en-US" w:eastAsia="zh-CN"/>
                    </w:rPr>
                  </w:pPr>
                  <w:r>
                    <w:rPr>
                      <w:rFonts w:hint="eastAsia"/>
                      <w:color w:val="auto"/>
                      <w:sz w:val="18"/>
                      <w:szCs w:val="18"/>
                      <w:lang w:val="en-US" w:eastAsia="zh-CN"/>
                    </w:rPr>
                    <w:t>挥发性酚类（以苯酚计）</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0.001L</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0.50</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lang w:val="en-US" w:eastAsia="zh-CN"/>
                    </w:rPr>
                    <w:t>0.001L</w:t>
                  </w:r>
                </w:p>
              </w:tc>
              <w:tc>
                <w:tcPr>
                  <w:tcW w:w="571"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lang w:val="en-US" w:eastAsia="zh-CN"/>
                    </w:rPr>
                    <w:t>0.50</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lang w:val="en-US" w:eastAsia="zh-CN"/>
                    </w:rPr>
                    <w:t>0.001L</w:t>
                  </w:r>
                </w:p>
              </w:tc>
              <w:tc>
                <w:tcPr>
                  <w:tcW w:w="564"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lang w:val="en-US" w:eastAsia="zh-CN"/>
                    </w:rPr>
                    <w:t>0.50</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rFonts w:hint="default"/>
                      <w:bCs/>
                      <w:color w:val="auto"/>
                      <w:sz w:val="18"/>
                      <w:szCs w:val="18"/>
                      <w:lang w:val="en-US"/>
                    </w:rPr>
                  </w:pPr>
                  <w:r>
                    <w:rPr>
                      <w:rFonts w:hint="eastAsia"/>
                      <w:bCs/>
                      <w:color w:val="auto"/>
                      <w:sz w:val="18"/>
                      <w:szCs w:val="18"/>
                    </w:rPr>
                    <w:t>≤</w:t>
                  </w:r>
                  <w:r>
                    <w:rPr>
                      <w:rFonts w:hint="eastAsia"/>
                      <w:bCs/>
                      <w:color w:val="auto"/>
                      <w:sz w:val="18"/>
                      <w:szCs w:val="18"/>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jc w:val="center"/>
              </w:trPr>
              <w:tc>
                <w:tcPr>
                  <w:tcW w:w="1990" w:type="dxa"/>
                  <w:noWrap w:val="0"/>
                  <w:vAlign w:val="center"/>
                </w:tcPr>
                <w:p>
                  <w:pPr>
                    <w:spacing w:line="28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氰化物</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0.002L</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0.04</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lang w:val="en-US" w:eastAsia="zh-CN"/>
                    </w:rPr>
                    <w:t>0.002L</w:t>
                  </w:r>
                </w:p>
              </w:tc>
              <w:tc>
                <w:tcPr>
                  <w:tcW w:w="571"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lang w:val="en-US" w:eastAsia="zh-CN"/>
                    </w:rPr>
                    <w:t>0.04</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lang w:val="en-US" w:eastAsia="zh-CN"/>
                    </w:rPr>
                    <w:t>0.002L</w:t>
                  </w:r>
                </w:p>
              </w:tc>
              <w:tc>
                <w:tcPr>
                  <w:tcW w:w="564" w:type="dxa"/>
                  <w:noWrap w:val="0"/>
                  <w:vAlign w:val="center"/>
                </w:tcPr>
                <w:p>
                  <w:pPr>
                    <w:spacing w:line="280" w:lineRule="exact"/>
                    <w:ind w:left="-53" w:leftChars="-25" w:right="-53" w:rightChars="-25"/>
                    <w:jc w:val="center"/>
                    <w:rPr>
                      <w:color w:val="auto"/>
                      <w:sz w:val="18"/>
                      <w:szCs w:val="18"/>
                    </w:rPr>
                  </w:pPr>
                  <w:r>
                    <w:rPr>
                      <w:rFonts w:hint="eastAsia"/>
                      <w:color w:val="auto"/>
                      <w:sz w:val="18"/>
                      <w:szCs w:val="18"/>
                      <w:lang w:val="en-US" w:eastAsia="zh-CN"/>
                    </w:rPr>
                    <w:t>0.04</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r>
                    <w:rPr>
                      <w:rFonts w:hint="eastAsia"/>
                      <w:bCs/>
                      <w:color w:val="auto"/>
                      <w:sz w:val="18"/>
                      <w:szCs w:val="18"/>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color w:val="auto"/>
                      <w:sz w:val="18"/>
                      <w:szCs w:val="18"/>
                    </w:rPr>
                  </w:pPr>
                  <w:r>
                    <w:rPr>
                      <w:color w:val="auto"/>
                      <w:sz w:val="18"/>
                      <w:szCs w:val="18"/>
                    </w:rPr>
                    <w:t>Mg</w:t>
                  </w:r>
                  <w:r>
                    <w:rPr>
                      <w:color w:val="auto"/>
                      <w:sz w:val="18"/>
                      <w:szCs w:val="18"/>
                      <w:vertAlign w:val="superscript"/>
                    </w:rPr>
                    <w:t>2+</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3.09</w:t>
                  </w:r>
                </w:p>
              </w:tc>
              <w:tc>
                <w:tcPr>
                  <w:tcW w:w="55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489"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3.11</w:t>
                  </w:r>
                </w:p>
              </w:tc>
              <w:tc>
                <w:tcPr>
                  <w:tcW w:w="571"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3.02</w:t>
                  </w:r>
                </w:p>
              </w:tc>
              <w:tc>
                <w:tcPr>
                  <w:tcW w:w="564"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2"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color w:val="auto"/>
                      <w:sz w:val="18"/>
                      <w:szCs w:val="18"/>
                    </w:rPr>
                  </w:pPr>
                  <w:r>
                    <w:rPr>
                      <w:bCs/>
                      <w:color w:val="auto"/>
                      <w:sz w:val="18"/>
                      <w:szCs w:val="18"/>
                    </w:rPr>
                    <w:t>Ca</w:t>
                  </w:r>
                  <w:r>
                    <w:rPr>
                      <w:color w:val="auto"/>
                      <w:sz w:val="18"/>
                      <w:szCs w:val="18"/>
                      <w:vertAlign w:val="superscript"/>
                    </w:rPr>
                    <w:t>2+</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30.3</w:t>
                  </w:r>
                </w:p>
              </w:tc>
              <w:tc>
                <w:tcPr>
                  <w:tcW w:w="55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489"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30.5</w:t>
                  </w:r>
                </w:p>
              </w:tc>
              <w:tc>
                <w:tcPr>
                  <w:tcW w:w="571"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30.0</w:t>
                  </w:r>
                </w:p>
              </w:tc>
              <w:tc>
                <w:tcPr>
                  <w:tcW w:w="564"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2"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color w:val="auto"/>
                      <w:sz w:val="18"/>
                      <w:szCs w:val="18"/>
                    </w:rPr>
                  </w:pPr>
                  <w:r>
                    <w:rPr>
                      <w:color w:val="auto"/>
                      <w:sz w:val="18"/>
                      <w:szCs w:val="18"/>
                    </w:rPr>
                    <w:t>K</w:t>
                  </w:r>
                  <w:r>
                    <w:rPr>
                      <w:color w:val="auto"/>
                      <w:sz w:val="18"/>
                      <w:szCs w:val="18"/>
                      <w:vertAlign w:val="superscript"/>
                    </w:rPr>
                    <w:t>+</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2.53</w:t>
                  </w:r>
                </w:p>
              </w:tc>
              <w:tc>
                <w:tcPr>
                  <w:tcW w:w="55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489"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2.55</w:t>
                  </w:r>
                </w:p>
              </w:tc>
              <w:tc>
                <w:tcPr>
                  <w:tcW w:w="571"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2.54</w:t>
                  </w:r>
                </w:p>
              </w:tc>
              <w:tc>
                <w:tcPr>
                  <w:tcW w:w="564"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2"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color w:val="auto"/>
                      <w:sz w:val="18"/>
                      <w:szCs w:val="18"/>
                    </w:rPr>
                  </w:pPr>
                  <w:r>
                    <w:rPr>
                      <w:color w:val="auto"/>
                      <w:sz w:val="18"/>
                      <w:szCs w:val="18"/>
                    </w:rPr>
                    <w:t>Na</w:t>
                  </w:r>
                  <w:r>
                    <w:rPr>
                      <w:color w:val="auto"/>
                      <w:sz w:val="18"/>
                      <w:szCs w:val="18"/>
                      <w:vertAlign w:val="superscript"/>
                    </w:rPr>
                    <w:t>+</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2.99</w:t>
                  </w:r>
                </w:p>
              </w:tc>
              <w:tc>
                <w:tcPr>
                  <w:tcW w:w="55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489"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3.02</w:t>
                  </w:r>
                </w:p>
              </w:tc>
              <w:tc>
                <w:tcPr>
                  <w:tcW w:w="571"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2.98</w:t>
                  </w:r>
                </w:p>
              </w:tc>
              <w:tc>
                <w:tcPr>
                  <w:tcW w:w="564"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2"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color w:val="auto"/>
                      <w:sz w:val="18"/>
                      <w:szCs w:val="18"/>
                    </w:rPr>
                  </w:pPr>
                  <w:r>
                    <w:rPr>
                      <w:bCs/>
                      <w:color w:val="auto"/>
                      <w:sz w:val="18"/>
                      <w:szCs w:val="18"/>
                    </w:rPr>
                    <w:t>SO</w:t>
                  </w:r>
                  <w:r>
                    <w:rPr>
                      <w:bCs/>
                      <w:color w:val="auto"/>
                      <w:sz w:val="18"/>
                      <w:szCs w:val="18"/>
                      <w:vertAlign w:val="subscript"/>
                    </w:rPr>
                    <w:t>4</w:t>
                  </w:r>
                  <w:r>
                    <w:rPr>
                      <w:bCs/>
                      <w:color w:val="auto"/>
                      <w:sz w:val="18"/>
                      <w:szCs w:val="18"/>
                      <w:vertAlign w:val="superscript"/>
                    </w:rPr>
                    <w:t>2</w:t>
                  </w:r>
                  <w:r>
                    <w:rPr>
                      <w:color w:val="auto"/>
                      <w:sz w:val="18"/>
                      <w:szCs w:val="18"/>
                      <w:vertAlign w:val="superscript"/>
                    </w:rPr>
                    <w:t>-</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28.21</w:t>
                  </w:r>
                </w:p>
              </w:tc>
              <w:tc>
                <w:tcPr>
                  <w:tcW w:w="556" w:type="dxa"/>
                  <w:noWrap w:val="0"/>
                  <w:vAlign w:val="top"/>
                </w:tcPr>
                <w:p>
                  <w:pPr>
                    <w:spacing w:line="280" w:lineRule="exact"/>
                    <w:ind w:left="-53" w:leftChars="-25" w:right="-53" w:rightChars="-25"/>
                    <w:jc w:val="center"/>
                    <w:rPr>
                      <w:rFonts w:hint="default" w:eastAsia="宋体"/>
                      <w:bCs/>
                      <w:color w:val="auto"/>
                      <w:sz w:val="18"/>
                      <w:szCs w:val="18"/>
                      <w:lang w:val="en-US" w:eastAsia="zh-CN"/>
                    </w:rPr>
                  </w:pPr>
                  <w:r>
                    <w:rPr>
                      <w:color w:val="auto"/>
                      <w:sz w:val="18"/>
                      <w:szCs w:val="18"/>
                    </w:rPr>
                    <w:t>0</w:t>
                  </w:r>
                  <w:r>
                    <w:rPr>
                      <w:rFonts w:hint="eastAsia"/>
                      <w:color w:val="auto"/>
                      <w:sz w:val="18"/>
                      <w:szCs w:val="18"/>
                      <w:lang w:val="en-US" w:eastAsia="zh-CN"/>
                    </w:rPr>
                    <w:t>.112</w:t>
                  </w:r>
                </w:p>
              </w:tc>
              <w:tc>
                <w:tcPr>
                  <w:tcW w:w="489" w:type="dxa"/>
                  <w:noWrap w:val="0"/>
                  <w:vAlign w:val="top"/>
                </w:tcPr>
                <w:p>
                  <w:pPr>
                    <w:spacing w:line="280" w:lineRule="exact"/>
                    <w:ind w:left="-53" w:leftChars="-25" w:right="-53" w:rightChars="-25"/>
                    <w:jc w:val="center"/>
                    <w:rPr>
                      <w:bCs/>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29.53</w:t>
                  </w:r>
                </w:p>
              </w:tc>
              <w:tc>
                <w:tcPr>
                  <w:tcW w:w="571" w:type="dxa"/>
                  <w:noWrap w:val="0"/>
                  <w:vAlign w:val="top"/>
                </w:tcPr>
                <w:p>
                  <w:pPr>
                    <w:spacing w:line="280" w:lineRule="exact"/>
                    <w:ind w:left="-53" w:leftChars="-25" w:right="-53" w:rightChars="-25"/>
                    <w:jc w:val="center"/>
                    <w:rPr>
                      <w:rFonts w:hint="default" w:eastAsia="宋体"/>
                      <w:bCs/>
                      <w:color w:val="auto"/>
                      <w:sz w:val="18"/>
                      <w:szCs w:val="18"/>
                      <w:lang w:val="en-US" w:eastAsia="zh-CN"/>
                    </w:rPr>
                  </w:pPr>
                  <w:r>
                    <w:rPr>
                      <w:color w:val="auto"/>
                      <w:sz w:val="18"/>
                      <w:szCs w:val="18"/>
                    </w:rPr>
                    <w:t>0.</w:t>
                  </w:r>
                  <w:r>
                    <w:rPr>
                      <w:rFonts w:hint="eastAsia"/>
                      <w:color w:val="auto"/>
                      <w:sz w:val="18"/>
                      <w:szCs w:val="18"/>
                      <w:lang w:val="en-US" w:eastAsia="zh-CN"/>
                    </w:rPr>
                    <w:t>118</w:t>
                  </w:r>
                </w:p>
              </w:tc>
              <w:tc>
                <w:tcPr>
                  <w:tcW w:w="516" w:type="dxa"/>
                  <w:noWrap w:val="0"/>
                  <w:vAlign w:val="top"/>
                </w:tcPr>
                <w:p>
                  <w:pPr>
                    <w:spacing w:line="280" w:lineRule="exact"/>
                    <w:ind w:left="-53" w:leftChars="-25" w:right="-53" w:rightChars="-25"/>
                    <w:jc w:val="center"/>
                    <w:rPr>
                      <w:bCs/>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28.53</w:t>
                  </w:r>
                </w:p>
              </w:tc>
              <w:tc>
                <w:tcPr>
                  <w:tcW w:w="564" w:type="dxa"/>
                  <w:noWrap w:val="0"/>
                  <w:vAlign w:val="top"/>
                </w:tcPr>
                <w:p>
                  <w:pPr>
                    <w:spacing w:line="280" w:lineRule="exact"/>
                    <w:ind w:left="-53" w:leftChars="-25" w:right="-53" w:rightChars="-25"/>
                    <w:jc w:val="center"/>
                    <w:rPr>
                      <w:rFonts w:hint="default" w:eastAsia="宋体"/>
                      <w:bCs/>
                      <w:color w:val="auto"/>
                      <w:sz w:val="18"/>
                      <w:szCs w:val="18"/>
                      <w:lang w:val="en-US" w:eastAsia="zh-CN"/>
                    </w:rPr>
                  </w:pPr>
                  <w:r>
                    <w:rPr>
                      <w:color w:val="auto"/>
                      <w:sz w:val="18"/>
                      <w:szCs w:val="18"/>
                    </w:rPr>
                    <w:t>0.</w:t>
                  </w:r>
                  <w:r>
                    <w:rPr>
                      <w:rFonts w:hint="eastAsia"/>
                      <w:color w:val="auto"/>
                      <w:sz w:val="18"/>
                      <w:szCs w:val="18"/>
                      <w:lang w:val="en-US" w:eastAsia="zh-CN"/>
                    </w:rPr>
                    <w:t>114</w:t>
                  </w:r>
                </w:p>
              </w:tc>
              <w:tc>
                <w:tcPr>
                  <w:tcW w:w="512" w:type="dxa"/>
                  <w:noWrap w:val="0"/>
                  <w:vAlign w:val="top"/>
                </w:tcPr>
                <w:p>
                  <w:pPr>
                    <w:spacing w:line="280" w:lineRule="exact"/>
                    <w:ind w:left="-53" w:leftChars="-25" w:right="-53" w:rightChars="-25"/>
                    <w:jc w:val="center"/>
                    <w:rPr>
                      <w:bCs/>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ind w:left="-105" w:leftChars="-50" w:right="-105" w:rightChars="-50"/>
                    <w:jc w:val="center"/>
                    <w:rPr>
                      <w:bCs/>
                      <w:color w:val="auto"/>
                      <w:sz w:val="18"/>
                      <w:szCs w:val="18"/>
                    </w:rPr>
                  </w:pPr>
                  <w:r>
                    <w:rPr>
                      <w:bCs/>
                      <w:color w:val="auto"/>
                      <w:sz w:val="18"/>
                      <w:szCs w:val="18"/>
                    </w:rPr>
                    <w:t>CO</w:t>
                  </w:r>
                  <w:r>
                    <w:rPr>
                      <w:bCs/>
                      <w:color w:val="auto"/>
                      <w:sz w:val="18"/>
                      <w:szCs w:val="18"/>
                      <w:vertAlign w:val="subscript"/>
                    </w:rPr>
                    <w:t>3</w:t>
                  </w:r>
                  <w:r>
                    <w:rPr>
                      <w:color w:val="auto"/>
                      <w:sz w:val="18"/>
                      <w:szCs w:val="18"/>
                      <w:vertAlign w:val="superscript"/>
                    </w:rPr>
                    <w:t>-</w:t>
                  </w:r>
                </w:p>
              </w:tc>
              <w:tc>
                <w:tcPr>
                  <w:tcW w:w="692" w:type="dxa"/>
                  <w:noWrap w:val="0"/>
                  <w:vAlign w:val="center"/>
                </w:tcPr>
                <w:p>
                  <w:pPr>
                    <w:spacing w:line="280" w:lineRule="exact"/>
                    <w:ind w:left="-105" w:leftChars="-50" w:right="-105" w:rightChars="-50"/>
                    <w:jc w:val="center"/>
                    <w:rPr>
                      <w:bCs/>
                      <w:color w:val="auto"/>
                      <w:sz w:val="18"/>
                      <w:szCs w:val="18"/>
                    </w:rPr>
                  </w:pPr>
                  <w:r>
                    <w:rPr>
                      <w:bCs/>
                      <w:color w:val="auto"/>
                      <w:sz w:val="18"/>
                      <w:szCs w:val="18"/>
                    </w:rPr>
                    <w:t>2.5</w:t>
                  </w:r>
                  <w:r>
                    <w:rPr>
                      <w:bCs/>
                      <w:color w:val="auto"/>
                      <w:sz w:val="18"/>
                      <w:szCs w:val="18"/>
                      <w:vertAlign w:val="superscript"/>
                    </w:rPr>
                    <w:t>L</w:t>
                  </w:r>
                </w:p>
              </w:tc>
              <w:tc>
                <w:tcPr>
                  <w:tcW w:w="55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489"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68" w:type="dxa"/>
                  <w:noWrap w:val="0"/>
                  <w:vAlign w:val="center"/>
                </w:tcPr>
                <w:p>
                  <w:pPr>
                    <w:spacing w:line="280" w:lineRule="exact"/>
                    <w:ind w:left="-105" w:leftChars="-50" w:right="-105" w:rightChars="-50"/>
                    <w:jc w:val="center"/>
                    <w:rPr>
                      <w:bCs/>
                      <w:color w:val="auto"/>
                      <w:sz w:val="18"/>
                      <w:szCs w:val="18"/>
                    </w:rPr>
                  </w:pPr>
                  <w:r>
                    <w:rPr>
                      <w:bCs/>
                      <w:color w:val="auto"/>
                      <w:sz w:val="18"/>
                      <w:szCs w:val="18"/>
                    </w:rPr>
                    <w:t>2.5</w:t>
                  </w:r>
                  <w:r>
                    <w:rPr>
                      <w:bCs/>
                      <w:color w:val="auto"/>
                      <w:sz w:val="18"/>
                      <w:szCs w:val="18"/>
                      <w:vertAlign w:val="superscript"/>
                    </w:rPr>
                    <w:t>L</w:t>
                  </w:r>
                </w:p>
              </w:tc>
              <w:tc>
                <w:tcPr>
                  <w:tcW w:w="571"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6"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617" w:type="dxa"/>
                  <w:noWrap w:val="0"/>
                  <w:vAlign w:val="center"/>
                </w:tcPr>
                <w:p>
                  <w:pPr>
                    <w:spacing w:line="280" w:lineRule="exact"/>
                    <w:ind w:left="-105" w:leftChars="-50" w:right="-105" w:rightChars="-50"/>
                    <w:jc w:val="center"/>
                    <w:rPr>
                      <w:bCs/>
                      <w:color w:val="auto"/>
                      <w:sz w:val="18"/>
                      <w:szCs w:val="18"/>
                    </w:rPr>
                  </w:pPr>
                  <w:r>
                    <w:rPr>
                      <w:bCs/>
                      <w:color w:val="auto"/>
                      <w:sz w:val="18"/>
                      <w:szCs w:val="18"/>
                    </w:rPr>
                    <w:t>2.5</w:t>
                  </w:r>
                  <w:r>
                    <w:rPr>
                      <w:bCs/>
                      <w:color w:val="auto"/>
                      <w:sz w:val="18"/>
                      <w:szCs w:val="18"/>
                      <w:vertAlign w:val="superscript"/>
                    </w:rPr>
                    <w:t>L</w:t>
                  </w:r>
                </w:p>
              </w:tc>
              <w:tc>
                <w:tcPr>
                  <w:tcW w:w="564"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512"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jc w:val="center"/>
                    <w:rPr>
                      <w:bCs/>
                      <w:color w:val="auto"/>
                      <w:sz w:val="18"/>
                      <w:szCs w:val="18"/>
                    </w:rPr>
                  </w:pPr>
                  <w:r>
                    <w:rPr>
                      <w:bCs/>
                      <w:color w:val="auto"/>
                      <w:sz w:val="18"/>
                      <w:szCs w:val="18"/>
                    </w:rPr>
                    <w:t>HCO</w:t>
                  </w:r>
                  <w:r>
                    <w:rPr>
                      <w:bCs/>
                      <w:color w:val="auto"/>
                      <w:sz w:val="18"/>
                      <w:szCs w:val="18"/>
                      <w:vertAlign w:val="subscript"/>
                    </w:rPr>
                    <w:t>3</w:t>
                  </w:r>
                  <w:r>
                    <w:rPr>
                      <w:color w:val="auto"/>
                      <w:sz w:val="18"/>
                      <w:szCs w:val="18"/>
                      <w:vertAlign w:val="superscript"/>
                    </w:rPr>
                    <w:t>-</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255</w:t>
                  </w:r>
                </w:p>
              </w:tc>
              <w:tc>
                <w:tcPr>
                  <w:tcW w:w="556" w:type="dxa"/>
                  <w:noWrap w:val="0"/>
                  <w:vAlign w:val="center"/>
                </w:tcPr>
                <w:p>
                  <w:pPr>
                    <w:spacing w:line="280" w:lineRule="exact"/>
                    <w:ind w:left="-105" w:leftChars="-50" w:right="-105" w:rightChars="-50"/>
                    <w:jc w:val="center"/>
                    <w:rPr>
                      <w:color w:val="auto"/>
                      <w:sz w:val="18"/>
                      <w:szCs w:val="18"/>
                    </w:rPr>
                  </w:pPr>
                  <w:r>
                    <w:rPr>
                      <w:rFonts w:hint="eastAsia"/>
                      <w:bCs/>
                      <w:color w:val="auto"/>
                      <w:sz w:val="18"/>
                      <w:szCs w:val="18"/>
                    </w:rPr>
                    <w:t>/</w:t>
                  </w:r>
                </w:p>
              </w:tc>
              <w:tc>
                <w:tcPr>
                  <w:tcW w:w="489" w:type="dxa"/>
                  <w:noWrap w:val="0"/>
                  <w:vAlign w:val="center"/>
                </w:tcPr>
                <w:p>
                  <w:pPr>
                    <w:spacing w:line="280" w:lineRule="exact"/>
                    <w:ind w:left="-105" w:leftChars="-50" w:right="-105" w:rightChars="-50"/>
                    <w:jc w:val="center"/>
                    <w:rPr>
                      <w:color w:val="auto"/>
                      <w:sz w:val="18"/>
                      <w:szCs w:val="18"/>
                    </w:rPr>
                  </w:pPr>
                  <w:r>
                    <w:rPr>
                      <w:rFonts w:hint="eastAsia"/>
                      <w:bCs/>
                      <w:color w:val="auto"/>
                      <w:sz w:val="18"/>
                      <w:szCs w:val="18"/>
                    </w:rPr>
                    <w:t>/</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171</w:t>
                  </w:r>
                </w:p>
              </w:tc>
              <w:tc>
                <w:tcPr>
                  <w:tcW w:w="571" w:type="dxa"/>
                  <w:noWrap w:val="0"/>
                  <w:vAlign w:val="center"/>
                </w:tcPr>
                <w:p>
                  <w:pPr>
                    <w:spacing w:line="280" w:lineRule="exact"/>
                    <w:ind w:left="-105" w:leftChars="-50" w:right="-105" w:rightChars="-50"/>
                    <w:jc w:val="center"/>
                    <w:rPr>
                      <w:color w:val="auto"/>
                      <w:sz w:val="18"/>
                      <w:szCs w:val="18"/>
                    </w:rPr>
                  </w:pPr>
                  <w:r>
                    <w:rPr>
                      <w:rFonts w:hint="eastAsia"/>
                      <w:bCs/>
                      <w:color w:val="auto"/>
                      <w:sz w:val="18"/>
                      <w:szCs w:val="18"/>
                    </w:rPr>
                    <w:t>/</w:t>
                  </w:r>
                </w:p>
              </w:tc>
              <w:tc>
                <w:tcPr>
                  <w:tcW w:w="516" w:type="dxa"/>
                  <w:noWrap w:val="0"/>
                  <w:vAlign w:val="center"/>
                </w:tcPr>
                <w:p>
                  <w:pPr>
                    <w:spacing w:line="280" w:lineRule="exact"/>
                    <w:ind w:left="-105" w:leftChars="-50" w:right="-105" w:rightChars="-50"/>
                    <w:jc w:val="center"/>
                    <w:rPr>
                      <w:color w:val="auto"/>
                      <w:sz w:val="18"/>
                      <w:szCs w:val="18"/>
                    </w:rPr>
                  </w:pPr>
                  <w:r>
                    <w:rPr>
                      <w:rFonts w:hint="eastAsia"/>
                      <w:bCs/>
                      <w:color w:val="auto"/>
                      <w:sz w:val="18"/>
                      <w:szCs w:val="18"/>
                    </w:rPr>
                    <w:t>/</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258</w:t>
                  </w:r>
                </w:p>
              </w:tc>
              <w:tc>
                <w:tcPr>
                  <w:tcW w:w="564" w:type="dxa"/>
                  <w:noWrap w:val="0"/>
                  <w:vAlign w:val="center"/>
                </w:tcPr>
                <w:p>
                  <w:pPr>
                    <w:spacing w:line="280" w:lineRule="exact"/>
                    <w:ind w:left="-105" w:leftChars="-50" w:right="-105" w:rightChars="-50"/>
                    <w:jc w:val="center"/>
                    <w:rPr>
                      <w:color w:val="auto"/>
                      <w:sz w:val="18"/>
                      <w:szCs w:val="18"/>
                    </w:rPr>
                  </w:pPr>
                  <w:r>
                    <w:rPr>
                      <w:rFonts w:hint="eastAsia"/>
                      <w:bCs/>
                      <w:color w:val="auto"/>
                      <w:sz w:val="18"/>
                      <w:szCs w:val="18"/>
                    </w:rPr>
                    <w:t>/</w:t>
                  </w:r>
                </w:p>
              </w:tc>
              <w:tc>
                <w:tcPr>
                  <w:tcW w:w="512" w:type="dxa"/>
                  <w:noWrap w:val="0"/>
                  <w:vAlign w:val="center"/>
                </w:tcPr>
                <w:p>
                  <w:pPr>
                    <w:spacing w:line="280" w:lineRule="exact"/>
                    <w:ind w:left="-105" w:leftChars="-50" w:right="-105" w:rightChars="-50"/>
                    <w:jc w:val="center"/>
                    <w:rPr>
                      <w:color w:val="auto"/>
                      <w:sz w:val="18"/>
                      <w:szCs w:val="18"/>
                    </w:rPr>
                  </w:pPr>
                  <w:r>
                    <w:rPr>
                      <w:rFonts w:hint="eastAsia"/>
                      <w:bCs/>
                      <w:color w:val="auto"/>
                      <w:sz w:val="18"/>
                      <w:szCs w:val="18"/>
                    </w:rPr>
                    <w:t>/</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990" w:type="dxa"/>
                  <w:noWrap w:val="0"/>
                  <w:vAlign w:val="center"/>
                </w:tcPr>
                <w:p>
                  <w:pPr>
                    <w:spacing w:line="280" w:lineRule="exact"/>
                    <w:jc w:val="center"/>
                    <w:rPr>
                      <w:bCs/>
                      <w:color w:val="auto"/>
                      <w:sz w:val="18"/>
                      <w:szCs w:val="18"/>
                    </w:rPr>
                  </w:pPr>
                  <w:r>
                    <w:rPr>
                      <w:bCs/>
                      <w:color w:val="auto"/>
                      <w:sz w:val="18"/>
                      <w:szCs w:val="18"/>
                    </w:rPr>
                    <w:t>Cl</w:t>
                  </w:r>
                  <w:r>
                    <w:rPr>
                      <w:color w:val="auto"/>
                      <w:sz w:val="18"/>
                      <w:szCs w:val="18"/>
                      <w:vertAlign w:val="superscript"/>
                    </w:rPr>
                    <w:t>-</w:t>
                  </w:r>
                </w:p>
              </w:tc>
              <w:tc>
                <w:tcPr>
                  <w:tcW w:w="692"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bCs/>
                      <w:color w:val="auto"/>
                      <w:sz w:val="18"/>
                      <w:szCs w:val="18"/>
                    </w:rPr>
                    <w:t>7.</w:t>
                  </w:r>
                  <w:r>
                    <w:rPr>
                      <w:rFonts w:hint="eastAsia"/>
                      <w:bCs/>
                      <w:color w:val="auto"/>
                      <w:sz w:val="18"/>
                      <w:szCs w:val="18"/>
                      <w:lang w:val="en-US" w:eastAsia="zh-CN"/>
                    </w:rPr>
                    <w:t>88</w:t>
                  </w:r>
                </w:p>
              </w:tc>
              <w:tc>
                <w:tcPr>
                  <w:tcW w:w="556"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color w:val="auto"/>
                      <w:sz w:val="18"/>
                      <w:szCs w:val="18"/>
                    </w:rPr>
                    <w:t>0.0</w:t>
                  </w:r>
                  <w:r>
                    <w:rPr>
                      <w:rFonts w:hint="eastAsia"/>
                      <w:color w:val="auto"/>
                      <w:sz w:val="18"/>
                      <w:szCs w:val="18"/>
                      <w:lang w:val="en-US" w:eastAsia="zh-CN"/>
                    </w:rPr>
                    <w:t>32</w:t>
                  </w:r>
                </w:p>
              </w:tc>
              <w:tc>
                <w:tcPr>
                  <w:tcW w:w="489"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68"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8.12</w:t>
                  </w:r>
                </w:p>
              </w:tc>
              <w:tc>
                <w:tcPr>
                  <w:tcW w:w="571"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32</w:t>
                  </w:r>
                </w:p>
              </w:tc>
              <w:tc>
                <w:tcPr>
                  <w:tcW w:w="516"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617" w:type="dxa"/>
                  <w:noWrap w:val="0"/>
                  <w:vAlign w:val="center"/>
                </w:tcPr>
                <w:p>
                  <w:pPr>
                    <w:spacing w:line="280" w:lineRule="exact"/>
                    <w:ind w:left="-105" w:leftChars="-50" w:right="-105" w:rightChars="-50"/>
                    <w:jc w:val="center"/>
                    <w:rPr>
                      <w:rFonts w:hint="default" w:eastAsia="宋体"/>
                      <w:bCs/>
                      <w:color w:val="auto"/>
                      <w:sz w:val="18"/>
                      <w:szCs w:val="18"/>
                      <w:lang w:val="en-US" w:eastAsia="zh-CN"/>
                    </w:rPr>
                  </w:pPr>
                  <w:r>
                    <w:rPr>
                      <w:rFonts w:hint="eastAsia"/>
                      <w:bCs/>
                      <w:color w:val="auto"/>
                      <w:sz w:val="18"/>
                      <w:szCs w:val="18"/>
                      <w:lang w:val="en-US" w:eastAsia="zh-CN"/>
                    </w:rPr>
                    <w:t>7.87</w:t>
                  </w:r>
                </w:p>
              </w:tc>
              <w:tc>
                <w:tcPr>
                  <w:tcW w:w="564" w:type="dxa"/>
                  <w:noWrap w:val="0"/>
                  <w:vAlign w:val="center"/>
                </w:tcPr>
                <w:p>
                  <w:pPr>
                    <w:spacing w:line="280" w:lineRule="exact"/>
                    <w:ind w:left="-53" w:leftChars="-25" w:right="-53" w:rightChars="-25"/>
                    <w:jc w:val="center"/>
                    <w:rPr>
                      <w:rFonts w:hint="default" w:eastAsia="宋体"/>
                      <w:color w:val="auto"/>
                      <w:sz w:val="18"/>
                      <w:szCs w:val="18"/>
                      <w:lang w:val="en-US" w:eastAsia="zh-CN"/>
                    </w:rPr>
                  </w:pPr>
                  <w:r>
                    <w:rPr>
                      <w:color w:val="auto"/>
                      <w:sz w:val="18"/>
                      <w:szCs w:val="18"/>
                    </w:rPr>
                    <w:t>0.0</w:t>
                  </w:r>
                  <w:r>
                    <w:rPr>
                      <w:rFonts w:hint="eastAsia"/>
                      <w:color w:val="auto"/>
                      <w:sz w:val="18"/>
                      <w:szCs w:val="18"/>
                      <w:lang w:val="en-US" w:eastAsia="zh-CN"/>
                    </w:rPr>
                    <w:t>31</w:t>
                  </w:r>
                </w:p>
              </w:tc>
              <w:tc>
                <w:tcPr>
                  <w:tcW w:w="512" w:type="dxa"/>
                  <w:noWrap w:val="0"/>
                  <w:vAlign w:val="center"/>
                </w:tcPr>
                <w:p>
                  <w:pPr>
                    <w:spacing w:line="280" w:lineRule="exact"/>
                    <w:ind w:left="-53" w:leftChars="-25" w:right="-53" w:rightChars="-25"/>
                    <w:jc w:val="center"/>
                    <w:rPr>
                      <w:color w:val="auto"/>
                      <w:sz w:val="18"/>
                      <w:szCs w:val="18"/>
                    </w:rPr>
                  </w:pPr>
                  <w:r>
                    <w:rPr>
                      <w:color w:val="auto"/>
                      <w:sz w:val="18"/>
                      <w:szCs w:val="18"/>
                    </w:rPr>
                    <w:t>0</w:t>
                  </w:r>
                </w:p>
              </w:tc>
              <w:tc>
                <w:tcPr>
                  <w:tcW w:w="765" w:type="dxa"/>
                  <w:noWrap w:val="0"/>
                  <w:vAlign w:val="center"/>
                </w:tcPr>
                <w:p>
                  <w:pPr>
                    <w:spacing w:line="280" w:lineRule="exact"/>
                    <w:ind w:left="-105" w:leftChars="-50" w:right="-105" w:rightChars="-50"/>
                    <w:jc w:val="center"/>
                    <w:rPr>
                      <w:bCs/>
                      <w:color w:val="auto"/>
                      <w:sz w:val="18"/>
                      <w:szCs w:val="18"/>
                    </w:rPr>
                  </w:pPr>
                  <w:r>
                    <w:rPr>
                      <w:rFonts w:hint="eastAsia"/>
                      <w:bCs/>
                      <w:color w:val="auto"/>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40" w:type="dxa"/>
                  <w:gridSpan w:val="11"/>
                  <w:noWrap w:val="0"/>
                  <w:vAlign w:val="center"/>
                </w:tcPr>
                <w:p>
                  <w:pPr>
                    <w:spacing w:line="280" w:lineRule="exact"/>
                    <w:ind w:left="-105" w:leftChars="-50" w:right="-105" w:rightChars="-50" w:firstLine="181" w:firstLineChars="100"/>
                    <w:rPr>
                      <w:b/>
                      <w:bCs/>
                      <w:color w:val="auto"/>
                      <w:sz w:val="18"/>
                      <w:szCs w:val="18"/>
                    </w:rPr>
                  </w:pPr>
                  <w:r>
                    <w:rPr>
                      <w:b/>
                      <w:bCs/>
                      <w:color w:val="auto"/>
                      <w:sz w:val="18"/>
                      <w:szCs w:val="18"/>
                    </w:rPr>
                    <w:t>注：监测数据右上角带L者表示未检出，其统计方法为该检测方法检出限的1/2。</w:t>
                  </w:r>
                </w:p>
              </w:tc>
            </w:tr>
          </w:tbl>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从上表可以看出，项目区域地下水监测因子的标准指数均小于1，均满足《地下水质量标准》（GB/T 14848-2017）III类标准。</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6、土壤环境</w:t>
            </w:r>
          </w:p>
          <w:p>
            <w:pPr>
              <w:adjustRightInd w:val="0"/>
              <w:snapToGrid w:val="0"/>
              <w:spacing w:line="400" w:lineRule="exact"/>
              <w:ind w:left="-53" w:leftChars="-25" w:right="-53" w:rightChars="-25" w:firstLine="420" w:firstLineChars="200"/>
              <w:jc w:val="left"/>
              <w:rPr>
                <w:rFonts w:hint="eastAsia"/>
                <w:color w:val="auto"/>
                <w:szCs w:val="21"/>
                <w:lang w:val="en-US" w:eastAsia="zh-CN"/>
              </w:rPr>
            </w:pPr>
            <w:r>
              <w:rPr>
                <w:rFonts w:hint="eastAsia"/>
                <w:color w:val="auto"/>
                <w:szCs w:val="21"/>
                <w:lang w:val="en-US" w:eastAsia="zh-CN"/>
              </w:rPr>
              <w:t>对于项目区域土壤现状，</w:t>
            </w:r>
            <w:r>
              <w:rPr>
                <w:rFonts w:hint="eastAsia"/>
                <w:color w:val="auto"/>
                <w:szCs w:val="21"/>
              </w:rPr>
              <w:t>本次</w:t>
            </w:r>
            <w:r>
              <w:rPr>
                <w:rFonts w:hint="eastAsia"/>
                <w:color w:val="auto"/>
                <w:szCs w:val="21"/>
                <w:lang w:val="en-US" w:eastAsia="zh-CN"/>
              </w:rPr>
              <w:t>评价引用四川省汉谱环境检测服务有限公司出具的《达州美特思乳胶制品有限公司新建年产30万张乳胶床垫、200万只枕头、2000吨片材项目监测报告》（汉谱HB〔2019〕第0036号），评价项目所在区域土壤现状。</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lang w:val="en-US" w:eastAsia="zh-CN"/>
              </w:rPr>
              <w:t>根据引用监测报告，</w:t>
            </w:r>
            <w:r>
              <w:rPr>
                <w:rFonts w:hint="eastAsia"/>
                <w:color w:val="auto"/>
                <w:szCs w:val="21"/>
              </w:rPr>
              <w:t>在</w:t>
            </w:r>
            <w:r>
              <w:rPr>
                <w:rFonts w:hint="eastAsia"/>
                <w:color w:val="auto"/>
                <w:szCs w:val="21"/>
                <w:lang w:val="zh-CN" w:eastAsia="zh-CN"/>
              </w:rPr>
              <w:t>美特思</w:t>
            </w:r>
            <w:r>
              <w:rPr>
                <w:rFonts w:hint="eastAsia"/>
                <w:color w:val="auto"/>
                <w:szCs w:val="21"/>
                <w:lang w:val="en-US" w:eastAsia="zh-CN"/>
              </w:rPr>
              <w:t>公司</w:t>
            </w:r>
            <w:r>
              <w:rPr>
                <w:color w:val="auto"/>
                <w:szCs w:val="21"/>
                <w:lang w:val="zh-CN"/>
              </w:rPr>
              <w:t>占地范围内中部（1#）；占地范围外</w:t>
            </w:r>
            <w:r>
              <w:rPr>
                <w:rFonts w:hint="eastAsia"/>
                <w:color w:val="auto"/>
                <w:szCs w:val="21"/>
                <w:lang w:val="en-US" w:eastAsia="zh-CN"/>
              </w:rPr>
              <w:t>北</w:t>
            </w:r>
            <w:r>
              <w:rPr>
                <w:color w:val="auto"/>
                <w:szCs w:val="21"/>
                <w:lang w:val="zh-CN"/>
              </w:rPr>
              <w:t>侧（2#）</w:t>
            </w:r>
            <w:r>
              <w:rPr>
                <w:rFonts w:hint="eastAsia"/>
                <w:color w:val="auto"/>
                <w:szCs w:val="21"/>
                <w:lang w:val="zh-CN"/>
              </w:rPr>
              <w:t>、</w:t>
            </w:r>
            <w:r>
              <w:rPr>
                <w:rFonts w:hint="eastAsia"/>
                <w:color w:val="auto"/>
                <w:szCs w:val="21"/>
                <w:lang w:val="en-US" w:eastAsia="zh-CN"/>
              </w:rPr>
              <w:t>南侧（3#）</w:t>
            </w:r>
            <w:r>
              <w:rPr>
                <w:rFonts w:hint="eastAsia"/>
                <w:color w:val="auto"/>
                <w:szCs w:val="21"/>
              </w:rPr>
              <w:t>分别设置1个监测点</w:t>
            </w:r>
            <w:r>
              <w:rPr>
                <w:rFonts w:hint="eastAsia"/>
                <w:color w:val="auto"/>
                <w:szCs w:val="21"/>
                <w:lang w:eastAsia="zh-CN"/>
              </w:rPr>
              <w:t>，</w:t>
            </w:r>
            <w:r>
              <w:rPr>
                <w:rFonts w:hint="eastAsia"/>
                <w:color w:val="auto"/>
                <w:szCs w:val="21"/>
                <w:lang w:val="en-US" w:eastAsia="zh-CN"/>
              </w:rPr>
              <w:t>3个点均位于本项目西侧</w:t>
            </w:r>
            <w:r>
              <w:rPr>
                <w:rFonts w:hint="eastAsia"/>
                <w:color w:val="auto"/>
                <w:szCs w:val="21"/>
              </w:rPr>
              <w:t>。</w:t>
            </w:r>
            <w:r>
              <w:rPr>
                <w:rFonts w:hint="eastAsia"/>
                <w:color w:val="auto"/>
                <w:szCs w:val="21"/>
                <w:lang w:val="en-US" w:eastAsia="zh-CN"/>
              </w:rPr>
              <w:t>1#</w:t>
            </w:r>
            <w:r>
              <w:rPr>
                <w:color w:val="auto"/>
                <w:szCs w:val="21"/>
              </w:rPr>
              <w:t>执行《土壤环境质量 建设用地土壤污染风险管控标准》（GB15618-2018）、</w:t>
            </w:r>
            <w:r>
              <w:rPr>
                <w:rFonts w:hint="eastAsia"/>
                <w:color w:val="auto"/>
                <w:szCs w:val="21"/>
                <w:lang w:val="en-US" w:eastAsia="zh-CN"/>
              </w:rPr>
              <w:t>2#、3#</w:t>
            </w:r>
            <w:r>
              <w:rPr>
                <w:color w:val="auto"/>
                <w:szCs w:val="21"/>
              </w:rPr>
              <w:t>执行《土壤环境质量农用地土壤污染风险管控标准》（GB15618-2018）中相关项目土壤环境风险管制值</w:t>
            </w:r>
            <w:r>
              <w:rPr>
                <w:color w:val="auto"/>
                <w:szCs w:val="21"/>
                <w:lang w:val="zh-CN"/>
              </w:rPr>
              <w:t>。</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评价方法：将监测结果与评价标准进行对照，得出评价结果见下表。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表3-</w:t>
            </w:r>
            <w:r>
              <w:rPr>
                <w:rFonts w:hint="eastAsia" w:ascii="Times New Roman" w:hAnsi="Times New Roman" w:eastAsia="黑体" w:cs="Times New Roman"/>
                <w:color w:val="auto"/>
                <w:kern w:val="0"/>
                <w:sz w:val="20"/>
                <w:szCs w:val="20"/>
                <w:lang w:val="zh-CN" w:eastAsia="zh-CN"/>
              </w:rPr>
              <w:t>5</w:t>
            </w:r>
            <w:r>
              <w:rPr>
                <w:rFonts w:hint="default" w:ascii="Times New Roman" w:hAnsi="Times New Roman" w:eastAsia="黑体" w:cs="Times New Roman"/>
                <w:color w:val="auto"/>
                <w:kern w:val="0"/>
                <w:sz w:val="20"/>
                <w:szCs w:val="20"/>
                <w:lang w:val="zh-CN" w:eastAsia="zh-CN"/>
              </w:rPr>
              <w:t xml:space="preserve">  土壤环境现状评价结果表（1#）  单位：mg/kg</w:t>
            </w:r>
          </w:p>
          <w:tbl>
            <w:tblPr>
              <w:tblStyle w:val="14"/>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331"/>
              <w:gridCol w:w="1044"/>
              <w:gridCol w:w="94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2170"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监测项目</w:t>
                  </w:r>
                </w:p>
              </w:tc>
              <w:tc>
                <w:tcPr>
                  <w:tcW w:w="2331"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监测结果</w:t>
                  </w:r>
                </w:p>
              </w:tc>
              <w:tc>
                <w:tcPr>
                  <w:tcW w:w="1989" w:type="dxa"/>
                  <w:gridSpan w:val="2"/>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标准限值</w:t>
                  </w:r>
                </w:p>
              </w:tc>
              <w:tc>
                <w:tcPr>
                  <w:tcW w:w="1350"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2170"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p>
              </w:tc>
              <w:tc>
                <w:tcPr>
                  <w:tcW w:w="2331"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p>
              </w:tc>
              <w:tc>
                <w:tcPr>
                  <w:tcW w:w="1044"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筛选值</w:t>
                  </w:r>
                </w:p>
              </w:tc>
              <w:tc>
                <w:tcPr>
                  <w:tcW w:w="945"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管制值</w:t>
                  </w:r>
                </w:p>
              </w:tc>
              <w:tc>
                <w:tcPr>
                  <w:tcW w:w="1350"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砷</w:t>
                  </w:r>
                </w:p>
              </w:tc>
              <w:tc>
                <w:tcPr>
                  <w:tcW w:w="2331"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3.58</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60</w:t>
                  </w:r>
                </w:p>
              </w:tc>
              <w:tc>
                <w:tcPr>
                  <w:tcW w:w="94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140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镉</w:t>
                  </w:r>
                </w:p>
              </w:tc>
              <w:tc>
                <w:tcPr>
                  <w:tcW w:w="2331"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0.10</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65</w:t>
                  </w:r>
                </w:p>
              </w:tc>
              <w:tc>
                <w:tcPr>
                  <w:tcW w:w="94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172</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铬（六价）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0.25</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5.7</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78</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铜</w:t>
                  </w:r>
                </w:p>
              </w:tc>
              <w:tc>
                <w:tcPr>
                  <w:tcW w:w="2331"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26</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18000</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36000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铅</w:t>
                  </w:r>
                </w:p>
              </w:tc>
              <w:tc>
                <w:tcPr>
                  <w:tcW w:w="2331"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21.4</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800</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2500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汞</w:t>
                  </w:r>
                </w:p>
              </w:tc>
              <w:tc>
                <w:tcPr>
                  <w:tcW w:w="2331"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0.079</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38</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82</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镍</w:t>
                  </w:r>
                </w:p>
              </w:tc>
              <w:tc>
                <w:tcPr>
                  <w:tcW w:w="2331"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29</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900</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2000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color w:val="auto"/>
                      <w:kern w:val="0"/>
                      <w:sz w:val="18"/>
                      <w:szCs w:val="18"/>
                      <w:lang w:bidi="ar"/>
                    </w:rPr>
                  </w:pPr>
                  <w:r>
                    <w:rPr>
                      <w:snapToGrid w:val="0"/>
                      <w:color w:val="auto"/>
                      <w:sz w:val="18"/>
                      <w:szCs w:val="18"/>
                    </w:rPr>
                    <w:t>四氯化碳</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2.8</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36</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氯仿</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0.9</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氯甲烷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37</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120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1,1-二氯乙烷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9</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1,2-二氯乙烷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5</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21</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1,1-二氯乙烯</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66</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顺1,2-二氯乙烯</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596</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2000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返1,2-二氯乙烯</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54</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163</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二氯甲烷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616</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2000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1,2-二氯丙烷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5</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47</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1,1,1,2-四氯乙烷</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1,1,2,2-四氯乙烷</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6.8</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50</w:t>
                  </w:r>
                </w:p>
              </w:tc>
              <w:tc>
                <w:tcPr>
                  <w:tcW w:w="13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四氯乙烯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53</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183</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1,1,1-三氯乙烷</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840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840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1,1,2-三氯乙烷</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2.8</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三氯乙烯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2.8</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1,2,3-三氯丙烷</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w:t>
                  </w:r>
                  <w:r>
                    <w:rPr>
                      <w:rFonts w:hint="eastAsia"/>
                      <w:color w:val="auto"/>
                      <w:kern w:val="0"/>
                      <w:sz w:val="18"/>
                      <w:szCs w:val="18"/>
                      <w:lang w:val="en-US" w:eastAsia="zh-CN"/>
                    </w:rPr>
                    <w:t>2</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0.5</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氯乙烯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w:t>
                  </w:r>
                  <w:r>
                    <w:rPr>
                      <w:rFonts w:hint="eastAsia"/>
                      <w:color w:val="auto"/>
                      <w:kern w:val="0"/>
                      <w:sz w:val="18"/>
                      <w:szCs w:val="18"/>
                      <w:lang w:val="en-US" w:eastAsia="zh-CN"/>
                    </w:rPr>
                    <w:t>2</w:t>
                  </w:r>
                  <w:r>
                    <w:rPr>
                      <w:color w:val="auto"/>
                      <w:kern w:val="0"/>
                      <w:sz w:val="18"/>
                      <w:szCs w:val="18"/>
                    </w:rPr>
                    <w:t>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0.43</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4.3</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w:t>
                  </w:r>
                </w:p>
              </w:tc>
              <w:tc>
                <w:tcPr>
                  <w:tcW w:w="2331"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4</w:t>
                  </w:r>
                </w:p>
              </w:tc>
              <w:tc>
                <w:tcPr>
                  <w:tcW w:w="945"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40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氯苯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270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1000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1,2-二氯苯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560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560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1,4-二氯苯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乙苯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28</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280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苯乙烯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1290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1290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甲苯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1200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1200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间二甲苯+对二甲苯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570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570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邻二甲苯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w:t>
                  </w:r>
                  <w:r>
                    <w:rPr>
                      <w:rFonts w:hint="eastAsia" w:ascii="Times New Roman" w:eastAsia="宋体"/>
                      <w:color w:val="auto"/>
                      <w:kern w:val="0"/>
                      <w:sz w:val="18"/>
                      <w:szCs w:val="18"/>
                      <w:lang w:val="en-US" w:eastAsia="zh-CN"/>
                    </w:rPr>
                    <w:t>1</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640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640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硝基苯</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76</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760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苯胺</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260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663</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2-氯</w:t>
                  </w:r>
                  <w:r>
                    <w:rPr>
                      <w:rFonts w:hint="eastAsia"/>
                      <w:snapToGrid w:val="0"/>
                      <w:color w:val="auto"/>
                      <w:sz w:val="18"/>
                      <w:szCs w:val="18"/>
                      <w:lang w:val="en-US" w:eastAsia="zh-CN"/>
                    </w:rPr>
                    <w:t>苯</w:t>
                  </w:r>
                  <w:r>
                    <w:rPr>
                      <w:snapToGrid w:val="0"/>
                      <w:color w:val="auto"/>
                      <w:sz w:val="18"/>
                      <w:szCs w:val="18"/>
                    </w:rPr>
                    <w:t>酚</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w:t>
                  </w:r>
                  <w:r>
                    <w:rPr>
                      <w:rFonts w:hint="eastAsia"/>
                      <w:color w:val="auto"/>
                      <w:kern w:val="0"/>
                      <w:sz w:val="18"/>
                      <w:szCs w:val="18"/>
                      <w:lang w:val="en-US" w:eastAsia="zh-CN"/>
                    </w:rPr>
                    <w:t>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2256</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4500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苯并[a]蒽</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151</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苯并[a]芘</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苯并[b]荧蒽</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151</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苯并[k]荧蒽</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151</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䓛</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1290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12900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二苯并[a,h]蒽</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茚并[1,2,3-cd]芘</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151</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0" w:type="dxa"/>
                  <w:noWrap w:val="0"/>
                  <w:vAlign w:val="center"/>
                </w:tcPr>
                <w:p>
                  <w:pPr>
                    <w:adjustRightInd w:val="0"/>
                    <w:snapToGrid w:val="0"/>
                    <w:spacing w:line="280" w:lineRule="exact"/>
                    <w:ind w:left="-105" w:leftChars="-50" w:right="-105" w:rightChars="-50"/>
                    <w:jc w:val="center"/>
                    <w:rPr>
                      <w:snapToGrid w:val="0"/>
                      <w:color w:val="auto"/>
                      <w:sz w:val="18"/>
                      <w:szCs w:val="18"/>
                    </w:rPr>
                  </w:pPr>
                  <w:r>
                    <w:rPr>
                      <w:snapToGrid w:val="0"/>
                      <w:color w:val="auto"/>
                      <w:sz w:val="18"/>
                      <w:szCs w:val="18"/>
                    </w:rPr>
                    <w:t>萘</w:t>
                  </w:r>
                </w:p>
              </w:tc>
              <w:tc>
                <w:tcPr>
                  <w:tcW w:w="2331"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0.05</w:t>
                  </w:r>
                  <w:r>
                    <w:rPr>
                      <w:color w:val="auto"/>
                      <w:kern w:val="0"/>
                      <w:sz w:val="18"/>
                      <w:szCs w:val="18"/>
                      <w:vertAlign w:val="superscript"/>
                    </w:rPr>
                    <w:t>L</w:t>
                  </w:r>
                </w:p>
              </w:tc>
              <w:tc>
                <w:tcPr>
                  <w:tcW w:w="1044"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70</w:t>
                  </w:r>
                </w:p>
              </w:tc>
              <w:tc>
                <w:tcPr>
                  <w:tcW w:w="945"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700</w:t>
                  </w:r>
                </w:p>
              </w:tc>
              <w:tc>
                <w:tcPr>
                  <w:tcW w:w="1350" w:type="dxa"/>
                  <w:noWrap w:val="0"/>
                  <w:vAlign w:val="top"/>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840" w:type="dxa"/>
                  <w:gridSpan w:val="5"/>
                  <w:noWrap w:val="0"/>
                  <w:vAlign w:val="center"/>
                </w:tcPr>
                <w:p>
                  <w:pPr>
                    <w:widowControl/>
                    <w:spacing w:line="280" w:lineRule="exact"/>
                    <w:ind w:left="-105" w:leftChars="-50" w:right="-105" w:rightChars="-50" w:firstLine="181" w:firstLineChars="100"/>
                    <w:rPr>
                      <w:b/>
                      <w:bCs/>
                      <w:snapToGrid w:val="0"/>
                      <w:color w:val="auto"/>
                      <w:sz w:val="18"/>
                      <w:szCs w:val="18"/>
                    </w:rPr>
                  </w:pPr>
                  <w:r>
                    <w:rPr>
                      <w:b/>
                      <w:bCs/>
                      <w:snapToGrid w:val="0"/>
                      <w:color w:val="auto"/>
                      <w:sz w:val="18"/>
                      <w:szCs w:val="18"/>
                    </w:rPr>
                    <w:t>注：监测值右上角带“L”者表示未检出，其值为对应监测方法检出限的1/2。</w:t>
                  </w:r>
                </w:p>
              </w:tc>
            </w:tr>
          </w:tbl>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表3-</w:t>
            </w:r>
            <w:r>
              <w:rPr>
                <w:rFonts w:hint="eastAsia" w:ascii="Times New Roman" w:hAnsi="Times New Roman" w:eastAsia="黑体" w:cs="Times New Roman"/>
                <w:color w:val="auto"/>
                <w:kern w:val="0"/>
                <w:sz w:val="20"/>
                <w:szCs w:val="20"/>
                <w:lang w:val="zh-CN" w:eastAsia="zh-CN"/>
              </w:rPr>
              <w:t>6</w:t>
            </w:r>
            <w:r>
              <w:rPr>
                <w:rFonts w:hint="default" w:ascii="Times New Roman" w:hAnsi="Times New Roman" w:eastAsia="黑体" w:cs="Times New Roman"/>
                <w:color w:val="auto"/>
                <w:kern w:val="0"/>
                <w:sz w:val="20"/>
                <w:szCs w:val="20"/>
                <w:lang w:val="zh-CN" w:eastAsia="zh-CN"/>
              </w:rPr>
              <w:t xml:space="preserve">  土壤环境现状评价结果表（2#</w:t>
            </w:r>
            <w:r>
              <w:rPr>
                <w:rFonts w:hint="eastAsia" w:ascii="Times New Roman" w:hAnsi="Times New Roman" w:eastAsia="黑体" w:cs="Times New Roman"/>
                <w:color w:val="auto"/>
                <w:kern w:val="0"/>
                <w:sz w:val="20"/>
                <w:szCs w:val="20"/>
                <w:lang w:val="zh-CN" w:eastAsia="zh-CN"/>
              </w:rPr>
              <w:t>、</w:t>
            </w:r>
            <w:r>
              <w:rPr>
                <w:rFonts w:hint="eastAsia" w:ascii="Times New Roman" w:hAnsi="Times New Roman" w:eastAsia="黑体" w:cs="Times New Roman"/>
                <w:color w:val="auto"/>
                <w:kern w:val="0"/>
                <w:sz w:val="20"/>
                <w:szCs w:val="20"/>
                <w:lang w:val="en-US" w:eastAsia="zh-CN"/>
              </w:rPr>
              <w:t>3#</w:t>
            </w:r>
            <w:r>
              <w:rPr>
                <w:rFonts w:hint="default" w:ascii="Times New Roman" w:hAnsi="Times New Roman" w:eastAsia="黑体" w:cs="Times New Roman"/>
                <w:color w:val="auto"/>
                <w:kern w:val="0"/>
                <w:sz w:val="20"/>
                <w:szCs w:val="20"/>
                <w:lang w:val="zh-CN" w:eastAsia="zh-CN"/>
              </w:rPr>
              <w:t>）  单位：mg/kg</w:t>
            </w:r>
          </w:p>
          <w:tbl>
            <w:tblPr>
              <w:tblStyle w:val="14"/>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1143"/>
              <w:gridCol w:w="1206"/>
              <w:gridCol w:w="1050"/>
              <w:gridCol w:w="953"/>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监测项目</w:t>
                  </w:r>
                </w:p>
              </w:tc>
              <w:tc>
                <w:tcPr>
                  <w:tcW w:w="2349" w:type="dxa"/>
                  <w:gridSpan w:val="2"/>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监测结果</w:t>
                  </w:r>
                </w:p>
              </w:tc>
              <w:tc>
                <w:tcPr>
                  <w:tcW w:w="2003" w:type="dxa"/>
                  <w:gridSpan w:val="2"/>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标准限值</w:t>
                  </w:r>
                </w:p>
              </w:tc>
              <w:tc>
                <w:tcPr>
                  <w:tcW w:w="1360"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p>
              </w:tc>
              <w:tc>
                <w:tcPr>
                  <w:tcW w:w="1143"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b/>
                      <w:bCs/>
                      <w:color w:val="auto"/>
                      <w:kern w:val="0"/>
                      <w:sz w:val="18"/>
                      <w:szCs w:val="18"/>
                      <w:lang w:val="en-US" w:eastAsia="zh-CN"/>
                    </w:rPr>
                  </w:pPr>
                  <w:r>
                    <w:rPr>
                      <w:rFonts w:hint="eastAsia"/>
                      <w:b/>
                      <w:bCs/>
                      <w:color w:val="auto"/>
                      <w:kern w:val="0"/>
                      <w:sz w:val="18"/>
                      <w:szCs w:val="18"/>
                      <w:lang w:val="en-US" w:eastAsia="zh-CN"/>
                    </w:rPr>
                    <w:t>2#</w:t>
                  </w:r>
                </w:p>
              </w:tc>
              <w:tc>
                <w:tcPr>
                  <w:tcW w:w="1206"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b/>
                      <w:bCs/>
                      <w:color w:val="auto"/>
                      <w:kern w:val="0"/>
                      <w:sz w:val="18"/>
                      <w:szCs w:val="18"/>
                      <w:lang w:val="en-US" w:eastAsia="zh-CN"/>
                    </w:rPr>
                  </w:pPr>
                  <w:r>
                    <w:rPr>
                      <w:rFonts w:hint="eastAsia"/>
                      <w:b/>
                      <w:bCs/>
                      <w:color w:val="auto"/>
                      <w:kern w:val="0"/>
                      <w:sz w:val="18"/>
                      <w:szCs w:val="18"/>
                      <w:lang w:val="en-US" w:eastAsia="zh-CN"/>
                    </w:rPr>
                    <w:t>3#</w:t>
                  </w:r>
                </w:p>
              </w:tc>
              <w:tc>
                <w:tcPr>
                  <w:tcW w:w="1050"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筛选值</w:t>
                  </w:r>
                </w:p>
              </w:tc>
              <w:tc>
                <w:tcPr>
                  <w:tcW w:w="953"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r>
                    <w:rPr>
                      <w:b/>
                      <w:bCs/>
                      <w:color w:val="auto"/>
                      <w:kern w:val="0"/>
                      <w:sz w:val="18"/>
                      <w:szCs w:val="18"/>
                    </w:rPr>
                    <w:t>管制值</w:t>
                  </w:r>
                </w:p>
              </w:tc>
              <w:tc>
                <w:tcPr>
                  <w:tcW w:w="1360"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color w:val="auto"/>
                      <w:kern w:val="0"/>
                      <w:sz w:val="18"/>
                      <w:szCs w:val="18"/>
                      <w:lang w:bidi="ar"/>
                    </w:rPr>
                  </w:pPr>
                  <w:r>
                    <w:rPr>
                      <w:snapToGrid w:val="0"/>
                      <w:color w:val="auto"/>
                      <w:sz w:val="18"/>
                      <w:szCs w:val="18"/>
                    </w:rPr>
                    <w:t>砷</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4.93</w:t>
                  </w:r>
                </w:p>
              </w:tc>
              <w:tc>
                <w:tcPr>
                  <w:tcW w:w="12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5.34</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30</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120</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color w:val="auto"/>
                      <w:kern w:val="0"/>
                      <w:sz w:val="18"/>
                      <w:szCs w:val="18"/>
                      <w:lang w:bidi="ar"/>
                    </w:rPr>
                  </w:pPr>
                  <w:r>
                    <w:rPr>
                      <w:rFonts w:hint="eastAsia"/>
                      <w:snapToGrid w:val="0"/>
                      <w:color w:val="auto"/>
                      <w:sz w:val="18"/>
                      <w:szCs w:val="18"/>
                      <w:lang w:val="en-US" w:eastAsia="zh-CN"/>
                    </w:rPr>
                    <w:t>六价</w:t>
                  </w:r>
                  <w:r>
                    <w:rPr>
                      <w:snapToGrid w:val="0"/>
                      <w:color w:val="auto"/>
                      <w:sz w:val="18"/>
                      <w:szCs w:val="18"/>
                    </w:rPr>
                    <w:t>铬</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0.25</w:t>
                  </w:r>
                  <w:r>
                    <w:rPr>
                      <w:rFonts w:hint="eastAsia"/>
                      <w:color w:val="auto"/>
                      <w:kern w:val="0"/>
                      <w:sz w:val="18"/>
                      <w:szCs w:val="18"/>
                      <w:vertAlign w:val="superscript"/>
                      <w:lang w:val="en-US" w:eastAsia="zh-CN"/>
                    </w:rPr>
                    <w:t>L</w:t>
                  </w:r>
                </w:p>
              </w:tc>
              <w:tc>
                <w:tcPr>
                  <w:tcW w:w="12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rFonts w:hint="eastAsia"/>
                      <w:color w:val="auto"/>
                      <w:kern w:val="0"/>
                      <w:sz w:val="18"/>
                      <w:szCs w:val="18"/>
                      <w:lang w:val="en-US" w:eastAsia="zh-CN"/>
                    </w:rPr>
                    <w:t>0.25</w:t>
                  </w:r>
                  <w:r>
                    <w:rPr>
                      <w:rFonts w:hint="eastAsia"/>
                      <w:color w:val="auto"/>
                      <w:kern w:val="0"/>
                      <w:sz w:val="18"/>
                      <w:szCs w:val="18"/>
                      <w:vertAlign w:val="superscript"/>
                      <w:lang w:val="en-US" w:eastAsia="zh-CN"/>
                    </w:rPr>
                    <w:t>L</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200</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1000</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noWrap w:val="0"/>
                  <w:vAlign w:val="center"/>
                </w:tcPr>
                <w:p>
                  <w:pPr>
                    <w:adjustRightInd w:val="0"/>
                    <w:snapToGrid w:val="0"/>
                    <w:spacing w:line="280" w:lineRule="exact"/>
                    <w:jc w:val="center"/>
                    <w:rPr>
                      <w:color w:val="auto"/>
                      <w:kern w:val="0"/>
                      <w:sz w:val="18"/>
                      <w:szCs w:val="18"/>
                      <w:lang w:bidi="ar"/>
                    </w:rPr>
                  </w:pPr>
                  <w:r>
                    <w:rPr>
                      <w:snapToGrid w:val="0"/>
                      <w:color w:val="auto"/>
                      <w:sz w:val="18"/>
                      <w:szCs w:val="18"/>
                    </w:rPr>
                    <w:t>铅</w:t>
                  </w:r>
                </w:p>
              </w:tc>
              <w:tc>
                <w:tcPr>
                  <w:tcW w:w="1143"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24.8</w:t>
                  </w:r>
                </w:p>
              </w:tc>
              <w:tc>
                <w:tcPr>
                  <w:tcW w:w="1206"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24.7</w:t>
                  </w:r>
                </w:p>
              </w:tc>
              <w:tc>
                <w:tcPr>
                  <w:tcW w:w="10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120</w:t>
                  </w:r>
                </w:p>
              </w:tc>
              <w:tc>
                <w:tcPr>
                  <w:tcW w:w="953"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700</w:t>
                  </w:r>
                </w:p>
              </w:tc>
              <w:tc>
                <w:tcPr>
                  <w:tcW w:w="136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noWrap w:val="0"/>
                  <w:vAlign w:val="center"/>
                </w:tcPr>
                <w:p>
                  <w:pPr>
                    <w:adjustRightInd w:val="0"/>
                    <w:snapToGrid w:val="0"/>
                    <w:spacing w:line="280" w:lineRule="exact"/>
                    <w:jc w:val="center"/>
                    <w:rPr>
                      <w:color w:val="auto"/>
                      <w:kern w:val="0"/>
                      <w:sz w:val="18"/>
                      <w:szCs w:val="18"/>
                      <w:lang w:bidi="ar"/>
                    </w:rPr>
                  </w:pPr>
                  <w:r>
                    <w:rPr>
                      <w:snapToGrid w:val="0"/>
                      <w:color w:val="auto"/>
                      <w:sz w:val="18"/>
                      <w:szCs w:val="18"/>
                    </w:rPr>
                    <w:t>镉</w:t>
                  </w:r>
                </w:p>
              </w:tc>
              <w:tc>
                <w:tcPr>
                  <w:tcW w:w="1143"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0.11</w:t>
                  </w:r>
                </w:p>
              </w:tc>
              <w:tc>
                <w:tcPr>
                  <w:tcW w:w="1206"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0.11</w:t>
                  </w:r>
                </w:p>
              </w:tc>
              <w:tc>
                <w:tcPr>
                  <w:tcW w:w="10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0.3</w:t>
                  </w:r>
                </w:p>
              </w:tc>
              <w:tc>
                <w:tcPr>
                  <w:tcW w:w="953"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3.0</w:t>
                  </w:r>
                </w:p>
              </w:tc>
              <w:tc>
                <w:tcPr>
                  <w:tcW w:w="136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noWrap w:val="0"/>
                  <w:vAlign w:val="center"/>
                </w:tcPr>
                <w:p>
                  <w:pPr>
                    <w:adjustRightInd w:val="0"/>
                    <w:snapToGrid w:val="0"/>
                    <w:spacing w:line="280" w:lineRule="exact"/>
                    <w:jc w:val="center"/>
                    <w:rPr>
                      <w:color w:val="auto"/>
                      <w:kern w:val="0"/>
                      <w:sz w:val="18"/>
                      <w:szCs w:val="18"/>
                      <w:lang w:bidi="ar"/>
                    </w:rPr>
                  </w:pPr>
                  <w:r>
                    <w:rPr>
                      <w:snapToGrid w:val="0"/>
                      <w:color w:val="auto"/>
                      <w:sz w:val="18"/>
                      <w:szCs w:val="18"/>
                    </w:rPr>
                    <w:t>汞</w:t>
                  </w:r>
                </w:p>
              </w:tc>
              <w:tc>
                <w:tcPr>
                  <w:tcW w:w="1143"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0.019</w:t>
                  </w:r>
                </w:p>
              </w:tc>
              <w:tc>
                <w:tcPr>
                  <w:tcW w:w="1206"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0.020</w:t>
                  </w:r>
                </w:p>
              </w:tc>
              <w:tc>
                <w:tcPr>
                  <w:tcW w:w="10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2.4</w:t>
                  </w:r>
                </w:p>
              </w:tc>
              <w:tc>
                <w:tcPr>
                  <w:tcW w:w="953"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4.0</w:t>
                  </w:r>
                </w:p>
              </w:tc>
              <w:tc>
                <w:tcPr>
                  <w:tcW w:w="136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86" w:type="dxa"/>
                  <w:noWrap w:val="0"/>
                  <w:vAlign w:val="center"/>
                </w:tcPr>
                <w:p>
                  <w:pPr>
                    <w:adjustRightInd w:val="0"/>
                    <w:snapToGrid w:val="0"/>
                    <w:spacing w:line="280" w:lineRule="exact"/>
                    <w:jc w:val="center"/>
                    <w:rPr>
                      <w:color w:val="auto"/>
                      <w:kern w:val="0"/>
                      <w:sz w:val="18"/>
                      <w:szCs w:val="18"/>
                      <w:lang w:bidi="ar"/>
                    </w:rPr>
                  </w:pPr>
                  <w:r>
                    <w:rPr>
                      <w:snapToGrid w:val="0"/>
                      <w:color w:val="auto"/>
                      <w:sz w:val="18"/>
                      <w:szCs w:val="18"/>
                    </w:rPr>
                    <w:t>铜</w:t>
                  </w:r>
                </w:p>
              </w:tc>
              <w:tc>
                <w:tcPr>
                  <w:tcW w:w="1143"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29</w:t>
                  </w:r>
                </w:p>
              </w:tc>
              <w:tc>
                <w:tcPr>
                  <w:tcW w:w="1206"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28</w:t>
                  </w:r>
                </w:p>
              </w:tc>
              <w:tc>
                <w:tcPr>
                  <w:tcW w:w="10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100</w:t>
                  </w:r>
                </w:p>
              </w:tc>
              <w:tc>
                <w:tcPr>
                  <w:tcW w:w="953"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w:t>
                  </w:r>
                </w:p>
              </w:tc>
              <w:tc>
                <w:tcPr>
                  <w:tcW w:w="136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86" w:type="dxa"/>
                  <w:noWrap w:val="0"/>
                  <w:vAlign w:val="center"/>
                </w:tcPr>
                <w:p>
                  <w:pPr>
                    <w:adjustRightInd w:val="0"/>
                    <w:snapToGrid w:val="0"/>
                    <w:spacing w:line="280" w:lineRule="exact"/>
                    <w:jc w:val="center"/>
                    <w:rPr>
                      <w:color w:val="auto"/>
                      <w:kern w:val="0"/>
                      <w:sz w:val="18"/>
                      <w:szCs w:val="18"/>
                      <w:lang w:bidi="ar"/>
                    </w:rPr>
                  </w:pPr>
                  <w:r>
                    <w:rPr>
                      <w:color w:val="auto"/>
                      <w:sz w:val="18"/>
                      <w:szCs w:val="18"/>
                    </w:rPr>
                    <w:t>镍</w:t>
                  </w:r>
                </w:p>
              </w:tc>
              <w:tc>
                <w:tcPr>
                  <w:tcW w:w="1143"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33</w:t>
                  </w:r>
                </w:p>
              </w:tc>
              <w:tc>
                <w:tcPr>
                  <w:tcW w:w="1206" w:type="dxa"/>
                  <w:noWrap w:val="0"/>
                  <w:vAlign w:val="center"/>
                </w:tcPr>
                <w:p>
                  <w:pPr>
                    <w:widowControl/>
                    <w:spacing w:line="280" w:lineRule="exact"/>
                    <w:ind w:left="-105" w:leftChars="-50" w:right="-105" w:rightChars="-50"/>
                    <w:jc w:val="center"/>
                    <w:rPr>
                      <w:rFonts w:hint="default" w:eastAsia="宋体"/>
                      <w:color w:val="auto"/>
                      <w:kern w:val="0"/>
                      <w:sz w:val="18"/>
                      <w:szCs w:val="18"/>
                      <w:lang w:val="en-US" w:eastAsia="zh-CN"/>
                    </w:rPr>
                  </w:pPr>
                  <w:r>
                    <w:rPr>
                      <w:rFonts w:hint="eastAsia"/>
                      <w:color w:val="auto"/>
                      <w:kern w:val="0"/>
                      <w:sz w:val="18"/>
                      <w:szCs w:val="18"/>
                      <w:lang w:val="en-US" w:eastAsia="zh-CN"/>
                    </w:rPr>
                    <w:t>33</w:t>
                  </w:r>
                </w:p>
              </w:tc>
              <w:tc>
                <w:tcPr>
                  <w:tcW w:w="105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100</w:t>
                  </w:r>
                </w:p>
              </w:tc>
              <w:tc>
                <w:tcPr>
                  <w:tcW w:w="953"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w:t>
                  </w:r>
                </w:p>
              </w:tc>
              <w:tc>
                <w:tcPr>
                  <w:tcW w:w="1360" w:type="dxa"/>
                  <w:noWrap w:val="0"/>
                  <w:vAlign w:val="center"/>
                </w:tcPr>
                <w:p>
                  <w:pPr>
                    <w:widowControl/>
                    <w:spacing w:line="280" w:lineRule="exact"/>
                    <w:ind w:left="-105" w:leftChars="-50" w:right="-105" w:rightChars="-50"/>
                    <w:jc w:val="center"/>
                    <w:rPr>
                      <w:color w:val="auto"/>
                      <w:kern w:val="0"/>
                      <w:sz w:val="18"/>
                      <w:szCs w:val="18"/>
                    </w:rPr>
                  </w:pPr>
                  <w:r>
                    <w:rPr>
                      <w:color w:val="auto"/>
                      <w:kern w:val="0"/>
                      <w:sz w:val="18"/>
                      <w:szCs w:val="18"/>
                    </w:rPr>
                    <w:t>达标</w:t>
                  </w:r>
                </w:p>
              </w:tc>
            </w:tr>
          </w:tbl>
          <w:p>
            <w:pPr>
              <w:adjustRightInd w:val="0"/>
              <w:snapToGrid w:val="0"/>
              <w:spacing w:line="400" w:lineRule="exact"/>
              <w:ind w:left="-53" w:leftChars="-25" w:right="-53" w:rightChars="-25" w:firstLine="420" w:firstLineChars="200"/>
              <w:jc w:val="left"/>
              <w:rPr>
                <w:color w:val="FF0000"/>
                <w:kern w:val="0"/>
                <w:szCs w:val="21"/>
              </w:rPr>
            </w:pPr>
            <w:r>
              <w:rPr>
                <w:color w:val="auto"/>
                <w:szCs w:val="21"/>
                <w:lang w:val="zh-CN"/>
              </w:rPr>
              <w:t>由上表可知，项目区</w:t>
            </w:r>
            <w:r>
              <w:rPr>
                <w:rFonts w:hint="eastAsia"/>
                <w:color w:val="auto"/>
                <w:szCs w:val="21"/>
              </w:rPr>
              <w:t>及周围</w:t>
            </w:r>
            <w:r>
              <w:rPr>
                <w:color w:val="auto"/>
                <w:szCs w:val="21"/>
                <w:lang w:val="zh-CN"/>
              </w:rPr>
              <w:t>土壤中各种监测指标均无超标现象，项目区内土壤满足《土壤环境质量 建设地土壤污染风险管控标准》（GB36600-2018）表1限值要求</w:t>
            </w:r>
            <w:r>
              <w:rPr>
                <w:rFonts w:hint="eastAsia"/>
                <w:color w:val="auto"/>
                <w:szCs w:val="21"/>
                <w:lang w:val="zh-CN"/>
              </w:rPr>
              <w:t>；</w:t>
            </w:r>
            <w:r>
              <w:rPr>
                <w:color w:val="auto"/>
                <w:szCs w:val="21"/>
                <w:lang w:val="zh-CN"/>
              </w:rPr>
              <w:t>项目区</w:t>
            </w:r>
            <w:r>
              <w:rPr>
                <w:color w:val="auto"/>
                <w:szCs w:val="21"/>
              </w:rPr>
              <w:t>外</w:t>
            </w:r>
            <w:r>
              <w:rPr>
                <w:color w:val="auto"/>
                <w:szCs w:val="21"/>
                <w:lang w:val="zh-CN"/>
              </w:rPr>
              <w:t>土壤满足《土壤环境质量农用地土壤污染风险管控标准》（GB15618-2018）中相关</w:t>
            </w:r>
            <w:r>
              <w:rPr>
                <w:color w:val="auto"/>
                <w:szCs w:val="21"/>
              </w:rPr>
              <w:t>限制要求</w:t>
            </w:r>
            <w:r>
              <w:rPr>
                <w:color w:val="auto"/>
                <w:szCs w:val="21"/>
                <w:lang w:val="zh-CN"/>
              </w:rPr>
              <w:t>。</w:t>
            </w:r>
            <w:r>
              <w:rPr>
                <w:color w:val="FF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682" w:type="dxa"/>
            <w:noWrap w:val="0"/>
            <w:vAlign w:val="center"/>
          </w:tcPr>
          <w:p>
            <w:pPr>
              <w:adjustRightInd w:val="0"/>
              <w:snapToGrid w:val="0"/>
              <w:jc w:val="center"/>
              <w:rPr>
                <w:b/>
                <w:bCs/>
                <w:color w:val="auto"/>
                <w:kern w:val="0"/>
                <w:szCs w:val="21"/>
              </w:rPr>
            </w:pPr>
            <w:r>
              <w:rPr>
                <w:b/>
                <w:bCs/>
                <w:color w:val="auto"/>
                <w:kern w:val="0"/>
                <w:szCs w:val="21"/>
              </w:rPr>
              <w:t>环境</w:t>
            </w:r>
          </w:p>
          <w:p>
            <w:pPr>
              <w:adjustRightInd w:val="0"/>
              <w:snapToGrid w:val="0"/>
              <w:jc w:val="center"/>
              <w:rPr>
                <w:b/>
                <w:bCs/>
                <w:color w:val="auto"/>
                <w:kern w:val="0"/>
                <w:szCs w:val="21"/>
              </w:rPr>
            </w:pPr>
            <w:r>
              <w:rPr>
                <w:b/>
                <w:bCs/>
                <w:color w:val="auto"/>
                <w:kern w:val="0"/>
                <w:szCs w:val="21"/>
              </w:rPr>
              <w:t>保护</w:t>
            </w:r>
          </w:p>
          <w:p>
            <w:pPr>
              <w:adjustRightInd w:val="0"/>
              <w:snapToGrid w:val="0"/>
              <w:jc w:val="center"/>
              <w:rPr>
                <w:b/>
                <w:bCs/>
                <w:color w:val="auto"/>
                <w:kern w:val="0"/>
                <w:szCs w:val="21"/>
              </w:rPr>
            </w:pPr>
            <w:r>
              <w:rPr>
                <w:b/>
                <w:bCs/>
                <w:color w:val="auto"/>
                <w:kern w:val="0"/>
                <w:szCs w:val="21"/>
              </w:rPr>
              <w:t>目标</w:t>
            </w:r>
          </w:p>
        </w:tc>
        <w:tc>
          <w:tcPr>
            <w:tcW w:w="8308" w:type="dxa"/>
            <w:noWrap w:val="0"/>
            <w:vAlign w:val="center"/>
          </w:tcPr>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1、大气环境</w:t>
            </w:r>
          </w:p>
          <w:p>
            <w:pPr>
              <w:adjustRightInd w:val="0"/>
              <w:snapToGrid w:val="0"/>
              <w:spacing w:line="400" w:lineRule="exact"/>
              <w:ind w:left="-53" w:leftChars="-25" w:right="-53" w:rightChars="-25" w:firstLine="420" w:firstLineChars="200"/>
              <w:jc w:val="left"/>
              <w:rPr>
                <w:rFonts w:eastAsia="黑体"/>
                <w:color w:val="auto"/>
                <w:kern w:val="0"/>
                <w:szCs w:val="21"/>
                <w:lang w:val="zh-CN"/>
              </w:rPr>
            </w:pPr>
            <w:r>
              <w:rPr>
                <w:color w:val="auto"/>
                <w:szCs w:val="21"/>
              </w:rPr>
              <w:t>项目</w:t>
            </w:r>
            <w:r>
              <w:rPr>
                <w:rFonts w:hint="eastAsia"/>
                <w:color w:val="auto"/>
                <w:szCs w:val="21"/>
                <w:lang w:val="en-US" w:eastAsia="zh-CN"/>
              </w:rPr>
              <w:t>位于四川达州普光经济开发区柳池工业区内，</w:t>
            </w:r>
            <w:r>
              <w:rPr>
                <w:color w:val="auto"/>
                <w:szCs w:val="21"/>
                <w:lang w:val="zh-CN"/>
              </w:rPr>
              <w:t>厂界外500</w:t>
            </w:r>
            <w:r>
              <w:rPr>
                <w:color w:val="auto"/>
                <w:szCs w:val="21"/>
              </w:rPr>
              <w:t>m</w:t>
            </w:r>
            <w:r>
              <w:rPr>
                <w:color w:val="auto"/>
                <w:szCs w:val="21"/>
                <w:lang w:val="zh-CN"/>
              </w:rPr>
              <w:t>范围内</w:t>
            </w:r>
            <w:r>
              <w:rPr>
                <w:color w:val="auto"/>
                <w:szCs w:val="21"/>
              </w:rPr>
              <w:t>无</w:t>
            </w:r>
            <w:r>
              <w:rPr>
                <w:color w:val="auto"/>
                <w:szCs w:val="21"/>
                <w:lang w:val="zh-CN"/>
              </w:rPr>
              <w:t>自然保护区、风景名胜区、文化区域</w:t>
            </w:r>
            <w:r>
              <w:rPr>
                <w:rFonts w:hint="eastAsia"/>
                <w:color w:val="auto"/>
                <w:szCs w:val="21"/>
                <w:lang w:val="zh-CN"/>
              </w:rPr>
              <w:t>、</w:t>
            </w:r>
            <w:r>
              <w:rPr>
                <w:rFonts w:hint="eastAsia"/>
                <w:color w:val="auto"/>
                <w:szCs w:val="21"/>
                <w:lang w:val="en-US" w:eastAsia="zh-CN"/>
              </w:rPr>
              <w:t>居民集中居住区等</w:t>
            </w:r>
            <w:r>
              <w:rPr>
                <w:color w:val="auto"/>
                <w:szCs w:val="21"/>
                <w:lang w:val="zh-CN"/>
              </w:rPr>
              <w:t>保护目标</w:t>
            </w:r>
            <w:r>
              <w:rPr>
                <w:color w:val="auto"/>
                <w:szCs w:val="21"/>
              </w:rPr>
              <w:t>。</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2、声环境</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rPr>
              <w:t>项目</w:t>
            </w:r>
            <w:r>
              <w:rPr>
                <w:color w:val="auto"/>
                <w:szCs w:val="21"/>
                <w:lang w:val="zh-CN"/>
              </w:rPr>
              <w:t>厂界外50米范围内</w:t>
            </w:r>
            <w:r>
              <w:rPr>
                <w:rFonts w:hint="eastAsia"/>
                <w:color w:val="auto"/>
                <w:szCs w:val="21"/>
                <w:lang w:val="en-US" w:eastAsia="zh-CN"/>
              </w:rPr>
              <w:t>无住户、医院、学校等</w:t>
            </w:r>
            <w:r>
              <w:rPr>
                <w:color w:val="auto"/>
                <w:szCs w:val="21"/>
                <w:lang w:val="zh-CN"/>
              </w:rPr>
              <w:t>声环境保护目标。</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3、地下水环境</w:t>
            </w:r>
          </w:p>
          <w:p>
            <w:pPr>
              <w:adjustRightInd w:val="0"/>
              <w:snapToGrid w:val="0"/>
              <w:spacing w:line="400" w:lineRule="exact"/>
              <w:ind w:left="-53" w:leftChars="-25" w:right="-53" w:rightChars="-25" w:firstLine="420" w:firstLineChars="200"/>
              <w:jc w:val="left"/>
              <w:rPr>
                <w:color w:val="auto"/>
                <w:szCs w:val="21"/>
              </w:rPr>
            </w:pPr>
            <w:r>
              <w:rPr>
                <w:color w:val="auto"/>
                <w:szCs w:val="21"/>
              </w:rPr>
              <w:t>根据调查，项目</w:t>
            </w:r>
            <w:r>
              <w:rPr>
                <w:color w:val="auto"/>
                <w:szCs w:val="21"/>
                <w:lang w:val="zh-CN"/>
              </w:rPr>
              <w:t>厂界外500米范围内的</w:t>
            </w:r>
            <w:r>
              <w:rPr>
                <w:color w:val="auto"/>
                <w:szCs w:val="21"/>
              </w:rPr>
              <w:t>无</w:t>
            </w:r>
            <w:r>
              <w:rPr>
                <w:color w:val="auto"/>
                <w:szCs w:val="21"/>
                <w:lang w:val="zh-CN"/>
              </w:rPr>
              <w:t>地下水集中式饮用水水源和热水、矿泉水、温泉等特殊地下水资源。</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4、地</w:t>
            </w:r>
            <w:r>
              <w:rPr>
                <w:rFonts w:hint="eastAsia" w:eastAsia="黑体"/>
                <w:color w:val="auto"/>
                <w:kern w:val="0"/>
                <w:sz w:val="22"/>
                <w:szCs w:val="22"/>
              </w:rPr>
              <w:t>表</w:t>
            </w:r>
            <w:r>
              <w:rPr>
                <w:rFonts w:eastAsia="黑体"/>
                <w:color w:val="auto"/>
                <w:kern w:val="0"/>
                <w:sz w:val="22"/>
                <w:szCs w:val="22"/>
                <w:lang w:val="zh-CN"/>
              </w:rPr>
              <w:t>水环境</w:t>
            </w:r>
          </w:p>
          <w:p>
            <w:pPr>
              <w:autoSpaceDE w:val="0"/>
              <w:autoSpaceDN w:val="0"/>
              <w:adjustRightInd w:val="0"/>
              <w:snapToGrid w:val="0"/>
              <w:spacing w:line="400" w:lineRule="exact"/>
              <w:ind w:right="-31" w:rightChars="-15" w:firstLine="420" w:firstLineChars="200"/>
              <w:rPr>
                <w:color w:val="auto"/>
                <w:kern w:val="0"/>
                <w:sz w:val="22"/>
                <w:szCs w:val="22"/>
              </w:rPr>
            </w:pPr>
            <w:r>
              <w:rPr>
                <w:rFonts w:hint="default"/>
                <w:color w:val="auto"/>
                <w:szCs w:val="21"/>
                <w:lang w:val="en-US" w:eastAsia="zh-CN"/>
              </w:rPr>
              <w:t>项目区</w:t>
            </w:r>
            <w:r>
              <w:rPr>
                <w:rFonts w:hint="eastAsia"/>
                <w:color w:val="auto"/>
                <w:szCs w:val="21"/>
                <w:lang w:val="en-US" w:eastAsia="zh-CN"/>
              </w:rPr>
              <w:t>附近地表水体为后河，位于现目区东面约7.5km，</w:t>
            </w:r>
            <w:r>
              <w:rPr>
                <w:rFonts w:hint="default"/>
                <w:color w:val="auto"/>
                <w:szCs w:val="21"/>
                <w:lang w:val="en-US" w:eastAsia="zh-CN"/>
              </w:rPr>
              <w:t>地表水主要保护</w:t>
            </w:r>
            <w:r>
              <w:rPr>
                <w:rFonts w:hint="eastAsia"/>
                <w:color w:val="auto"/>
                <w:szCs w:val="21"/>
                <w:lang w:val="en-US" w:eastAsia="zh-CN"/>
              </w:rPr>
              <w:t>后河</w:t>
            </w:r>
            <w:r>
              <w:rPr>
                <w:rFonts w:hint="default"/>
                <w:color w:val="auto"/>
                <w:szCs w:val="21"/>
                <w:lang w:val="en-US" w:eastAsia="zh-CN"/>
              </w:rPr>
              <w:t>水质</w:t>
            </w:r>
            <w:r>
              <w:rPr>
                <w:rFonts w:hint="default"/>
                <w:color w:val="auto"/>
                <w:szCs w:val="21"/>
              </w:rPr>
              <w:t>满足《地表水质量标准》（GB 3838-2002）Ⅲ类水域水质标准</w:t>
            </w:r>
            <w:r>
              <w:rPr>
                <w:rFonts w:hint="eastAsia"/>
                <w:color w:val="auto"/>
                <w:szCs w:val="21"/>
              </w:rPr>
              <w:t>。</w:t>
            </w:r>
          </w:p>
          <w:p>
            <w:pPr>
              <w:autoSpaceDE w:val="0"/>
              <w:autoSpaceDN w:val="0"/>
              <w:adjustRightInd w:val="0"/>
              <w:snapToGrid w:val="0"/>
              <w:spacing w:line="400" w:lineRule="exact"/>
              <w:ind w:right="-31" w:rightChars="-15"/>
              <w:rPr>
                <w:rFonts w:eastAsia="黑体"/>
                <w:color w:val="auto"/>
                <w:kern w:val="0"/>
                <w:sz w:val="22"/>
                <w:szCs w:val="22"/>
                <w:lang w:val="zh-CN"/>
              </w:rPr>
            </w:pPr>
            <w:r>
              <w:rPr>
                <w:rFonts w:hint="eastAsia" w:eastAsia="黑体"/>
                <w:color w:val="auto"/>
                <w:kern w:val="0"/>
                <w:sz w:val="22"/>
                <w:szCs w:val="22"/>
              </w:rPr>
              <w:t>5、</w:t>
            </w:r>
            <w:r>
              <w:rPr>
                <w:rFonts w:eastAsia="黑体"/>
                <w:color w:val="auto"/>
                <w:kern w:val="0"/>
                <w:sz w:val="22"/>
                <w:szCs w:val="22"/>
                <w:lang w:val="zh-CN"/>
              </w:rPr>
              <w:t>生态环境</w:t>
            </w:r>
          </w:p>
          <w:p>
            <w:pPr>
              <w:adjustRightInd w:val="0"/>
              <w:snapToGrid w:val="0"/>
              <w:spacing w:line="400" w:lineRule="exact"/>
              <w:ind w:left="-53" w:leftChars="-25" w:right="-53" w:rightChars="-25" w:firstLine="420" w:firstLineChars="200"/>
              <w:jc w:val="left"/>
              <w:rPr>
                <w:color w:val="FF0000"/>
                <w:kern w:val="0"/>
                <w:szCs w:val="21"/>
              </w:rPr>
            </w:pPr>
            <w:r>
              <w:rPr>
                <w:color w:val="auto"/>
                <w:szCs w:val="21"/>
                <w:lang w:val="zh-CN"/>
              </w:rPr>
              <w:t>根据现场调查，项目区域内不涉及自然保护区、森林公园及风景名胜区、生活饮用水水源保护区及其他需要特别保护区域，区域内无国家保护的重点野生动植物，无名木古树及珍稀动植物等，无特殊文物保护单位。</w:t>
            </w:r>
            <w:r>
              <w:rPr>
                <w:color w:val="FF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5" w:hRule="atLeast"/>
          <w:jc w:val="center"/>
        </w:trPr>
        <w:tc>
          <w:tcPr>
            <w:tcW w:w="682" w:type="dxa"/>
            <w:noWrap w:val="0"/>
            <w:tcMar>
              <w:left w:w="28" w:type="dxa"/>
              <w:right w:w="28" w:type="dxa"/>
            </w:tcMar>
            <w:vAlign w:val="center"/>
          </w:tcPr>
          <w:p>
            <w:pPr>
              <w:adjustRightInd w:val="0"/>
              <w:snapToGrid w:val="0"/>
              <w:jc w:val="center"/>
              <w:rPr>
                <w:b/>
                <w:bCs/>
                <w:color w:val="auto"/>
                <w:kern w:val="0"/>
                <w:szCs w:val="21"/>
              </w:rPr>
            </w:pPr>
            <w:r>
              <w:rPr>
                <w:b/>
                <w:bCs/>
                <w:color w:val="auto"/>
                <w:kern w:val="0"/>
                <w:szCs w:val="21"/>
              </w:rPr>
              <w:t>污染</w:t>
            </w:r>
          </w:p>
          <w:p>
            <w:pPr>
              <w:adjustRightInd w:val="0"/>
              <w:snapToGrid w:val="0"/>
              <w:jc w:val="center"/>
              <w:rPr>
                <w:b/>
                <w:bCs/>
                <w:color w:val="auto"/>
                <w:kern w:val="0"/>
                <w:szCs w:val="21"/>
              </w:rPr>
            </w:pPr>
            <w:r>
              <w:rPr>
                <w:b/>
                <w:bCs/>
                <w:color w:val="auto"/>
                <w:kern w:val="0"/>
                <w:szCs w:val="21"/>
              </w:rPr>
              <w:t>物排</w:t>
            </w:r>
          </w:p>
          <w:p>
            <w:pPr>
              <w:adjustRightInd w:val="0"/>
              <w:snapToGrid w:val="0"/>
              <w:jc w:val="center"/>
              <w:rPr>
                <w:b/>
                <w:bCs/>
                <w:color w:val="auto"/>
                <w:kern w:val="0"/>
                <w:szCs w:val="21"/>
              </w:rPr>
            </w:pPr>
            <w:r>
              <w:rPr>
                <w:b/>
                <w:bCs/>
                <w:color w:val="auto"/>
                <w:kern w:val="0"/>
                <w:szCs w:val="21"/>
              </w:rPr>
              <w:t>放控</w:t>
            </w:r>
          </w:p>
          <w:p>
            <w:pPr>
              <w:adjustRightInd w:val="0"/>
              <w:snapToGrid w:val="0"/>
              <w:jc w:val="center"/>
              <w:rPr>
                <w:b/>
                <w:bCs/>
                <w:color w:val="auto"/>
                <w:kern w:val="0"/>
                <w:szCs w:val="21"/>
              </w:rPr>
            </w:pPr>
            <w:r>
              <w:rPr>
                <w:b/>
                <w:bCs/>
                <w:color w:val="auto"/>
                <w:kern w:val="0"/>
                <w:szCs w:val="21"/>
              </w:rPr>
              <w:t>制标</w:t>
            </w:r>
          </w:p>
          <w:p>
            <w:pPr>
              <w:adjustRightInd w:val="0"/>
              <w:snapToGrid w:val="0"/>
              <w:jc w:val="center"/>
              <w:rPr>
                <w:b/>
                <w:bCs/>
                <w:color w:val="auto"/>
                <w:kern w:val="0"/>
                <w:szCs w:val="21"/>
              </w:rPr>
            </w:pPr>
            <w:r>
              <w:rPr>
                <w:b/>
                <w:bCs/>
                <w:color w:val="auto"/>
                <w:kern w:val="0"/>
                <w:szCs w:val="21"/>
              </w:rPr>
              <w:t>准</w:t>
            </w:r>
          </w:p>
        </w:tc>
        <w:tc>
          <w:tcPr>
            <w:tcW w:w="8308" w:type="dxa"/>
            <w:noWrap w:val="0"/>
            <w:vAlign w:val="center"/>
          </w:tcPr>
          <w:p>
            <w:pPr>
              <w:autoSpaceDE w:val="0"/>
              <w:autoSpaceDN w:val="0"/>
              <w:adjustRightInd w:val="0"/>
              <w:snapToGrid w:val="0"/>
              <w:spacing w:line="400" w:lineRule="exact"/>
              <w:ind w:right="-31" w:rightChars="-15"/>
              <w:jc w:val="both"/>
              <w:rPr>
                <w:rFonts w:eastAsia="黑体"/>
                <w:color w:val="auto"/>
                <w:kern w:val="0"/>
                <w:sz w:val="22"/>
                <w:szCs w:val="22"/>
                <w:lang w:val="zh-CN"/>
              </w:rPr>
            </w:pPr>
            <w:r>
              <w:rPr>
                <w:rFonts w:eastAsia="黑体"/>
                <w:color w:val="auto"/>
                <w:kern w:val="0"/>
                <w:sz w:val="22"/>
                <w:szCs w:val="22"/>
                <w:lang w:val="zh-CN"/>
              </w:rPr>
              <w:t>1、废气</w:t>
            </w:r>
          </w:p>
          <w:p>
            <w:pPr>
              <w:autoSpaceDE w:val="0"/>
              <w:autoSpaceDN w:val="0"/>
              <w:adjustRightInd w:val="0"/>
              <w:snapToGrid w:val="0"/>
              <w:spacing w:line="400" w:lineRule="exact"/>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施工期扬尘执行《四川省施工场地扬尘排放标准》（DB512682-2020）。</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表</w:t>
            </w:r>
            <w:r>
              <w:rPr>
                <w:rFonts w:hint="default" w:ascii="Times New Roman" w:hAnsi="Times New Roman" w:eastAsia="黑体" w:cs="Times New Roman"/>
                <w:color w:val="auto"/>
                <w:kern w:val="0"/>
                <w:sz w:val="20"/>
                <w:szCs w:val="20"/>
                <w:lang w:val="en-US" w:eastAsia="zh-CN"/>
              </w:rPr>
              <w:t>3</w:t>
            </w:r>
            <w:r>
              <w:rPr>
                <w:rFonts w:hint="eastAsia" w:ascii="Times New Roman" w:hAnsi="Times New Roman" w:eastAsia="黑体" w:cs="Times New Roman"/>
                <w:color w:val="auto"/>
                <w:kern w:val="0"/>
                <w:sz w:val="20"/>
                <w:szCs w:val="20"/>
                <w:lang w:val="en-US" w:eastAsia="zh-CN"/>
              </w:rPr>
              <w:t>-7</w:t>
            </w:r>
            <w:r>
              <w:rPr>
                <w:rFonts w:hint="default" w:ascii="Times New Roman" w:hAnsi="Times New Roman" w:eastAsia="黑体" w:cs="Times New Roman"/>
                <w:color w:val="auto"/>
                <w:kern w:val="0"/>
                <w:sz w:val="20"/>
                <w:szCs w:val="20"/>
                <w:lang w:val="zh-CN" w:eastAsia="zh-CN"/>
              </w:rPr>
              <w:t xml:space="preserve">  </w:t>
            </w:r>
            <w:r>
              <w:rPr>
                <w:rFonts w:hint="default" w:ascii="Times New Roman" w:hAnsi="Times New Roman" w:eastAsia="黑体" w:cs="Times New Roman"/>
                <w:color w:val="auto"/>
                <w:kern w:val="0"/>
                <w:sz w:val="20"/>
                <w:szCs w:val="20"/>
                <w:lang w:val="en-US" w:eastAsia="zh-CN"/>
              </w:rPr>
              <w:t>四川省施工场地扬尘排放限值</w:t>
            </w:r>
          </w:p>
          <w:tbl>
            <w:tblPr>
              <w:tblStyle w:val="14"/>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081"/>
              <w:gridCol w:w="1427"/>
              <w:gridCol w:w="1323"/>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03" w:type="dxa"/>
                  <w:noWrap w:val="0"/>
                  <w:vAlign w:val="center"/>
                </w:tcPr>
                <w:p>
                  <w:pPr>
                    <w:spacing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监测项目</w:t>
                  </w:r>
                </w:p>
              </w:tc>
              <w:tc>
                <w:tcPr>
                  <w:tcW w:w="3081" w:type="dxa"/>
                  <w:noWrap w:val="0"/>
                  <w:vAlign w:val="center"/>
                </w:tcPr>
                <w:p>
                  <w:pPr>
                    <w:spacing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区域</w:t>
                  </w:r>
                </w:p>
              </w:tc>
              <w:tc>
                <w:tcPr>
                  <w:tcW w:w="1427"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施工阶段</w:t>
                  </w:r>
                </w:p>
              </w:tc>
              <w:tc>
                <w:tcPr>
                  <w:tcW w:w="1323"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监测点排放限值</w:t>
                  </w:r>
                </w:p>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（μg/m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lang w:val="en-US" w:eastAsia="zh-CN"/>
                    </w:rPr>
                    <w:t>）</w:t>
                  </w:r>
                </w:p>
              </w:tc>
              <w:tc>
                <w:tcPr>
                  <w:tcW w:w="786"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303" w:type="dxa"/>
                  <w:vMerge w:val="restart"/>
                  <w:noWrap w:val="0"/>
                  <w:vAlign w:val="center"/>
                </w:tcPr>
                <w:p>
                  <w:pPr>
                    <w:spacing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总悬浮颗粒物</w:t>
                  </w:r>
                </w:p>
                <w:p>
                  <w:pPr>
                    <w:spacing w:line="230" w:lineRule="exact"/>
                    <w:ind w:left="-105" w:leftChars="-50" w:right="-105" w:rightChar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（TSP）</w:t>
                  </w:r>
                </w:p>
              </w:tc>
              <w:tc>
                <w:tcPr>
                  <w:tcW w:w="3081" w:type="dxa"/>
                  <w:vMerge w:val="restart"/>
                  <w:noWrap w:val="0"/>
                  <w:vAlign w:val="center"/>
                </w:tcPr>
                <w:p>
                  <w:pPr>
                    <w:spacing w:line="230" w:lineRule="exact"/>
                    <w:ind w:left="-105" w:leftChars="-50" w:right="-105" w:rightChars="-5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成都市、自贡市、泸州市、德阳市、绵 阳市、广元市、遂宁市、内江市、乐山市、南充市、宜宾市、广安市、</w:t>
                  </w:r>
                  <w:r>
                    <w:rPr>
                      <w:rFonts w:hint="default" w:ascii="Times New Roman" w:hAnsi="Times New Roman" w:cs="Times New Roman"/>
                      <w:b/>
                      <w:bCs/>
                      <w:color w:val="auto"/>
                      <w:sz w:val="18"/>
                      <w:szCs w:val="18"/>
                      <w:lang w:val="en-US" w:eastAsia="zh-CN"/>
                    </w:rPr>
                    <w:t>达州市</w:t>
                  </w:r>
                  <w:r>
                    <w:rPr>
                      <w:rFonts w:hint="default" w:ascii="Times New Roman" w:hAnsi="Times New Roman" w:cs="Times New Roman"/>
                      <w:color w:val="auto"/>
                      <w:sz w:val="18"/>
                      <w:szCs w:val="18"/>
                      <w:lang w:val="en-US" w:eastAsia="zh-CN"/>
                    </w:rPr>
                    <w:t>、巴中市、雅安市、眉山市、资阳市</w:t>
                  </w:r>
                </w:p>
              </w:tc>
              <w:tc>
                <w:tcPr>
                  <w:tcW w:w="1427"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拆除工程/土方开挖/土方回填阶段</w:t>
                  </w:r>
                </w:p>
              </w:tc>
              <w:tc>
                <w:tcPr>
                  <w:tcW w:w="1323"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600</w:t>
                  </w:r>
                </w:p>
              </w:tc>
              <w:tc>
                <w:tcPr>
                  <w:tcW w:w="786" w:type="dxa"/>
                  <w:vMerge w:val="restart"/>
                  <w:noWrap w:val="0"/>
                  <w:vAlign w:val="center"/>
                </w:tcPr>
                <w:p>
                  <w:pPr>
                    <w:spacing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自监测起持续15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03" w:type="dxa"/>
                  <w:vMerge w:val="continue"/>
                  <w:noWrap w:val="0"/>
                  <w:vAlign w:val="center"/>
                </w:tcPr>
                <w:p>
                  <w:pPr>
                    <w:spacing w:line="230" w:lineRule="exact"/>
                    <w:ind w:left="-105" w:leftChars="-50" w:right="-105" w:rightChars="-50"/>
                    <w:jc w:val="both"/>
                    <w:rPr>
                      <w:rFonts w:hint="default" w:ascii="Times New Roman" w:hAnsi="Times New Roman" w:cs="Times New Roman"/>
                      <w:color w:val="auto"/>
                      <w:sz w:val="18"/>
                      <w:szCs w:val="18"/>
                      <w:lang w:val="en-US" w:eastAsia="zh-CN"/>
                    </w:rPr>
                  </w:pPr>
                </w:p>
              </w:tc>
              <w:tc>
                <w:tcPr>
                  <w:tcW w:w="3081" w:type="dxa"/>
                  <w:vMerge w:val="continue"/>
                  <w:noWrap w:val="0"/>
                  <w:vAlign w:val="center"/>
                </w:tcPr>
                <w:p>
                  <w:pPr>
                    <w:spacing w:line="230" w:lineRule="exact"/>
                    <w:ind w:left="-105" w:leftChars="-50" w:right="-105" w:rightChars="-50"/>
                    <w:jc w:val="both"/>
                    <w:rPr>
                      <w:rFonts w:hint="default" w:ascii="Times New Roman" w:hAnsi="Times New Roman" w:cs="Times New Roman"/>
                      <w:color w:val="auto"/>
                      <w:sz w:val="18"/>
                      <w:szCs w:val="18"/>
                      <w:lang w:val="en-US" w:eastAsia="zh-CN"/>
                    </w:rPr>
                  </w:pPr>
                </w:p>
              </w:tc>
              <w:tc>
                <w:tcPr>
                  <w:tcW w:w="1427"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其他工程阶段</w:t>
                  </w:r>
                </w:p>
              </w:tc>
              <w:tc>
                <w:tcPr>
                  <w:tcW w:w="1323"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250</w:t>
                  </w:r>
                </w:p>
              </w:tc>
              <w:tc>
                <w:tcPr>
                  <w:tcW w:w="786" w:type="dxa"/>
                  <w:vMerge w:val="continue"/>
                  <w:noWrap w:val="0"/>
                  <w:vAlign w:val="center"/>
                </w:tcPr>
                <w:p>
                  <w:pPr>
                    <w:spacing w:line="230" w:lineRule="exact"/>
                    <w:ind w:left="-105" w:leftChars="-50" w:right="-105" w:rightChars="-50"/>
                    <w:jc w:val="both"/>
                    <w:rPr>
                      <w:rFonts w:hint="default" w:ascii="Times New Roman" w:hAnsi="Times New Roman" w:cs="Times New Roman"/>
                      <w:color w:val="auto"/>
                      <w:sz w:val="18"/>
                      <w:szCs w:val="18"/>
                      <w:lang w:val="en-US" w:eastAsia="zh-CN"/>
                    </w:rPr>
                  </w:pPr>
                </w:p>
              </w:tc>
            </w:tr>
          </w:tbl>
          <w:p>
            <w:pPr>
              <w:keepNext w:val="0"/>
              <w:keepLines w:val="0"/>
              <w:pageBreakBefore w:val="0"/>
              <w:widowControl w:val="0"/>
              <w:kinsoku/>
              <w:wordWrap/>
              <w:overflowPunct/>
              <w:topLinePunct w:val="0"/>
              <w:bidi w:val="0"/>
              <w:adjustRightInd w:val="0"/>
              <w:snapToGrid w:val="0"/>
              <w:spacing w:line="400" w:lineRule="exact"/>
              <w:ind w:left="-53" w:leftChars="-25" w:right="-53" w:rightChars="-25" w:firstLine="420" w:firstLineChars="200"/>
              <w:jc w:val="both"/>
              <w:textAlignment w:val="auto"/>
              <w:rPr>
                <w:color w:val="auto"/>
                <w:szCs w:val="21"/>
                <w:lang w:val="zh-CN"/>
              </w:rPr>
            </w:pPr>
            <w:r>
              <w:rPr>
                <w:rFonts w:hint="default" w:ascii="Times New Roman" w:hAnsi="Times New Roman" w:eastAsia="宋体" w:cs="Times New Roman"/>
                <w:color w:val="auto"/>
                <w:szCs w:val="21"/>
                <w:lang w:val="en-US" w:eastAsia="zh-CN"/>
              </w:rPr>
              <w:t>营运期</w:t>
            </w:r>
            <w:r>
              <w:rPr>
                <w:color w:val="auto"/>
                <w:szCs w:val="21"/>
                <w:lang w:val="zh-CN"/>
              </w:rPr>
              <w:t>大气污染物执行《大气污染物综合排放标准》（GB16297-1996）表2</w:t>
            </w:r>
            <w:r>
              <w:rPr>
                <w:rFonts w:hint="eastAsia"/>
                <w:color w:val="auto"/>
                <w:szCs w:val="21"/>
              </w:rPr>
              <w:t>无组织排放</w:t>
            </w:r>
            <w:r>
              <w:rPr>
                <w:color w:val="auto"/>
                <w:szCs w:val="21"/>
                <w:lang w:val="zh-CN"/>
              </w:rPr>
              <w:t>标准</w:t>
            </w:r>
            <w:r>
              <w:rPr>
                <w:rFonts w:hint="eastAsia"/>
                <w:color w:val="auto"/>
                <w:szCs w:val="21"/>
                <w:lang w:val="zh-CN"/>
              </w:rPr>
              <w:t>，</w:t>
            </w:r>
            <w:r>
              <w:rPr>
                <w:rFonts w:hint="eastAsia"/>
                <w:color w:val="auto"/>
                <w:szCs w:val="21"/>
                <w:lang w:val="en-US" w:eastAsia="zh-CN"/>
              </w:rPr>
              <w:t>周界外非甲烷总烃无组织浓度最高点限值4.0mg/m</w:t>
            </w:r>
            <w:r>
              <w:rPr>
                <w:rFonts w:hint="eastAsia"/>
                <w:color w:val="auto"/>
                <w:szCs w:val="21"/>
                <w:vertAlign w:val="superscript"/>
                <w:lang w:val="en-US" w:eastAsia="zh-CN"/>
              </w:rPr>
              <w:t>3</w:t>
            </w:r>
            <w:r>
              <w:rPr>
                <w:rFonts w:hint="eastAsia"/>
                <w:color w:val="auto"/>
                <w:szCs w:val="21"/>
                <w:lang w:val="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31" w:rightChars="-15"/>
              <w:jc w:val="both"/>
              <w:textAlignment w:val="auto"/>
              <w:rPr>
                <w:rFonts w:eastAsia="黑体"/>
                <w:color w:val="auto"/>
                <w:kern w:val="0"/>
                <w:sz w:val="22"/>
                <w:szCs w:val="22"/>
              </w:rPr>
            </w:pPr>
            <w:r>
              <w:rPr>
                <w:rFonts w:eastAsia="黑体"/>
                <w:color w:val="auto"/>
                <w:kern w:val="0"/>
                <w:sz w:val="22"/>
                <w:szCs w:val="22"/>
              </w:rPr>
              <w:t>2、废水</w:t>
            </w:r>
          </w:p>
          <w:p>
            <w:pPr>
              <w:keepNext w:val="0"/>
              <w:keepLines w:val="0"/>
              <w:pageBreakBefore w:val="0"/>
              <w:widowControl w:val="0"/>
              <w:kinsoku/>
              <w:wordWrap/>
              <w:overflowPunct/>
              <w:topLinePunct w:val="0"/>
              <w:bidi w:val="0"/>
              <w:adjustRightInd w:val="0"/>
              <w:snapToGrid w:val="0"/>
              <w:spacing w:line="400" w:lineRule="exact"/>
              <w:ind w:left="-53" w:leftChars="-25" w:right="-53" w:rightChars="-25" w:firstLine="420" w:firstLineChars="200"/>
              <w:jc w:val="both"/>
              <w:textAlignment w:val="auto"/>
              <w:rPr>
                <w:color w:val="auto"/>
                <w:szCs w:val="21"/>
              </w:rPr>
            </w:pPr>
            <w:r>
              <w:rPr>
                <w:rFonts w:hint="eastAsia"/>
                <w:color w:val="auto"/>
                <w:szCs w:val="21"/>
              </w:rPr>
              <w:t>项目</w:t>
            </w:r>
            <w:r>
              <w:rPr>
                <w:rFonts w:hint="eastAsia"/>
                <w:color w:val="auto"/>
                <w:szCs w:val="21"/>
                <w:lang w:val="en-US" w:eastAsia="zh-CN"/>
              </w:rPr>
              <w:t>无</w:t>
            </w:r>
            <w:r>
              <w:rPr>
                <w:rFonts w:hint="eastAsia"/>
                <w:color w:val="auto"/>
                <w:szCs w:val="21"/>
              </w:rPr>
              <w:t>生产废水产生</w:t>
            </w:r>
            <w:r>
              <w:rPr>
                <w:color w:val="auto"/>
                <w:szCs w:val="21"/>
              </w:rPr>
              <w:t>；生活污水依托已有设施收集</w:t>
            </w:r>
            <w:r>
              <w:rPr>
                <w:rFonts w:hint="eastAsia"/>
                <w:color w:val="auto"/>
                <w:szCs w:val="21"/>
              </w:rPr>
              <w:t>后，</w:t>
            </w:r>
            <w:r>
              <w:rPr>
                <w:rFonts w:hint="eastAsia"/>
                <w:color w:val="auto"/>
                <w:szCs w:val="21"/>
                <w:lang w:val="en-US" w:eastAsia="zh-CN"/>
              </w:rPr>
              <w:t>排入园区污水管网，最终由园区污水处理厂处理后达标排放</w:t>
            </w:r>
            <w:r>
              <w:rPr>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31" w:rightChars="-15"/>
              <w:jc w:val="both"/>
              <w:textAlignment w:val="auto"/>
              <w:rPr>
                <w:rFonts w:eastAsia="黑体"/>
                <w:color w:val="auto"/>
                <w:kern w:val="0"/>
                <w:sz w:val="22"/>
                <w:szCs w:val="22"/>
              </w:rPr>
            </w:pPr>
            <w:r>
              <w:rPr>
                <w:rFonts w:eastAsia="黑体"/>
                <w:color w:val="auto"/>
                <w:kern w:val="0"/>
                <w:sz w:val="22"/>
                <w:szCs w:val="22"/>
              </w:rPr>
              <w:t>3、固体废物</w:t>
            </w:r>
          </w:p>
          <w:p>
            <w:pPr>
              <w:keepNext w:val="0"/>
              <w:keepLines w:val="0"/>
              <w:pageBreakBefore w:val="0"/>
              <w:widowControl w:val="0"/>
              <w:kinsoku/>
              <w:wordWrap/>
              <w:overflowPunct/>
              <w:topLinePunct w:val="0"/>
              <w:bidi w:val="0"/>
              <w:adjustRightInd w:val="0"/>
              <w:snapToGrid w:val="0"/>
              <w:spacing w:line="400" w:lineRule="exact"/>
              <w:ind w:left="-53" w:leftChars="-25" w:right="-53" w:rightChars="-25" w:firstLine="420" w:firstLineChars="200"/>
              <w:jc w:val="both"/>
              <w:textAlignment w:val="auto"/>
              <w:rPr>
                <w:color w:val="auto"/>
                <w:szCs w:val="21"/>
              </w:rPr>
            </w:pPr>
            <w:r>
              <w:rPr>
                <w:rFonts w:hint="eastAsia"/>
                <w:color w:val="auto"/>
                <w:szCs w:val="21"/>
              </w:rPr>
              <w:t>一般</w:t>
            </w:r>
            <w:r>
              <w:rPr>
                <w:color w:val="auto"/>
                <w:szCs w:val="21"/>
              </w:rPr>
              <w:t>固废执行《一般工业企业固体废物贮存、处置场污染控制标准》（GB18599-2020）的要求；危险废物执行《危险废物贮存污染控制标准》（GB18597-2001）及2013年修改单的要求。</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31" w:rightChars="-15"/>
              <w:jc w:val="both"/>
              <w:textAlignment w:val="auto"/>
              <w:rPr>
                <w:rFonts w:eastAsia="黑体"/>
                <w:color w:val="auto"/>
                <w:kern w:val="0"/>
                <w:sz w:val="22"/>
                <w:szCs w:val="22"/>
              </w:rPr>
            </w:pPr>
            <w:r>
              <w:rPr>
                <w:rFonts w:eastAsia="黑体"/>
                <w:color w:val="auto"/>
                <w:kern w:val="0"/>
                <w:sz w:val="22"/>
                <w:szCs w:val="22"/>
              </w:rPr>
              <w:t>4、噪声</w:t>
            </w:r>
          </w:p>
          <w:p>
            <w:pPr>
              <w:keepNext w:val="0"/>
              <w:keepLines w:val="0"/>
              <w:pageBreakBefore w:val="0"/>
              <w:widowControl w:val="0"/>
              <w:kinsoku/>
              <w:wordWrap/>
              <w:overflowPunct/>
              <w:topLinePunct w:val="0"/>
              <w:bidi w:val="0"/>
              <w:snapToGrid w:val="0"/>
              <w:spacing w:line="400" w:lineRule="exact"/>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施工期执行《建筑施工场界环境噪声排放标准》(GBl2523－2011)标准；</w:t>
            </w:r>
          </w:p>
          <w:p>
            <w:pPr>
              <w:keepNext w:val="0"/>
              <w:keepLines w:val="0"/>
              <w:pageBreakBefore w:val="0"/>
              <w:widowControl w:val="0"/>
              <w:kinsoku/>
              <w:wordWrap/>
              <w:overflowPunct/>
              <w:topLinePunct w:val="0"/>
              <w:bidi w:val="0"/>
              <w:snapToGrid w:val="0"/>
              <w:spacing w:line="40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昼间≤70dB(A)       夜间≤55dB(A)</w:t>
            </w:r>
          </w:p>
          <w:p>
            <w:pPr>
              <w:keepNext w:val="0"/>
              <w:keepLines w:val="0"/>
              <w:pageBreakBefore w:val="0"/>
              <w:widowControl w:val="0"/>
              <w:numPr>
                <w:ilvl w:val="0"/>
                <w:numId w:val="0"/>
              </w:numPr>
              <w:kinsoku/>
              <w:wordWrap/>
              <w:overflowPunct/>
              <w:topLinePunct w:val="0"/>
              <w:bidi w:val="0"/>
              <w:snapToGrid w:val="0"/>
              <w:spacing w:line="400" w:lineRule="exact"/>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营运期执行《工业企业厂界环境噪声排放标准》(GB12348－2008)中</w:t>
            </w:r>
            <w:r>
              <w:rPr>
                <w:rFonts w:hint="eastAsia" w:cs="Times New Roman"/>
                <w:color w:val="280EEE"/>
                <w:szCs w:val="21"/>
                <w:lang w:val="en-US" w:eastAsia="zh-CN"/>
              </w:rPr>
              <w:t>3</w:t>
            </w:r>
            <w:r>
              <w:rPr>
                <w:rFonts w:hint="default" w:ascii="Times New Roman" w:hAnsi="Times New Roman" w:cs="Times New Roman"/>
                <w:color w:val="280EEE"/>
                <w:szCs w:val="21"/>
              </w:rPr>
              <w:t>类</w:t>
            </w:r>
            <w:r>
              <w:rPr>
                <w:rFonts w:hint="default" w:ascii="Times New Roman" w:hAnsi="Times New Roman" w:cs="Times New Roman"/>
                <w:color w:val="auto"/>
                <w:szCs w:val="21"/>
              </w:rPr>
              <w:t>区标准。</w:t>
            </w:r>
          </w:p>
          <w:p>
            <w:pPr>
              <w:keepNext w:val="0"/>
              <w:keepLines w:val="0"/>
              <w:pageBreakBefore w:val="0"/>
              <w:widowControl w:val="0"/>
              <w:kinsoku/>
              <w:wordWrap/>
              <w:overflowPunct/>
              <w:topLinePunct w:val="0"/>
              <w:bidi w:val="0"/>
              <w:snapToGrid w:val="0"/>
              <w:spacing w:line="40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昼间≤</w:t>
            </w:r>
            <w:r>
              <w:rPr>
                <w:rFonts w:hint="default" w:ascii="Times New Roman" w:hAnsi="Times New Roman" w:cs="Times New Roman"/>
                <w:color w:val="auto"/>
                <w:szCs w:val="21"/>
                <w:lang w:val="en-US" w:eastAsia="zh-CN"/>
              </w:rPr>
              <w:t>6</w:t>
            </w:r>
            <w:r>
              <w:rPr>
                <w:rFonts w:hint="eastAsia" w:cs="Times New Roman"/>
                <w:color w:val="auto"/>
                <w:szCs w:val="21"/>
                <w:lang w:val="en-US" w:eastAsia="zh-CN"/>
              </w:rPr>
              <w:t>5</w:t>
            </w:r>
            <w:r>
              <w:rPr>
                <w:rFonts w:hint="default" w:ascii="Times New Roman" w:hAnsi="Times New Roman" w:cs="Times New Roman"/>
                <w:color w:val="auto"/>
                <w:szCs w:val="21"/>
              </w:rPr>
              <w:t>dB(A)       夜间≤5</w:t>
            </w:r>
            <w:r>
              <w:rPr>
                <w:rFonts w:hint="eastAsia" w:cs="Times New Roman"/>
                <w:color w:val="auto"/>
                <w:szCs w:val="21"/>
                <w:lang w:val="en-US" w:eastAsia="zh-CN"/>
              </w:rPr>
              <w:t>5</w:t>
            </w:r>
            <w:r>
              <w:rPr>
                <w:rFonts w:hint="default" w:ascii="Times New Roman" w:hAnsi="Times New Roman" w:cs="Times New Roman"/>
                <w:color w:val="auto"/>
                <w:szCs w:val="21"/>
              </w:rPr>
              <w:t>dB(A)</w:t>
            </w:r>
          </w:p>
          <w:p>
            <w:pPr>
              <w:adjustRightInd w:val="0"/>
              <w:snapToGrid w:val="0"/>
              <w:spacing w:line="400" w:lineRule="exact"/>
              <w:ind w:right="-53" w:rightChars="-25"/>
              <w:jc w:val="both"/>
              <w:rPr>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5" w:hRule="atLeast"/>
          <w:jc w:val="center"/>
        </w:trPr>
        <w:tc>
          <w:tcPr>
            <w:tcW w:w="682" w:type="dxa"/>
            <w:noWrap w:val="0"/>
            <w:vAlign w:val="center"/>
          </w:tcPr>
          <w:p>
            <w:pPr>
              <w:adjustRightInd w:val="0"/>
              <w:snapToGrid w:val="0"/>
              <w:jc w:val="center"/>
              <w:rPr>
                <w:b/>
                <w:bCs/>
                <w:color w:val="auto"/>
                <w:kern w:val="0"/>
                <w:szCs w:val="21"/>
              </w:rPr>
            </w:pPr>
            <w:r>
              <w:rPr>
                <w:b/>
                <w:bCs/>
                <w:color w:val="auto"/>
                <w:kern w:val="0"/>
                <w:szCs w:val="21"/>
              </w:rPr>
              <w:t>总量</w:t>
            </w:r>
          </w:p>
          <w:p>
            <w:pPr>
              <w:adjustRightInd w:val="0"/>
              <w:snapToGrid w:val="0"/>
              <w:jc w:val="center"/>
              <w:rPr>
                <w:b/>
                <w:bCs/>
                <w:color w:val="auto"/>
                <w:kern w:val="0"/>
                <w:szCs w:val="21"/>
              </w:rPr>
            </w:pPr>
            <w:r>
              <w:rPr>
                <w:b/>
                <w:bCs/>
                <w:color w:val="auto"/>
                <w:kern w:val="0"/>
                <w:szCs w:val="21"/>
              </w:rPr>
              <w:t>控制</w:t>
            </w:r>
          </w:p>
          <w:p>
            <w:pPr>
              <w:adjustRightInd w:val="0"/>
              <w:snapToGrid w:val="0"/>
              <w:jc w:val="center"/>
              <w:rPr>
                <w:b/>
                <w:bCs/>
                <w:color w:val="auto"/>
                <w:kern w:val="0"/>
                <w:szCs w:val="21"/>
              </w:rPr>
            </w:pPr>
            <w:r>
              <w:rPr>
                <w:b/>
                <w:bCs/>
                <w:color w:val="auto"/>
                <w:kern w:val="0"/>
                <w:szCs w:val="21"/>
              </w:rPr>
              <w:t>指标</w:t>
            </w:r>
          </w:p>
        </w:tc>
        <w:tc>
          <w:tcPr>
            <w:tcW w:w="8308" w:type="dxa"/>
            <w:noWrap w:val="0"/>
            <w:vAlign w:val="center"/>
          </w:tcPr>
          <w:p>
            <w:pPr>
              <w:adjustRightInd w:val="0"/>
              <w:snapToGrid w:val="0"/>
              <w:spacing w:line="400" w:lineRule="exact"/>
              <w:ind w:left="-53" w:leftChars="-25" w:right="-53" w:rightChars="-25" w:firstLine="420" w:firstLineChars="200"/>
              <w:jc w:val="both"/>
              <w:rPr>
                <w:color w:val="FF0000"/>
                <w:szCs w:val="21"/>
              </w:rPr>
            </w:pPr>
            <w:r>
              <w:rPr>
                <w:color w:val="auto"/>
                <w:szCs w:val="21"/>
                <w:lang w:val="zh-CN"/>
              </w:rPr>
              <w:t>国家目前的总量控制指标为二氧化硫</w:t>
            </w:r>
            <w:r>
              <w:rPr>
                <w:color w:val="auto"/>
                <w:szCs w:val="21"/>
              </w:rPr>
              <w:t>(SO</w:t>
            </w:r>
            <w:r>
              <w:rPr>
                <w:color w:val="auto"/>
                <w:szCs w:val="21"/>
                <w:vertAlign w:val="subscript"/>
              </w:rPr>
              <w:t>2</w:t>
            </w:r>
            <w:r>
              <w:rPr>
                <w:color w:val="auto"/>
                <w:szCs w:val="21"/>
              </w:rPr>
              <w:t>)</w:t>
            </w:r>
            <w:r>
              <w:rPr>
                <w:color w:val="auto"/>
                <w:szCs w:val="21"/>
                <w:lang w:val="zh-CN"/>
              </w:rPr>
              <w:t>、化学需氧量</w:t>
            </w:r>
            <w:r>
              <w:rPr>
                <w:color w:val="auto"/>
                <w:szCs w:val="21"/>
              </w:rPr>
              <w:t>(COD)</w:t>
            </w:r>
            <w:r>
              <w:rPr>
                <w:color w:val="auto"/>
                <w:szCs w:val="21"/>
                <w:lang w:val="zh-CN"/>
              </w:rPr>
              <w:t>、氨氮</w:t>
            </w:r>
            <w:r>
              <w:rPr>
                <w:color w:val="auto"/>
                <w:szCs w:val="21"/>
              </w:rPr>
              <w:t>(NH</w:t>
            </w:r>
            <w:r>
              <w:rPr>
                <w:color w:val="auto"/>
                <w:szCs w:val="21"/>
                <w:vertAlign w:val="subscript"/>
              </w:rPr>
              <w:t>3</w:t>
            </w:r>
            <w:r>
              <w:rPr>
                <w:color w:val="auto"/>
                <w:szCs w:val="21"/>
              </w:rPr>
              <w:t>-N)</w:t>
            </w:r>
            <w:r>
              <w:rPr>
                <w:color w:val="auto"/>
                <w:szCs w:val="21"/>
                <w:lang w:val="zh-CN"/>
              </w:rPr>
              <w:t>和氮氧化物</w:t>
            </w:r>
            <w:r>
              <w:rPr>
                <w:color w:val="auto"/>
                <w:szCs w:val="21"/>
              </w:rPr>
              <w:t>(NO</w:t>
            </w:r>
            <w:r>
              <w:rPr>
                <w:color w:val="auto"/>
                <w:szCs w:val="21"/>
                <w:vertAlign w:val="subscript"/>
              </w:rPr>
              <w:t>X</w:t>
            </w:r>
            <w:r>
              <w:rPr>
                <w:color w:val="auto"/>
                <w:szCs w:val="21"/>
              </w:rPr>
              <w:t>)</w:t>
            </w:r>
            <w:r>
              <w:rPr>
                <w:color w:val="auto"/>
                <w:szCs w:val="21"/>
                <w:lang w:val="zh-CN"/>
              </w:rPr>
              <w:t>。本项目不产生生产废水；生活污水依托已有设施收集</w:t>
            </w:r>
            <w:r>
              <w:rPr>
                <w:rFonts w:hint="eastAsia"/>
                <w:color w:val="auto"/>
                <w:szCs w:val="21"/>
                <w:lang w:val="zh-CN"/>
              </w:rPr>
              <w:t>后，</w:t>
            </w:r>
            <w:r>
              <w:rPr>
                <w:rFonts w:hint="eastAsia"/>
                <w:color w:val="auto"/>
                <w:szCs w:val="21"/>
                <w:lang w:val="zh-CN" w:eastAsia="zh-CN"/>
              </w:rPr>
              <w:t>排入园区污水管网，最终由园区污水处理厂处理后达标排放</w:t>
            </w:r>
            <w:r>
              <w:rPr>
                <w:color w:val="auto"/>
                <w:szCs w:val="21"/>
                <w:lang w:val="zh-CN"/>
              </w:rPr>
              <w:t>。</w:t>
            </w:r>
            <w:r>
              <w:rPr>
                <w:rFonts w:hint="eastAsia"/>
                <w:color w:val="auto"/>
                <w:szCs w:val="21"/>
                <w:lang w:eastAsia="zh-CN"/>
              </w:rPr>
              <w:t>废矿物油</w:t>
            </w:r>
            <w:r>
              <w:rPr>
                <w:color w:val="auto"/>
                <w:szCs w:val="21"/>
              </w:rPr>
              <w:t>储存、转移过程产生的</w:t>
            </w:r>
            <w:r>
              <w:rPr>
                <w:color w:val="auto"/>
                <w:sz w:val="18"/>
                <w:szCs w:val="18"/>
              </w:rPr>
              <w:t>VOCs（非甲烷总烃）</w:t>
            </w:r>
            <w:r>
              <w:rPr>
                <w:color w:val="auto"/>
                <w:szCs w:val="21"/>
              </w:rPr>
              <w:t>排放量为</w:t>
            </w:r>
            <w:r>
              <w:rPr>
                <w:color w:val="auto"/>
                <w:szCs w:val="21"/>
                <w:highlight w:val="none"/>
              </w:rPr>
              <w:t>0.2t/a</w:t>
            </w:r>
            <w:r>
              <w:rPr>
                <w:color w:val="auto"/>
                <w:szCs w:val="21"/>
              </w:rPr>
              <w:t>，</w:t>
            </w:r>
            <w:r>
              <w:rPr>
                <w:rFonts w:hint="eastAsia"/>
                <w:color w:val="auto"/>
                <w:szCs w:val="21"/>
              </w:rPr>
              <w:t>由于排放量小且呈</w:t>
            </w:r>
            <w:r>
              <w:rPr>
                <w:color w:val="auto"/>
                <w:szCs w:val="21"/>
              </w:rPr>
              <w:t>无组织排放</w:t>
            </w:r>
            <w:r>
              <w:rPr>
                <w:rFonts w:hint="eastAsia"/>
                <w:color w:val="auto"/>
                <w:szCs w:val="21"/>
              </w:rPr>
              <w:t>，不纳入总量控制要求</w:t>
            </w:r>
            <w:r>
              <w:rPr>
                <w:color w:val="auto"/>
                <w:szCs w:val="21"/>
                <w:lang w:val="zh-CN"/>
              </w:rPr>
              <w:t>。</w:t>
            </w:r>
          </w:p>
        </w:tc>
      </w:tr>
    </w:tbl>
    <w:p>
      <w:pPr>
        <w:widowControl/>
        <w:spacing w:before="100" w:beforeAutospacing="1" w:after="100" w:afterAutospacing="1"/>
        <w:jc w:val="center"/>
        <w:outlineLvl w:val="0"/>
        <w:rPr>
          <w:rFonts w:eastAsia="黑体"/>
          <w:snapToGrid w:val="0"/>
          <w:color w:val="auto"/>
          <w:kern w:val="0"/>
          <w:sz w:val="30"/>
          <w:szCs w:val="30"/>
        </w:rPr>
      </w:pPr>
      <w:r>
        <w:rPr>
          <w:rFonts w:eastAsia="黑体"/>
          <w:snapToGrid w:val="0"/>
          <w:color w:val="FF0000"/>
          <w:kern w:val="0"/>
          <w:sz w:val="36"/>
          <w:szCs w:val="36"/>
        </w:rPr>
        <w:br w:type="page"/>
      </w:r>
      <w:r>
        <w:rPr>
          <w:rFonts w:eastAsia="黑体"/>
          <w:snapToGrid w:val="0"/>
          <w:color w:val="auto"/>
          <w:kern w:val="0"/>
          <w:sz w:val="30"/>
          <w:szCs w:val="30"/>
        </w:rPr>
        <w:t>四、主要环境影响和保护措施</w:t>
      </w:r>
    </w:p>
    <w:tbl>
      <w:tblPr>
        <w:tblStyle w:val="1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623" w:type="dxa"/>
            <w:noWrap w:val="0"/>
            <w:tcMar>
              <w:left w:w="28" w:type="dxa"/>
              <w:right w:w="28" w:type="dxa"/>
            </w:tcMar>
            <w:vAlign w:val="center"/>
          </w:tcPr>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r>
              <w:rPr>
                <w:b/>
                <w:bCs/>
                <w:color w:val="auto"/>
                <w:szCs w:val="21"/>
              </w:rPr>
              <w:t>施工</w:t>
            </w:r>
          </w:p>
          <w:p>
            <w:pPr>
              <w:widowControl/>
              <w:adjustRightInd w:val="0"/>
              <w:snapToGrid w:val="0"/>
              <w:jc w:val="center"/>
              <w:rPr>
                <w:b/>
                <w:bCs/>
                <w:color w:val="auto"/>
                <w:szCs w:val="21"/>
              </w:rPr>
            </w:pPr>
            <w:r>
              <w:rPr>
                <w:b/>
                <w:bCs/>
                <w:color w:val="auto"/>
                <w:szCs w:val="21"/>
              </w:rPr>
              <w:t>期环</w:t>
            </w:r>
          </w:p>
          <w:p>
            <w:pPr>
              <w:widowControl/>
              <w:adjustRightInd w:val="0"/>
              <w:snapToGrid w:val="0"/>
              <w:jc w:val="center"/>
              <w:rPr>
                <w:b/>
                <w:bCs/>
                <w:color w:val="auto"/>
                <w:szCs w:val="21"/>
              </w:rPr>
            </w:pPr>
            <w:r>
              <w:rPr>
                <w:b/>
                <w:bCs/>
                <w:color w:val="auto"/>
                <w:szCs w:val="21"/>
              </w:rPr>
              <w:t>境保</w:t>
            </w:r>
          </w:p>
          <w:p>
            <w:pPr>
              <w:widowControl/>
              <w:adjustRightInd w:val="0"/>
              <w:snapToGrid w:val="0"/>
              <w:jc w:val="center"/>
              <w:rPr>
                <w:b/>
                <w:bCs/>
                <w:color w:val="auto"/>
                <w:szCs w:val="21"/>
              </w:rPr>
            </w:pPr>
            <w:r>
              <w:rPr>
                <w:b/>
                <w:bCs/>
                <w:color w:val="auto"/>
                <w:szCs w:val="21"/>
              </w:rPr>
              <w:t>护措</w:t>
            </w:r>
          </w:p>
          <w:p>
            <w:pPr>
              <w:widowControl/>
              <w:adjustRightInd w:val="0"/>
              <w:snapToGrid w:val="0"/>
              <w:jc w:val="center"/>
              <w:rPr>
                <w:b/>
                <w:bCs/>
                <w:color w:val="auto"/>
                <w:szCs w:val="21"/>
              </w:rPr>
            </w:pPr>
            <w:r>
              <w:rPr>
                <w:b/>
                <w:bCs/>
                <w:color w:val="auto"/>
                <w:szCs w:val="21"/>
              </w:rPr>
              <w:t>施</w:t>
            </w: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r>
              <w:rPr>
                <w:b/>
                <w:bCs/>
                <w:color w:val="auto"/>
                <w:szCs w:val="21"/>
              </w:rPr>
              <w:t>施工</w:t>
            </w:r>
          </w:p>
          <w:p>
            <w:pPr>
              <w:widowControl/>
              <w:adjustRightInd w:val="0"/>
              <w:snapToGrid w:val="0"/>
              <w:jc w:val="center"/>
              <w:rPr>
                <w:b/>
                <w:bCs/>
                <w:color w:val="auto"/>
                <w:szCs w:val="21"/>
              </w:rPr>
            </w:pPr>
            <w:r>
              <w:rPr>
                <w:b/>
                <w:bCs/>
                <w:color w:val="auto"/>
                <w:szCs w:val="21"/>
              </w:rPr>
              <w:t>期环</w:t>
            </w:r>
          </w:p>
          <w:p>
            <w:pPr>
              <w:widowControl/>
              <w:adjustRightInd w:val="0"/>
              <w:snapToGrid w:val="0"/>
              <w:jc w:val="center"/>
              <w:rPr>
                <w:b/>
                <w:bCs/>
                <w:color w:val="auto"/>
                <w:szCs w:val="21"/>
              </w:rPr>
            </w:pPr>
            <w:r>
              <w:rPr>
                <w:b/>
                <w:bCs/>
                <w:color w:val="auto"/>
                <w:szCs w:val="21"/>
              </w:rPr>
              <w:t>境保</w:t>
            </w:r>
          </w:p>
          <w:p>
            <w:pPr>
              <w:widowControl/>
              <w:adjustRightInd w:val="0"/>
              <w:snapToGrid w:val="0"/>
              <w:jc w:val="center"/>
              <w:rPr>
                <w:b/>
                <w:bCs/>
                <w:color w:val="auto"/>
                <w:szCs w:val="21"/>
              </w:rPr>
            </w:pPr>
            <w:r>
              <w:rPr>
                <w:b/>
                <w:bCs/>
                <w:color w:val="auto"/>
                <w:szCs w:val="21"/>
              </w:rPr>
              <w:t>护措</w:t>
            </w:r>
          </w:p>
          <w:p>
            <w:pPr>
              <w:widowControl/>
              <w:adjustRightInd w:val="0"/>
              <w:snapToGrid w:val="0"/>
              <w:jc w:val="center"/>
              <w:rPr>
                <w:b/>
                <w:bCs/>
                <w:color w:val="auto"/>
                <w:szCs w:val="21"/>
              </w:rPr>
            </w:pPr>
            <w:r>
              <w:rPr>
                <w:b/>
                <w:bCs/>
                <w:color w:val="auto"/>
                <w:szCs w:val="21"/>
              </w:rPr>
              <w:t>施</w:t>
            </w:r>
          </w:p>
        </w:tc>
        <w:tc>
          <w:tcPr>
            <w:tcW w:w="8285" w:type="dxa"/>
            <w:noWrap w:val="0"/>
            <w:vAlign w:val="center"/>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w:t>
            </w:r>
            <w:r>
              <w:rPr>
                <w:rFonts w:hint="default" w:eastAsia="黑体"/>
                <w:color w:val="auto"/>
                <w:kern w:val="0"/>
                <w:sz w:val="22"/>
                <w:szCs w:val="22"/>
              </w:rPr>
              <w:t>大气环境</w:t>
            </w:r>
            <w:r>
              <w:rPr>
                <w:rFonts w:hint="default" w:eastAsia="黑体"/>
                <w:color w:val="auto"/>
                <w:kern w:val="0"/>
                <w:sz w:val="22"/>
                <w:szCs w:val="22"/>
                <w:lang w:val="en-US" w:eastAsia="zh-CN"/>
              </w:rPr>
              <w:t>保护措施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施工期废气主要为扬尘和</w:t>
            </w:r>
            <w:r>
              <w:rPr>
                <w:rFonts w:hint="eastAsia" w:ascii="Times New Roman" w:hAnsi="Times New Roman" w:cs="Times New Roman"/>
                <w:color w:val="auto"/>
                <w:kern w:val="0"/>
                <w:szCs w:val="21"/>
                <w:lang w:val="en-US" w:eastAsia="zh-CN"/>
              </w:rPr>
              <w:t>装修</w:t>
            </w:r>
            <w:r>
              <w:rPr>
                <w:rFonts w:hint="default" w:ascii="Times New Roman" w:hAnsi="Times New Roman" w:cs="Times New Roman"/>
                <w:color w:val="auto"/>
                <w:kern w:val="0"/>
                <w:szCs w:val="21"/>
              </w:rPr>
              <w:t>废气。建设单位应采取如下控制措施：</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①</w:t>
            </w:r>
            <w:r>
              <w:rPr>
                <w:color w:val="auto"/>
                <w:szCs w:val="21"/>
              </w:rPr>
              <w:t>原有建筑</w:t>
            </w:r>
            <w:r>
              <w:rPr>
                <w:rFonts w:hint="eastAsia"/>
                <w:color w:val="auto"/>
                <w:szCs w:val="21"/>
                <w:lang w:val="en-US" w:eastAsia="zh-CN"/>
              </w:rPr>
              <w:t>内设施</w:t>
            </w:r>
            <w:r>
              <w:rPr>
                <w:color w:val="auto"/>
                <w:szCs w:val="21"/>
              </w:rPr>
              <w:t>除时采用人工拆除，</w:t>
            </w:r>
            <w:r>
              <w:rPr>
                <w:rFonts w:hint="eastAsia"/>
                <w:color w:val="auto"/>
                <w:szCs w:val="21"/>
                <w:lang w:val="en-US" w:eastAsia="zh-CN"/>
              </w:rPr>
              <w:t>产生的废弃建渣及时外运，减少在场内堆放，确需堆放的，在堆放期间</w:t>
            </w:r>
            <w:r>
              <w:rPr>
                <w:color w:val="auto"/>
                <w:szCs w:val="21"/>
              </w:rPr>
              <w:t>采取</w:t>
            </w:r>
            <w:r>
              <w:rPr>
                <w:rFonts w:hint="eastAsia"/>
                <w:color w:val="auto"/>
                <w:szCs w:val="21"/>
                <w:lang w:val="en-US" w:eastAsia="zh-CN"/>
              </w:rPr>
              <w:t>覆盖、</w:t>
            </w:r>
            <w:r>
              <w:rPr>
                <w:color w:val="auto"/>
                <w:szCs w:val="21"/>
              </w:rPr>
              <w:t>洒水抑尘</w:t>
            </w:r>
            <w:r>
              <w:rPr>
                <w:rFonts w:hint="eastAsia"/>
                <w:color w:val="auto"/>
                <w:szCs w:val="21"/>
                <w:lang w:val="en-US" w:eastAsia="zh-CN"/>
              </w:rPr>
              <w:t>等措施</w:t>
            </w:r>
            <w:r>
              <w:rPr>
                <w:color w:val="auto"/>
                <w:szCs w:val="21"/>
              </w:rPr>
              <w:t>，产生的扬尘对环境影响很小。</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②</w:t>
            </w:r>
            <w:r>
              <w:rPr>
                <w:color w:val="auto"/>
                <w:szCs w:val="21"/>
              </w:rPr>
              <w:t>运输车辆通过采取密闭运输、对道路尘土及时清扫</w:t>
            </w:r>
            <w:r>
              <w:rPr>
                <w:rFonts w:hint="eastAsia"/>
                <w:color w:val="auto"/>
                <w:szCs w:val="21"/>
              </w:rPr>
              <w:t>，</w:t>
            </w:r>
            <w:r>
              <w:rPr>
                <w:color w:val="auto"/>
                <w:szCs w:val="21"/>
              </w:rPr>
              <w:t>保持道路清洁等措施，可有效减少运输扬尘产生。少量尾气将随大气扩散，基本上不会影响该区域大气环境质量。</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③</w:t>
            </w:r>
            <w:r>
              <w:rPr>
                <w:color w:val="auto"/>
                <w:szCs w:val="21"/>
              </w:rPr>
              <w:t>对</w:t>
            </w:r>
            <w:r>
              <w:rPr>
                <w:rFonts w:hint="eastAsia"/>
                <w:color w:val="auto"/>
                <w:szCs w:val="21"/>
                <w:lang w:val="en-US" w:eastAsia="zh-CN"/>
              </w:rPr>
              <w:t>储油罐区</w:t>
            </w:r>
            <w:r>
              <w:rPr>
                <w:color w:val="auto"/>
                <w:szCs w:val="21"/>
              </w:rPr>
              <w:t>、</w:t>
            </w:r>
            <w:r>
              <w:rPr>
                <w:rFonts w:hint="eastAsia"/>
                <w:color w:val="auto"/>
                <w:szCs w:val="21"/>
              </w:rPr>
              <w:t>装卸平台</w:t>
            </w:r>
            <w:r>
              <w:rPr>
                <w:rFonts w:hint="eastAsia"/>
                <w:color w:val="auto"/>
                <w:szCs w:val="21"/>
                <w:lang w:eastAsia="zh-CN"/>
              </w:rPr>
              <w:t>的</w:t>
            </w:r>
            <w:r>
              <w:rPr>
                <w:color w:val="auto"/>
                <w:szCs w:val="21"/>
              </w:rPr>
              <w:t>地面</w:t>
            </w:r>
            <w:r>
              <w:rPr>
                <w:rFonts w:hint="eastAsia"/>
                <w:color w:val="auto"/>
                <w:szCs w:val="21"/>
              </w:rPr>
              <w:t>防渗选用环保型材料，</w:t>
            </w:r>
            <w:r>
              <w:rPr>
                <w:rFonts w:hint="eastAsia"/>
                <w:color w:val="auto"/>
                <w:szCs w:val="21"/>
                <w:lang w:val="en-US" w:eastAsia="zh-CN"/>
              </w:rPr>
              <w:t>尽量选</w:t>
            </w:r>
            <w:r>
              <w:rPr>
                <w:color w:val="auto"/>
                <w:szCs w:val="21"/>
              </w:rPr>
              <w:t>用水性</w:t>
            </w:r>
            <w:r>
              <w:rPr>
                <w:rFonts w:hint="eastAsia"/>
                <w:color w:val="auto"/>
                <w:szCs w:val="21"/>
                <w:lang w:val="en-US" w:eastAsia="zh-CN"/>
              </w:rPr>
              <w:t>防渗材料</w:t>
            </w:r>
            <w:r>
              <w:rPr>
                <w:color w:val="auto"/>
                <w:szCs w:val="21"/>
              </w:rPr>
              <w:t>，</w:t>
            </w:r>
            <w:r>
              <w:rPr>
                <w:rFonts w:hint="eastAsia"/>
                <w:color w:val="auto"/>
                <w:szCs w:val="21"/>
                <w:lang w:val="en-US" w:eastAsia="zh-CN"/>
              </w:rPr>
              <w:t>减少装修</w:t>
            </w:r>
            <w:r>
              <w:rPr>
                <w:color w:val="auto"/>
                <w:szCs w:val="21"/>
              </w:rPr>
              <w:t>过程中挥发性有机气体</w:t>
            </w:r>
            <w:r>
              <w:rPr>
                <w:rFonts w:hint="eastAsia"/>
                <w:color w:val="auto"/>
                <w:szCs w:val="21"/>
                <w:lang w:eastAsia="zh-CN"/>
              </w:rPr>
              <w:t>的</w:t>
            </w:r>
            <w:r>
              <w:rPr>
                <w:color w:val="auto"/>
                <w:szCs w:val="21"/>
              </w:rPr>
              <w:t>产生量，对周边大气环境质量影响不大。项目施工场所通风条件较好，产生的少量异味气体对环境、工人影响很小。</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在施工期间采取</w:t>
            </w:r>
            <w:r>
              <w:rPr>
                <w:rFonts w:hint="eastAsia" w:cs="Times New Roman"/>
                <w:color w:val="auto"/>
                <w:kern w:val="0"/>
                <w:szCs w:val="21"/>
                <w:lang w:val="en-US" w:eastAsia="zh-CN"/>
              </w:rPr>
              <w:t>上述</w:t>
            </w:r>
            <w:r>
              <w:rPr>
                <w:rFonts w:hint="default" w:ascii="Times New Roman" w:hAnsi="Times New Roman" w:cs="Times New Roman"/>
                <w:color w:val="auto"/>
                <w:kern w:val="0"/>
                <w:szCs w:val="21"/>
              </w:rPr>
              <w:t>措施后，施工扬尘及施工机械废气等对区域环境空气质量不会产生明显的污染性影响。</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lang w:val="en-US" w:eastAsia="zh-CN"/>
              </w:rPr>
              <w:t>废水控制</w:t>
            </w:r>
            <w:r>
              <w:rPr>
                <w:rFonts w:hint="default" w:eastAsia="黑体"/>
                <w:color w:val="auto"/>
                <w:kern w:val="0"/>
                <w:sz w:val="22"/>
                <w:szCs w:val="22"/>
              </w:rPr>
              <w:t>措施</w:t>
            </w:r>
          </w:p>
          <w:p>
            <w:pPr>
              <w:adjustRightInd w:val="0"/>
              <w:snapToGrid w:val="0"/>
              <w:spacing w:line="400" w:lineRule="exact"/>
              <w:ind w:left="-53" w:leftChars="-25" w:right="-53" w:rightChars="-25" w:firstLine="420" w:firstLineChars="200"/>
              <w:jc w:val="left"/>
              <w:rPr>
                <w:color w:val="auto"/>
                <w:szCs w:val="21"/>
              </w:rPr>
            </w:pPr>
            <w:r>
              <w:rPr>
                <w:color w:val="auto"/>
                <w:szCs w:val="21"/>
              </w:rPr>
              <w:t>施工期废水为工人洗手废水和工具清洗废水，废水的主要污染物为SS，另有少量油污，基本没有有机污染物。这类废水</w:t>
            </w:r>
            <w:r>
              <w:rPr>
                <w:rFonts w:hint="eastAsia"/>
                <w:color w:val="auto"/>
                <w:szCs w:val="21"/>
                <w:lang w:val="en-US" w:eastAsia="zh-CN"/>
              </w:rPr>
              <w:t>可通过厂区内已有的沉淀池</w:t>
            </w:r>
            <w:r>
              <w:rPr>
                <w:color w:val="auto"/>
                <w:szCs w:val="21"/>
              </w:rPr>
              <w:t>收集</w:t>
            </w:r>
            <w:r>
              <w:rPr>
                <w:rFonts w:hint="eastAsia"/>
                <w:color w:val="auto"/>
                <w:szCs w:val="21"/>
                <w:lang w:eastAsia="zh-CN"/>
              </w:rPr>
              <w:t>，</w:t>
            </w:r>
            <w:r>
              <w:rPr>
                <w:rFonts w:hint="eastAsia"/>
                <w:color w:val="auto"/>
                <w:szCs w:val="21"/>
                <w:lang w:val="en-US" w:eastAsia="zh-CN"/>
              </w:rPr>
              <w:t>沉淀</w:t>
            </w:r>
            <w:r>
              <w:rPr>
                <w:color w:val="auto"/>
                <w:szCs w:val="21"/>
              </w:rPr>
              <w:t>后</w:t>
            </w:r>
            <w:r>
              <w:rPr>
                <w:rFonts w:hint="eastAsia"/>
                <w:color w:val="auto"/>
                <w:szCs w:val="21"/>
                <w:lang w:val="en-US" w:eastAsia="zh-CN"/>
              </w:rPr>
              <w:t>作为厂区内的防尘洒水</w:t>
            </w:r>
            <w:r>
              <w:rPr>
                <w:color w:val="auto"/>
                <w:szCs w:val="21"/>
              </w:rPr>
              <w:t>，不外排。</w:t>
            </w:r>
          </w:p>
          <w:p>
            <w:pPr>
              <w:adjustRightInd w:val="0"/>
              <w:snapToGrid w:val="0"/>
              <w:spacing w:line="400" w:lineRule="exact"/>
              <w:ind w:left="-53" w:leftChars="-25" w:right="-53" w:rightChars="-25" w:firstLine="420" w:firstLineChars="200"/>
              <w:jc w:val="left"/>
              <w:rPr>
                <w:rFonts w:hint="default"/>
                <w:color w:val="auto"/>
                <w:szCs w:val="21"/>
              </w:rPr>
            </w:pPr>
            <w:r>
              <w:rPr>
                <w:rFonts w:hint="default"/>
                <w:color w:val="auto"/>
                <w:szCs w:val="21"/>
              </w:rPr>
              <w:t>施工期</w:t>
            </w:r>
            <w:r>
              <w:rPr>
                <w:rFonts w:hint="eastAsia"/>
                <w:color w:val="auto"/>
                <w:szCs w:val="21"/>
                <w:lang w:val="en-US" w:eastAsia="zh-CN"/>
              </w:rPr>
              <w:t>工人的少量</w:t>
            </w:r>
            <w:r>
              <w:rPr>
                <w:rFonts w:hint="default"/>
                <w:color w:val="auto"/>
                <w:szCs w:val="21"/>
              </w:rPr>
              <w:t>生活污水</w:t>
            </w:r>
            <w:r>
              <w:rPr>
                <w:rFonts w:hint="eastAsia"/>
                <w:color w:val="auto"/>
                <w:szCs w:val="21"/>
                <w:lang w:val="en-US" w:eastAsia="zh-CN"/>
              </w:rPr>
              <w:t>依托厂区内已有</w:t>
            </w:r>
            <w:r>
              <w:rPr>
                <w:rFonts w:hint="default"/>
                <w:color w:val="auto"/>
                <w:szCs w:val="21"/>
              </w:rPr>
              <w:t>的</w:t>
            </w:r>
            <w:r>
              <w:rPr>
                <w:rFonts w:hint="eastAsia"/>
                <w:color w:val="auto"/>
                <w:szCs w:val="21"/>
                <w:lang w:val="en-US" w:eastAsia="zh-CN"/>
              </w:rPr>
              <w:t>化粪池</w:t>
            </w:r>
            <w:r>
              <w:rPr>
                <w:rFonts w:hint="default"/>
                <w:color w:val="auto"/>
                <w:szCs w:val="21"/>
              </w:rPr>
              <w:t>收集后，</w:t>
            </w:r>
            <w:r>
              <w:rPr>
                <w:rFonts w:hint="eastAsia"/>
                <w:color w:val="auto"/>
                <w:szCs w:val="21"/>
                <w:lang w:val="en-US" w:eastAsia="zh-CN"/>
              </w:rPr>
              <w:t>排至园区管网</w:t>
            </w:r>
            <w:r>
              <w:rPr>
                <w:rFonts w:hint="default"/>
                <w:color w:val="auto"/>
                <w:szCs w:val="21"/>
              </w:rPr>
              <w:t>。</w:t>
            </w:r>
          </w:p>
          <w:p>
            <w:pPr>
              <w:adjustRightInd w:val="0"/>
              <w:snapToGrid w:val="0"/>
              <w:spacing w:line="400" w:lineRule="exact"/>
              <w:ind w:left="-53" w:leftChars="-25" w:right="-53" w:rightChars="-25" w:firstLine="420" w:firstLineChars="200"/>
              <w:jc w:val="left"/>
              <w:rPr>
                <w:color w:val="auto"/>
                <w:szCs w:val="21"/>
              </w:rPr>
            </w:pPr>
            <w:r>
              <w:rPr>
                <w:rFonts w:hint="default" w:ascii="Times New Roman" w:hAnsi="Times New Roman" w:cs="Times New Roman"/>
                <w:color w:val="auto"/>
                <w:kern w:val="0"/>
                <w:szCs w:val="21"/>
              </w:rPr>
              <w:t>通过采取以上措施后，可避免施工废水对周围环境造成污染性影响。</w:t>
            </w:r>
            <w:r>
              <w:rPr>
                <w:color w:val="auto"/>
                <w:szCs w:val="21"/>
              </w:rPr>
              <w:t xml:space="preserve">   </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3、</w:t>
            </w:r>
            <w:r>
              <w:rPr>
                <w:rFonts w:hint="default" w:eastAsia="黑体"/>
                <w:color w:val="auto"/>
                <w:kern w:val="0"/>
                <w:sz w:val="22"/>
                <w:szCs w:val="22"/>
              </w:rPr>
              <w:t>噪声防治措施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施工期噪声主要来源于施工设备和运输车辆，主要的高噪声设备为装载机和运输车辆等，这些噪声源的强度在</w:t>
            </w:r>
            <w:r>
              <w:rPr>
                <w:rFonts w:hint="eastAsia" w:ascii="Times New Roman" w:hAnsi="Times New Roman" w:cs="Times New Roman"/>
                <w:color w:val="auto"/>
                <w:kern w:val="0"/>
                <w:szCs w:val="21"/>
                <w:lang w:val="en-US" w:eastAsia="zh-CN"/>
              </w:rPr>
              <w:t>7</w:t>
            </w:r>
            <w:r>
              <w:rPr>
                <w:rFonts w:hint="default" w:ascii="Times New Roman" w:hAnsi="Times New Roman" w:cs="Times New Roman"/>
                <w:color w:val="auto"/>
                <w:kern w:val="0"/>
                <w:szCs w:val="21"/>
              </w:rPr>
              <w:t>0～90dB(A）。施工噪声预测结果见下表。</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 xml:space="preserve">表4-1 </w:t>
            </w:r>
            <w:r>
              <w:rPr>
                <w:rFonts w:hint="eastAsia" w:ascii="Times New Roman" w:hAnsi="Times New Roman"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en-US" w:eastAsia="zh-CN"/>
              </w:rPr>
              <w:t xml:space="preserve"> 施工噪声预测结果表   单位：dB(A)</w:t>
            </w:r>
          </w:p>
          <w:tbl>
            <w:tblPr>
              <w:tblStyle w:val="14"/>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634"/>
              <w:gridCol w:w="642"/>
              <w:gridCol w:w="567"/>
              <w:gridCol w:w="567"/>
              <w:gridCol w:w="567"/>
              <w:gridCol w:w="567"/>
              <w:gridCol w:w="567"/>
              <w:gridCol w:w="476"/>
              <w:gridCol w:w="547"/>
              <w:gridCol w:w="574"/>
              <w:gridCol w:w="609"/>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噪声源强值</w:t>
                  </w:r>
                </w:p>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（距源强1m处）</w:t>
                  </w:r>
                </w:p>
              </w:tc>
              <w:tc>
                <w:tcPr>
                  <w:tcW w:w="6227" w:type="dxa"/>
                  <w:gridSpan w:val="11"/>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预测距离（m）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53" w:leftChars="-25" w:right="-53" w:rightChars="-25"/>
                    <w:jc w:val="center"/>
                    <w:rPr>
                      <w:rFonts w:hint="default" w:ascii="Times New Roman" w:hAnsi="Times New Roman" w:cs="Times New Roman"/>
                      <w:b/>
                      <w:bCs/>
                      <w:color w:val="auto"/>
                      <w:kern w:val="0"/>
                      <w:sz w:val="18"/>
                      <w:szCs w:val="18"/>
                    </w:rPr>
                  </w:pPr>
                </w:p>
              </w:tc>
              <w:tc>
                <w:tcPr>
                  <w:tcW w:w="64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18</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32</w:t>
                  </w:r>
                </w:p>
              </w:tc>
              <w:tc>
                <w:tcPr>
                  <w:tcW w:w="4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50</w:t>
                  </w:r>
                </w:p>
              </w:tc>
              <w:tc>
                <w:tcPr>
                  <w:tcW w:w="54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56</w:t>
                  </w:r>
                </w:p>
              </w:tc>
              <w:tc>
                <w:tcPr>
                  <w:tcW w:w="57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100</w:t>
                  </w:r>
                </w:p>
              </w:tc>
              <w:tc>
                <w:tcPr>
                  <w:tcW w:w="60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150</w:t>
                  </w:r>
                </w:p>
              </w:tc>
              <w:tc>
                <w:tcPr>
                  <w:tcW w:w="54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施工噪声</w:t>
                  </w:r>
                </w:p>
              </w:tc>
              <w:tc>
                <w:tcPr>
                  <w:tcW w:w="6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w:t>
                  </w:r>
                </w:p>
              </w:tc>
              <w:tc>
                <w:tcPr>
                  <w:tcW w:w="64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76.0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64.9</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64.0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60.5</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59.9</w:t>
                  </w:r>
                </w:p>
              </w:tc>
              <w:tc>
                <w:tcPr>
                  <w:tcW w:w="4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56.0</w:t>
                  </w:r>
                </w:p>
              </w:tc>
              <w:tc>
                <w:tcPr>
                  <w:tcW w:w="54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55.0</w:t>
                  </w:r>
                </w:p>
              </w:tc>
              <w:tc>
                <w:tcPr>
                  <w:tcW w:w="57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50.0</w:t>
                  </w:r>
                </w:p>
              </w:tc>
              <w:tc>
                <w:tcPr>
                  <w:tcW w:w="60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46.5</w:t>
                  </w:r>
                </w:p>
              </w:tc>
              <w:tc>
                <w:tcPr>
                  <w:tcW w:w="54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53" w:leftChars="-25" w:right="-53" w:rightChars="-2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45.1</w:t>
                  </w:r>
                </w:p>
              </w:tc>
            </w:tr>
          </w:tbl>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从上表可知，施工噪声影响范围较小（昼间影响范围内30m，夜间影响范围为100m）。建设单位在施工过程中</w:t>
            </w:r>
            <w:r>
              <w:rPr>
                <w:rFonts w:hint="eastAsia" w:cs="Times New Roman"/>
                <w:color w:val="auto"/>
                <w:kern w:val="0"/>
                <w:szCs w:val="21"/>
                <w:lang w:val="en-US" w:eastAsia="zh-CN"/>
              </w:rPr>
              <w:t>应</w:t>
            </w:r>
            <w:r>
              <w:rPr>
                <w:rFonts w:hint="default" w:ascii="Times New Roman" w:hAnsi="Times New Roman" w:cs="Times New Roman"/>
                <w:color w:val="auto"/>
                <w:kern w:val="0"/>
                <w:szCs w:val="21"/>
              </w:rPr>
              <w:t>采取以下控制措施：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①在满足工艺要求的前提下，首先选用先进的、噪声较低的环保型设备，严格按操作规程使用各类机械</w:t>
            </w:r>
            <w:r>
              <w:rPr>
                <w:color w:val="auto"/>
                <w:szCs w:val="21"/>
              </w:rPr>
              <w:t>，并及时维修保养</w:t>
            </w:r>
            <w:r>
              <w:rPr>
                <w:rFonts w:hint="default" w:ascii="Times New Roman" w:hAnsi="Times New Roman" w:cs="Times New Roman"/>
                <w:color w:val="auto"/>
                <w:kern w:val="0"/>
                <w:szCs w:val="21"/>
              </w:rPr>
              <w:t>，使机器设备处于良好的运行状态。</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②加强施工管理和施工组织，合理安排施工时间，尽量缩短施工期；尽可能避免大量高噪声设备同时施工。合理布局施工场地，噪声较大的设备尽量布置在地块中部，降低对周围环境的影响。</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③坚持文明施工，对施工器具应该轻拿轻放，严禁抛掷，降低人为噪声。</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④运输车辆进入施工现场应减速行驶、并禁止鸣笛。</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通过严格的施工管理和落实以上控制措施后，项目施工场界噪声能够满足《建筑施工场界环境噪声排放限值》（GB12523-2011）的相关要求。评价认为，项目施工活动不会对区域声环境质量造成污染性影响。</w:t>
            </w:r>
          </w:p>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rPr>
              <w:t>4</w:t>
            </w:r>
            <w:r>
              <w:rPr>
                <w:rFonts w:eastAsia="黑体"/>
                <w:color w:val="auto"/>
                <w:kern w:val="0"/>
                <w:sz w:val="22"/>
                <w:szCs w:val="22"/>
                <w:lang w:val="zh-CN"/>
              </w:rPr>
              <w:t>、固体废物</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施工期产生的固体废物主要有建筑垃圾和废弃包装材料。</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①</w:t>
            </w:r>
            <w:r>
              <w:rPr>
                <w:rFonts w:hint="default"/>
                <w:color w:val="auto"/>
                <w:szCs w:val="21"/>
                <w:lang w:val="zh-CN"/>
              </w:rPr>
              <w:t>建筑垃圾主要包括废木料、废金属、废钢筋等杂物，分别收集堆放于指定地点。</w:t>
            </w:r>
            <w:r>
              <w:rPr>
                <w:rFonts w:hint="default"/>
                <w:color w:val="auto"/>
                <w:szCs w:val="21"/>
                <w:lang w:val="zh-CN" w:eastAsia="zh-CN"/>
              </w:rPr>
              <w:t>对</w:t>
            </w:r>
            <w:r>
              <w:rPr>
                <w:rFonts w:hint="default"/>
                <w:color w:val="auto"/>
                <w:szCs w:val="21"/>
                <w:lang w:val="zh-CN"/>
              </w:rPr>
              <w:t>可以回收利用的（如废钢铁、包装材料等）部分建筑垃圾应尽量集中收集，送到废品回收站回收利用。</w:t>
            </w:r>
            <w:r>
              <w:rPr>
                <w:rFonts w:hint="eastAsia"/>
                <w:color w:val="auto"/>
                <w:szCs w:val="21"/>
                <w:lang w:val="zh-CN" w:eastAsia="zh-CN"/>
              </w:rPr>
              <w:t>厂房维护等</w:t>
            </w:r>
            <w:r>
              <w:rPr>
                <w:rFonts w:hint="default"/>
                <w:color w:val="auto"/>
                <w:szCs w:val="21"/>
                <w:lang w:val="zh-CN"/>
              </w:rPr>
              <w:t>产生的少量</w:t>
            </w:r>
            <w:r>
              <w:rPr>
                <w:rFonts w:hint="default"/>
                <w:color w:val="auto"/>
                <w:szCs w:val="21"/>
                <w:lang w:val="zh-CN" w:eastAsia="zh-CN"/>
              </w:rPr>
              <w:t>不能回收利用</w:t>
            </w:r>
            <w:r>
              <w:rPr>
                <w:rFonts w:hint="default"/>
                <w:color w:val="auto"/>
                <w:szCs w:val="21"/>
                <w:lang w:val="zh-CN"/>
              </w:rPr>
              <w:t>的建筑垃圾</w:t>
            </w:r>
            <w:r>
              <w:rPr>
                <w:color w:val="auto"/>
                <w:szCs w:val="21"/>
                <w:lang w:val="zh-CN"/>
              </w:rPr>
              <w:t>，</w:t>
            </w:r>
            <w:r>
              <w:rPr>
                <w:color w:val="auto"/>
                <w:szCs w:val="21"/>
              </w:rPr>
              <w:t>及时</w:t>
            </w:r>
            <w:r>
              <w:rPr>
                <w:color w:val="auto"/>
                <w:szCs w:val="21"/>
                <w:lang w:val="zh-CN"/>
              </w:rPr>
              <w:t>清运至当地建设管理部门指定的建筑垃圾堆埋场处理。</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②</w:t>
            </w:r>
            <w:r>
              <w:rPr>
                <w:rFonts w:hint="default"/>
                <w:color w:val="auto"/>
                <w:szCs w:val="21"/>
                <w:lang w:val="zh-CN"/>
              </w:rPr>
              <w:t>严禁将建筑垃圾随意丢弃至附近山林、荒坡，更不得混入生活垃圾</w:t>
            </w:r>
            <w:r>
              <w:rPr>
                <w:color w:val="auto"/>
                <w:szCs w:val="21"/>
                <w:lang w:val="zh-CN"/>
              </w:rPr>
              <w:t>。</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③</w:t>
            </w:r>
            <w:r>
              <w:rPr>
                <w:color w:val="auto"/>
                <w:szCs w:val="21"/>
                <w:lang w:val="zh-CN"/>
              </w:rPr>
              <w:t>生活垃圾</w:t>
            </w:r>
            <w:r>
              <w:rPr>
                <w:color w:val="auto"/>
                <w:szCs w:val="21"/>
              </w:rPr>
              <w:t>在办生活区设垃圾桶收集，定期清运至场镇垃圾收集点，由环卫部门</w:t>
            </w:r>
            <w:r>
              <w:rPr>
                <w:rFonts w:hint="eastAsia"/>
                <w:color w:val="auto"/>
                <w:szCs w:val="21"/>
              </w:rPr>
              <w:t>负责</w:t>
            </w:r>
            <w:r>
              <w:rPr>
                <w:color w:val="auto"/>
                <w:szCs w:val="21"/>
              </w:rPr>
              <w:t>收集处理，</w:t>
            </w:r>
            <w:r>
              <w:rPr>
                <w:color w:val="auto"/>
                <w:szCs w:val="21"/>
                <w:lang w:val="zh-CN"/>
              </w:rPr>
              <w:t>严禁乱堆乱扔。</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采取上述措施后，项目施工期的固体废物不会对环境产生不利影响</w:t>
            </w:r>
            <w:r>
              <w:rPr>
                <w:rFonts w:hint="default" w:ascii="Times New Roman" w:hAnsi="Times New Roman" w:cs="Times New Roman"/>
                <w:color w:val="auto"/>
                <w:kern w:val="0"/>
                <w:szCs w:val="21"/>
                <w:lang w:eastAsia="zh-CN"/>
              </w:rPr>
              <w:t>。</w:t>
            </w:r>
          </w:p>
          <w:p>
            <w:pPr>
              <w:adjustRightInd w:val="0"/>
              <w:snapToGrid w:val="0"/>
              <w:spacing w:line="400" w:lineRule="exact"/>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5、</w:t>
            </w:r>
            <w:r>
              <w:rPr>
                <w:rFonts w:hint="default" w:ascii="Times New Roman" w:hAnsi="Times New Roman" w:eastAsia="黑体" w:cs="Times New Roman"/>
                <w:color w:val="auto"/>
                <w:kern w:val="0"/>
                <w:szCs w:val="21"/>
                <w:lang w:val="zh-CN"/>
              </w:rPr>
              <w:t>生态环境保护措施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ascii="Times New Roman" w:hAnsi="Times New Roman" w:cs="Times New Roman"/>
                <w:color w:val="auto"/>
                <w:kern w:val="0"/>
                <w:szCs w:val="21"/>
                <w:lang w:val="en-US" w:eastAsia="zh-CN"/>
              </w:rPr>
              <w:t>租用已建厂房建设，不新增占地，土地性质为工业用地</w:t>
            </w:r>
            <w:r>
              <w:rPr>
                <w:rFonts w:hint="default" w:ascii="Times New Roman" w:hAnsi="Times New Roman" w:cs="Times New Roman"/>
                <w:color w:val="auto"/>
                <w:kern w:val="0"/>
                <w:szCs w:val="21"/>
              </w:rPr>
              <w:t>，不会对周围植被造成破坏。</w:t>
            </w:r>
            <w:r>
              <w:rPr>
                <w:rFonts w:hint="eastAsia" w:ascii="Times New Roman" w:hAnsi="Times New Roman" w:cs="Times New Roman"/>
                <w:color w:val="auto"/>
                <w:kern w:val="0"/>
                <w:szCs w:val="21"/>
                <w:lang w:val="en-US" w:eastAsia="zh-CN"/>
              </w:rPr>
              <w:t>建设单位</w:t>
            </w:r>
            <w:r>
              <w:rPr>
                <w:rFonts w:hint="default" w:ascii="Times New Roman" w:hAnsi="Times New Roman" w:cs="Times New Roman"/>
                <w:color w:val="auto"/>
                <w:kern w:val="0"/>
                <w:szCs w:val="21"/>
              </w:rPr>
              <w:t>应合理安排施工期，施工结束后，及时对场地进行硬化，防止雨水冲刷增加水土流失量。</w:t>
            </w:r>
          </w:p>
          <w:p>
            <w:pPr>
              <w:adjustRightInd w:val="0"/>
              <w:snapToGrid w:val="0"/>
              <w:spacing w:line="400" w:lineRule="exact"/>
              <w:ind w:left="-53" w:leftChars="-25" w:right="-53" w:rightChars="-25" w:firstLine="420" w:firstLineChars="200"/>
              <w:jc w:val="left"/>
              <w:rPr>
                <w:rFonts w:hint="eastAsia"/>
                <w:color w:val="FF0000"/>
                <w:szCs w:val="21"/>
              </w:rPr>
            </w:pPr>
            <w:r>
              <w:rPr>
                <w:color w:val="auto"/>
                <w:szCs w:val="21"/>
              </w:rPr>
              <w:t>采取以上措施后，</w:t>
            </w:r>
            <w:r>
              <w:rPr>
                <w:rFonts w:hint="eastAsia"/>
                <w:color w:val="auto"/>
                <w:szCs w:val="21"/>
              </w:rPr>
              <w:t>项目施工期对环境影响很小，其环境影响可以接受。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623" w:type="dxa"/>
            <w:noWrap w:val="0"/>
            <w:tcMar>
              <w:left w:w="28" w:type="dxa"/>
              <w:right w:w="28" w:type="dxa"/>
            </w:tcMar>
            <w:vAlign w:val="center"/>
          </w:tcPr>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运营</w:t>
            </w:r>
          </w:p>
          <w:p>
            <w:pPr>
              <w:adjustRightInd w:val="0"/>
              <w:snapToGrid w:val="0"/>
              <w:jc w:val="center"/>
              <w:rPr>
                <w:b/>
                <w:bCs/>
                <w:color w:val="auto"/>
                <w:szCs w:val="21"/>
              </w:rPr>
            </w:pPr>
            <w:r>
              <w:rPr>
                <w:b/>
                <w:bCs/>
                <w:color w:val="auto"/>
                <w:szCs w:val="21"/>
              </w:rPr>
              <w:t>期环</w:t>
            </w:r>
          </w:p>
          <w:p>
            <w:pPr>
              <w:adjustRightInd w:val="0"/>
              <w:snapToGrid w:val="0"/>
              <w:jc w:val="center"/>
              <w:rPr>
                <w:b/>
                <w:bCs/>
                <w:color w:val="auto"/>
                <w:szCs w:val="21"/>
              </w:rPr>
            </w:pPr>
            <w:r>
              <w:rPr>
                <w:b/>
                <w:bCs/>
                <w:color w:val="auto"/>
                <w:szCs w:val="21"/>
              </w:rPr>
              <w:t>境影</w:t>
            </w:r>
          </w:p>
          <w:p>
            <w:pPr>
              <w:adjustRightInd w:val="0"/>
              <w:snapToGrid w:val="0"/>
              <w:jc w:val="center"/>
              <w:rPr>
                <w:b/>
                <w:bCs/>
                <w:color w:val="auto"/>
                <w:szCs w:val="21"/>
              </w:rPr>
            </w:pPr>
            <w:r>
              <w:rPr>
                <w:b/>
                <w:bCs/>
                <w:color w:val="auto"/>
                <w:szCs w:val="21"/>
              </w:rPr>
              <w:t>响和</w:t>
            </w:r>
          </w:p>
          <w:p>
            <w:pPr>
              <w:adjustRightInd w:val="0"/>
              <w:snapToGrid w:val="0"/>
              <w:jc w:val="center"/>
              <w:rPr>
                <w:b/>
                <w:bCs/>
                <w:color w:val="auto"/>
                <w:szCs w:val="21"/>
              </w:rPr>
            </w:pPr>
            <w:r>
              <w:rPr>
                <w:b/>
                <w:bCs/>
                <w:color w:val="auto"/>
                <w:szCs w:val="21"/>
              </w:rPr>
              <w:t>保护</w:t>
            </w:r>
          </w:p>
          <w:p>
            <w:pPr>
              <w:adjustRightInd w:val="0"/>
              <w:snapToGrid w:val="0"/>
              <w:jc w:val="center"/>
              <w:rPr>
                <w:b/>
                <w:bCs/>
                <w:color w:val="auto"/>
                <w:szCs w:val="21"/>
              </w:rPr>
            </w:pPr>
            <w:r>
              <w:rPr>
                <w:b/>
                <w:bCs/>
                <w:color w:val="auto"/>
                <w:szCs w:val="21"/>
              </w:rPr>
              <w:t>措施</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p>
        </w:tc>
        <w:tc>
          <w:tcPr>
            <w:tcW w:w="8285" w:type="dxa"/>
            <w:noWrap w:val="0"/>
            <w:vAlign w:val="center"/>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1、废气</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（1）废气产生情况</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lang w:eastAsia="zh-CN"/>
              </w:rPr>
              <w:t>废矿物油</w:t>
            </w:r>
            <w:r>
              <w:rPr>
                <w:color w:val="auto"/>
                <w:szCs w:val="21"/>
              </w:rPr>
              <w:t>正常贮存时由于储存罐大小呼吸会产生一定废气（呼吸废气），油料装卸时，使用油泵泵送过程也会产生一定的废气（装卸废气），均为挥发的</w:t>
            </w:r>
            <w:r>
              <w:rPr>
                <w:rFonts w:hint="eastAsia"/>
                <w:color w:val="auto"/>
                <w:szCs w:val="21"/>
                <w:lang w:eastAsia="zh-CN"/>
              </w:rPr>
              <w:t>废矿物油</w:t>
            </w:r>
            <w:r>
              <w:rPr>
                <w:color w:val="auto"/>
                <w:szCs w:val="21"/>
              </w:rPr>
              <w:t>，属于VOCs（以非甲烷总烃计）。另外，运输车辆会产生少量的燃油废气等。</w:t>
            </w:r>
          </w:p>
          <w:p>
            <w:pPr>
              <w:adjustRightInd w:val="0"/>
              <w:snapToGrid w:val="0"/>
              <w:spacing w:line="400" w:lineRule="exact"/>
              <w:ind w:left="-53" w:leftChars="-25" w:right="-53" w:rightChars="-25" w:firstLine="420" w:firstLineChars="200"/>
              <w:jc w:val="left"/>
              <w:rPr>
                <w:color w:val="auto"/>
                <w:szCs w:val="21"/>
              </w:rPr>
            </w:pPr>
            <w:r>
              <w:rPr>
                <w:color w:val="auto"/>
                <w:szCs w:val="21"/>
              </w:rPr>
              <w:t>①呼吸废气</w:t>
            </w:r>
          </w:p>
          <w:p>
            <w:pPr>
              <w:adjustRightInd w:val="0"/>
              <w:snapToGrid w:val="0"/>
              <w:spacing w:line="400" w:lineRule="exact"/>
              <w:ind w:left="-53" w:leftChars="-25" w:right="-53" w:rightChars="-25" w:firstLine="420" w:firstLineChars="200"/>
              <w:jc w:val="left"/>
              <w:rPr>
                <w:color w:val="auto"/>
                <w:szCs w:val="21"/>
              </w:rPr>
            </w:pPr>
            <w:r>
              <w:rPr>
                <w:color w:val="auto"/>
                <w:szCs w:val="21"/>
              </w:rPr>
              <w:t>项目储油罐采用密封固定顶罐，储存过程中损失主要为“大呼吸”及“小呼吸。</w:t>
            </w:r>
          </w:p>
          <w:p>
            <w:pPr>
              <w:adjustRightInd w:val="0"/>
              <w:snapToGrid w:val="0"/>
              <w:spacing w:line="400" w:lineRule="exact"/>
              <w:ind w:left="-53" w:leftChars="-25" w:right="-53" w:rightChars="-25" w:firstLine="420" w:firstLineChars="200"/>
              <w:jc w:val="left"/>
              <w:rPr>
                <w:color w:val="auto"/>
                <w:szCs w:val="21"/>
              </w:rPr>
            </w:pPr>
            <w:r>
              <w:rPr>
                <w:color w:val="auto"/>
                <w:szCs w:val="21"/>
              </w:rPr>
              <w:t>大呼吸：当储油罐进</w:t>
            </w:r>
            <w:r>
              <w:rPr>
                <w:rFonts w:hint="eastAsia"/>
                <w:color w:val="auto"/>
                <w:szCs w:val="21"/>
              </w:rPr>
              <w:t>、出</w:t>
            </w:r>
            <w:r>
              <w:rPr>
                <w:color w:val="auto"/>
                <w:szCs w:val="21"/>
              </w:rPr>
              <w:t>油时，由于输转油料致使储油罐排除油蒸气和吸入空气所导致的损失叫“大呼吸”损失</w:t>
            </w:r>
            <w:r>
              <w:rPr>
                <w:rFonts w:hint="eastAsia"/>
                <w:color w:val="auto"/>
                <w:szCs w:val="21"/>
              </w:rPr>
              <w:t>。</w:t>
            </w:r>
          </w:p>
          <w:p>
            <w:pPr>
              <w:adjustRightInd w:val="0"/>
              <w:snapToGrid w:val="0"/>
              <w:spacing w:line="400" w:lineRule="exact"/>
              <w:ind w:left="-53" w:leftChars="-25" w:right="-53" w:rightChars="-25" w:firstLine="420" w:firstLineChars="200"/>
              <w:jc w:val="left"/>
              <w:rPr>
                <w:color w:val="auto"/>
                <w:szCs w:val="21"/>
              </w:rPr>
            </w:pPr>
            <w:r>
              <w:rPr>
                <w:color w:val="auto"/>
                <w:szCs w:val="21"/>
              </w:rPr>
              <w:t>小呼吸：</w:t>
            </w:r>
            <w:r>
              <w:rPr>
                <w:rFonts w:hint="eastAsia"/>
                <w:color w:val="auto"/>
                <w:szCs w:val="21"/>
              </w:rPr>
              <w:t>静止状态下，由于储罐内温度、压力变化，</w:t>
            </w:r>
            <w:r>
              <w:rPr>
                <w:color w:val="auto"/>
                <w:szCs w:val="21"/>
              </w:rPr>
              <w:t>引起</w:t>
            </w:r>
            <w:r>
              <w:rPr>
                <w:rFonts w:hint="eastAsia"/>
                <w:color w:val="auto"/>
                <w:szCs w:val="21"/>
              </w:rPr>
              <w:t>油面蒸汽</w:t>
            </w:r>
            <w:r>
              <w:rPr>
                <w:color w:val="auto"/>
                <w:szCs w:val="21"/>
              </w:rPr>
              <w:t>逸出罐外</w:t>
            </w:r>
            <w:r>
              <w:rPr>
                <w:rFonts w:hint="eastAsia"/>
                <w:color w:val="auto"/>
                <w:szCs w:val="21"/>
              </w:rPr>
              <w:t>，</w:t>
            </w:r>
            <w:r>
              <w:rPr>
                <w:color w:val="auto"/>
                <w:szCs w:val="21"/>
              </w:rPr>
              <w:t>造成</w:t>
            </w:r>
            <w:r>
              <w:rPr>
                <w:rFonts w:hint="eastAsia"/>
                <w:color w:val="auto"/>
                <w:szCs w:val="21"/>
              </w:rPr>
              <w:t>的</w:t>
            </w:r>
            <w:r>
              <w:rPr>
                <w:color w:val="auto"/>
                <w:szCs w:val="21"/>
              </w:rPr>
              <w:t>损耗</w:t>
            </w:r>
            <w:r>
              <w:rPr>
                <w:rFonts w:hint="eastAsia"/>
                <w:color w:val="auto"/>
                <w:szCs w:val="21"/>
              </w:rPr>
              <w:t>称为“</w:t>
            </w:r>
            <w:r>
              <w:rPr>
                <w:color w:val="auto"/>
                <w:szCs w:val="21"/>
              </w:rPr>
              <w:t>小呼吸</w:t>
            </w:r>
            <w:r>
              <w:rPr>
                <w:rFonts w:hint="eastAsia"/>
                <w:color w:val="auto"/>
                <w:szCs w:val="21"/>
              </w:rPr>
              <w:t>”</w:t>
            </w:r>
            <w:r>
              <w:rPr>
                <w:color w:val="auto"/>
                <w:szCs w:val="21"/>
              </w:rPr>
              <w:t>损失。</w:t>
            </w:r>
          </w:p>
          <w:p>
            <w:pPr>
              <w:adjustRightInd w:val="0"/>
              <w:snapToGrid w:val="0"/>
              <w:spacing w:line="400" w:lineRule="exact"/>
              <w:ind w:left="-53" w:leftChars="-25" w:right="-53" w:rightChars="-25" w:firstLine="420" w:firstLineChars="200"/>
              <w:jc w:val="left"/>
              <w:rPr>
                <w:color w:val="auto"/>
                <w:szCs w:val="21"/>
              </w:rPr>
            </w:pPr>
            <w:r>
              <w:rPr>
                <w:color w:val="auto"/>
                <w:szCs w:val="21"/>
              </w:rPr>
              <w:t>根据《散装液态石油产品损耗标准》（GB11085-89），卧式储油罐的储存损耗率（小呼吸）可忽略不计。大呼吸</w:t>
            </w:r>
            <w:r>
              <w:rPr>
                <w:rFonts w:hint="eastAsia"/>
                <w:color w:val="auto"/>
                <w:szCs w:val="21"/>
              </w:rPr>
              <w:t>为装卸时产生，纳入装卸废气计算。</w:t>
            </w:r>
          </w:p>
          <w:p>
            <w:pPr>
              <w:adjustRightInd w:val="0"/>
              <w:snapToGrid w:val="0"/>
              <w:spacing w:line="400" w:lineRule="exact"/>
              <w:ind w:left="-53" w:leftChars="-25" w:right="-53" w:rightChars="-25" w:firstLine="420" w:firstLineChars="200"/>
              <w:jc w:val="left"/>
              <w:rPr>
                <w:color w:val="auto"/>
                <w:szCs w:val="21"/>
              </w:rPr>
            </w:pPr>
            <w:r>
              <w:rPr>
                <w:color w:val="auto"/>
                <w:szCs w:val="21"/>
              </w:rPr>
              <w:t>②装卸废气</w:t>
            </w:r>
          </w:p>
          <w:p>
            <w:pPr>
              <w:adjustRightInd w:val="0"/>
              <w:snapToGrid w:val="0"/>
              <w:spacing w:line="400" w:lineRule="exact"/>
              <w:ind w:left="-53" w:leftChars="-25" w:right="-53" w:rightChars="-25" w:firstLine="420" w:firstLineChars="200"/>
              <w:jc w:val="left"/>
              <w:rPr>
                <w:color w:val="auto"/>
                <w:szCs w:val="21"/>
              </w:rPr>
            </w:pPr>
            <w:r>
              <w:rPr>
                <w:color w:val="auto"/>
                <w:szCs w:val="21"/>
              </w:rPr>
              <w:t>项目设计配置2辆专用运输车收集</w:t>
            </w:r>
            <w:r>
              <w:rPr>
                <w:rFonts w:hint="eastAsia"/>
                <w:color w:val="auto"/>
                <w:szCs w:val="21"/>
                <w:lang w:eastAsia="zh-CN"/>
              </w:rPr>
              <w:t>废矿物油</w:t>
            </w:r>
            <w:r>
              <w:rPr>
                <w:color w:val="auto"/>
                <w:szCs w:val="21"/>
              </w:rPr>
              <w:t>，在装卸车的过程中均是通过密封的管道输送，出油口产生的非甲烷总烃量极少。在装卸油时</w:t>
            </w:r>
            <w:r>
              <w:rPr>
                <w:rFonts w:hint="eastAsia"/>
                <w:color w:val="auto"/>
                <w:szCs w:val="21"/>
              </w:rPr>
              <w:t>，油料损耗</w:t>
            </w:r>
            <w:r>
              <w:rPr>
                <w:color w:val="auto"/>
                <w:szCs w:val="21"/>
              </w:rPr>
              <w:t>（储油罐大呼吸</w:t>
            </w:r>
            <w:r>
              <w:rPr>
                <w:rFonts w:hint="eastAsia"/>
                <w:color w:val="auto"/>
                <w:szCs w:val="21"/>
              </w:rPr>
              <w:t>排出</w:t>
            </w:r>
            <w:r>
              <w:rPr>
                <w:color w:val="auto"/>
                <w:szCs w:val="21"/>
              </w:rPr>
              <w:t>油蒸气）系数为0.01%。按照年收集</w:t>
            </w:r>
            <w:r>
              <w:rPr>
                <w:rFonts w:hint="eastAsia"/>
                <w:color w:val="auto"/>
                <w:szCs w:val="21"/>
                <w:lang w:eastAsia="zh-CN"/>
              </w:rPr>
              <w:t>废矿物油</w:t>
            </w:r>
            <w:r>
              <w:rPr>
                <w:color w:val="auto"/>
                <w:szCs w:val="21"/>
              </w:rPr>
              <w:t>2</w:t>
            </w:r>
            <w:r>
              <w:rPr>
                <w:rFonts w:hint="eastAsia"/>
                <w:color w:val="auto"/>
                <w:szCs w:val="21"/>
                <w:lang w:val="en-US" w:eastAsia="zh-CN"/>
              </w:rPr>
              <w:t>0</w:t>
            </w:r>
            <w:r>
              <w:rPr>
                <w:color w:val="auto"/>
                <w:szCs w:val="21"/>
              </w:rPr>
              <w:t>00吨计算，得出项目油气产生量为0.2t/a，为无组织排放。</w:t>
            </w:r>
          </w:p>
          <w:p>
            <w:pPr>
              <w:adjustRightInd w:val="0"/>
              <w:snapToGrid w:val="0"/>
              <w:spacing w:line="400" w:lineRule="exact"/>
              <w:ind w:left="-53" w:leftChars="-25" w:right="-53" w:rightChars="-25" w:firstLine="420" w:firstLineChars="200"/>
              <w:jc w:val="left"/>
              <w:rPr>
                <w:color w:val="auto"/>
                <w:szCs w:val="21"/>
              </w:rPr>
            </w:pPr>
            <w:r>
              <w:rPr>
                <w:color w:val="auto"/>
                <w:szCs w:val="21"/>
              </w:rPr>
              <w:t>③汽车尾气</w:t>
            </w:r>
          </w:p>
          <w:p>
            <w:pPr>
              <w:adjustRightInd w:val="0"/>
              <w:snapToGrid w:val="0"/>
              <w:spacing w:line="400" w:lineRule="exact"/>
              <w:ind w:left="-53" w:leftChars="-25" w:right="-53" w:rightChars="-25" w:firstLine="420" w:firstLineChars="200"/>
              <w:jc w:val="left"/>
              <w:rPr>
                <w:rFonts w:hint="eastAsia"/>
                <w:color w:val="auto"/>
                <w:szCs w:val="21"/>
              </w:rPr>
            </w:pPr>
            <w:r>
              <w:rPr>
                <w:color w:val="auto"/>
                <w:szCs w:val="21"/>
              </w:rPr>
              <w:t>本项目涉及到</w:t>
            </w:r>
            <w:r>
              <w:rPr>
                <w:rFonts w:hint="eastAsia"/>
                <w:color w:val="auto"/>
                <w:szCs w:val="21"/>
                <w:lang w:eastAsia="zh-CN"/>
              </w:rPr>
              <w:t>废矿物油</w:t>
            </w:r>
            <w:r>
              <w:rPr>
                <w:color w:val="auto"/>
                <w:szCs w:val="21"/>
              </w:rPr>
              <w:t>的厂内运输，因此场区会有部分危废</w:t>
            </w:r>
            <w:r>
              <w:rPr>
                <w:rFonts w:hint="eastAsia"/>
                <w:color w:val="auto"/>
                <w:szCs w:val="21"/>
              </w:rPr>
              <w:t>运输</w:t>
            </w:r>
            <w:r>
              <w:rPr>
                <w:color w:val="auto"/>
                <w:szCs w:val="21"/>
              </w:rPr>
              <w:t>车辆进出，</w:t>
            </w:r>
            <w:r>
              <w:rPr>
                <w:rFonts w:hint="eastAsia"/>
                <w:color w:val="auto"/>
                <w:szCs w:val="21"/>
              </w:rPr>
              <w:t>会产生少量汽车尾气</w:t>
            </w:r>
            <w:r>
              <w:rPr>
                <w:color w:val="auto"/>
                <w:szCs w:val="21"/>
              </w:rPr>
              <w:t>。</w:t>
            </w:r>
            <w:r>
              <w:rPr>
                <w:rFonts w:hint="eastAsia"/>
                <w:color w:val="auto"/>
                <w:szCs w:val="21"/>
              </w:rPr>
              <w:t>由于周边条件较为开阔且运输量不大，汽车尾气对环境影响很小。</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（2）废气排放情况</w:t>
            </w:r>
          </w:p>
          <w:p>
            <w:pPr>
              <w:adjustRightInd w:val="0"/>
              <w:snapToGrid w:val="0"/>
              <w:spacing w:line="400" w:lineRule="exact"/>
              <w:ind w:left="-53" w:leftChars="-25" w:right="-53" w:rightChars="-25" w:firstLine="420" w:firstLineChars="200"/>
              <w:jc w:val="left"/>
              <w:rPr>
                <w:color w:val="auto"/>
                <w:szCs w:val="21"/>
              </w:rPr>
            </w:pPr>
            <w:r>
              <w:rPr>
                <w:color w:val="auto"/>
                <w:szCs w:val="21"/>
              </w:rPr>
              <w:t>①呼吸废气</w:t>
            </w:r>
          </w:p>
          <w:p>
            <w:pPr>
              <w:adjustRightInd w:val="0"/>
              <w:snapToGrid w:val="0"/>
              <w:spacing w:line="400" w:lineRule="exact"/>
              <w:ind w:left="-53" w:leftChars="-25" w:right="-53" w:rightChars="-25" w:firstLine="420" w:firstLineChars="200"/>
              <w:rPr>
                <w:color w:val="auto"/>
                <w:szCs w:val="21"/>
              </w:rPr>
            </w:pPr>
            <w:r>
              <w:rPr>
                <w:color w:val="auto"/>
                <w:szCs w:val="21"/>
              </w:rPr>
              <w:t>项目储存罐“大小呼吸”废气VOC</w:t>
            </w:r>
            <w:r>
              <w:rPr>
                <w:color w:val="auto"/>
                <w:szCs w:val="21"/>
                <w:vertAlign w:val="subscript"/>
              </w:rPr>
              <w:t>S</w:t>
            </w:r>
            <w:r>
              <w:rPr>
                <w:color w:val="auto"/>
                <w:szCs w:val="21"/>
              </w:rPr>
              <w:t>（</w:t>
            </w:r>
            <w:r>
              <w:rPr>
                <w:rFonts w:hint="eastAsia"/>
                <w:color w:val="auto"/>
                <w:szCs w:val="21"/>
              </w:rPr>
              <w:t>以</w:t>
            </w:r>
            <w:r>
              <w:rPr>
                <w:color w:val="auto"/>
                <w:szCs w:val="21"/>
              </w:rPr>
              <w:t>非甲烷总烃计）总量为0.2t/a，产生速率为 0.02</w:t>
            </w:r>
            <w:r>
              <w:rPr>
                <w:rFonts w:hint="eastAsia"/>
                <w:color w:val="auto"/>
                <w:szCs w:val="21"/>
                <w:lang w:val="en-US" w:eastAsia="zh-CN"/>
              </w:rPr>
              <w:t>4</w:t>
            </w:r>
            <w:r>
              <w:rPr>
                <w:color w:val="auto"/>
                <w:szCs w:val="21"/>
              </w:rPr>
              <w:t>kg/h。项目VOC</w:t>
            </w:r>
            <w:r>
              <w:rPr>
                <w:color w:val="auto"/>
                <w:szCs w:val="21"/>
                <w:vertAlign w:val="subscript"/>
              </w:rPr>
              <w:t>S</w:t>
            </w:r>
            <w:r>
              <w:rPr>
                <w:color w:val="auto"/>
                <w:szCs w:val="21"/>
              </w:rPr>
              <w:t>产生量及速率均很小，通过加强通风，废气无组织排放厂界浓度</w:t>
            </w:r>
            <w:r>
              <w:rPr>
                <w:rFonts w:hint="eastAsia"/>
                <w:color w:val="auto"/>
                <w:szCs w:val="21"/>
              </w:rPr>
              <w:t>很低</w:t>
            </w:r>
            <w:r>
              <w:rPr>
                <w:color w:val="auto"/>
                <w:szCs w:val="21"/>
              </w:rPr>
              <w:t>，满足《大气污染物综合排放标准》（GB16297-1996）中非甲烷总烃无组织排放浓度要求（4mg/m</w:t>
            </w:r>
            <w:r>
              <w:rPr>
                <w:color w:val="auto"/>
                <w:szCs w:val="21"/>
                <w:vertAlign w:val="superscript"/>
              </w:rPr>
              <w:t>3</w:t>
            </w:r>
            <w:r>
              <w:rPr>
                <w:color w:val="auto"/>
                <w:szCs w:val="21"/>
              </w:rPr>
              <w:t>）。</w:t>
            </w:r>
          </w:p>
          <w:p>
            <w:pPr>
              <w:adjustRightInd w:val="0"/>
              <w:snapToGrid w:val="0"/>
              <w:spacing w:line="400" w:lineRule="exact"/>
              <w:ind w:left="-53" w:leftChars="-25" w:right="-53" w:rightChars="-25" w:firstLine="420" w:firstLineChars="200"/>
              <w:jc w:val="left"/>
              <w:rPr>
                <w:color w:val="auto"/>
                <w:szCs w:val="21"/>
              </w:rPr>
            </w:pPr>
            <w:r>
              <w:rPr>
                <w:color w:val="auto"/>
                <w:szCs w:val="21"/>
              </w:rPr>
              <w:t>②装卸废气</w:t>
            </w:r>
          </w:p>
          <w:p>
            <w:pPr>
              <w:adjustRightInd w:val="0"/>
              <w:snapToGrid w:val="0"/>
              <w:spacing w:line="400" w:lineRule="exact"/>
              <w:ind w:left="-53" w:leftChars="-25" w:right="-53" w:rightChars="-25" w:firstLine="420" w:firstLineChars="200"/>
              <w:rPr>
                <w:color w:val="auto"/>
                <w:szCs w:val="21"/>
              </w:rPr>
            </w:pPr>
            <w:r>
              <w:rPr>
                <w:color w:val="auto"/>
                <w:szCs w:val="21"/>
              </w:rPr>
              <w:t>项目装卸过程废气VOC</w:t>
            </w:r>
            <w:r>
              <w:rPr>
                <w:color w:val="auto"/>
                <w:szCs w:val="21"/>
                <w:vertAlign w:val="subscript"/>
              </w:rPr>
              <w:t>S</w:t>
            </w:r>
            <w:r>
              <w:rPr>
                <w:color w:val="auto"/>
                <w:szCs w:val="21"/>
              </w:rPr>
              <w:t>（</w:t>
            </w:r>
            <w:r>
              <w:rPr>
                <w:rFonts w:hint="eastAsia"/>
                <w:color w:val="auto"/>
                <w:szCs w:val="21"/>
              </w:rPr>
              <w:t>以</w:t>
            </w:r>
            <w:r>
              <w:rPr>
                <w:color w:val="auto"/>
                <w:szCs w:val="21"/>
              </w:rPr>
              <w:t>非甲烷总烃计）</w:t>
            </w:r>
            <w:r>
              <w:rPr>
                <w:rFonts w:hint="eastAsia"/>
                <w:color w:val="auto"/>
                <w:szCs w:val="21"/>
              </w:rPr>
              <w:t>量</w:t>
            </w:r>
            <w:r>
              <w:rPr>
                <w:color w:val="auto"/>
                <w:szCs w:val="21"/>
              </w:rPr>
              <w:t>极小，通过加强通风，规范操作，废气无组织排放厂界浓度可低于4.0mg/m，满足《大气污染物综合排放标准》（GB16297-1996）中非甲烷总烃无组织排放浓度要求（4</w:t>
            </w:r>
            <w:r>
              <w:rPr>
                <w:rFonts w:hint="eastAsia"/>
                <w:color w:val="auto"/>
                <w:szCs w:val="21"/>
              </w:rPr>
              <w:t>.0</w:t>
            </w:r>
            <w:r>
              <w:rPr>
                <w:color w:val="auto"/>
                <w:szCs w:val="21"/>
              </w:rPr>
              <w:t>mg/m</w:t>
            </w:r>
            <w:r>
              <w:rPr>
                <w:color w:val="auto"/>
                <w:szCs w:val="21"/>
                <w:vertAlign w:val="superscript"/>
              </w:rPr>
              <w:t>3</w:t>
            </w:r>
            <w:r>
              <w:rPr>
                <w:color w:val="auto"/>
                <w:szCs w:val="21"/>
              </w:rPr>
              <w:t>）。</w:t>
            </w:r>
          </w:p>
          <w:p>
            <w:pPr>
              <w:adjustRightInd w:val="0"/>
              <w:snapToGrid w:val="0"/>
              <w:spacing w:line="400" w:lineRule="exact"/>
              <w:ind w:left="-53" w:leftChars="-25" w:right="-53" w:rightChars="-25" w:firstLine="420" w:firstLineChars="200"/>
              <w:jc w:val="left"/>
              <w:rPr>
                <w:color w:val="auto"/>
                <w:szCs w:val="21"/>
              </w:rPr>
            </w:pPr>
            <w:r>
              <w:rPr>
                <w:color w:val="auto"/>
                <w:szCs w:val="21"/>
              </w:rPr>
              <w:t>③汽车尾气</w:t>
            </w:r>
          </w:p>
          <w:p>
            <w:pPr>
              <w:adjustRightInd w:val="0"/>
              <w:snapToGrid w:val="0"/>
              <w:spacing w:line="400" w:lineRule="exact"/>
              <w:ind w:left="-53" w:leftChars="-25" w:right="-53" w:rightChars="-25" w:firstLine="420" w:firstLineChars="200"/>
              <w:jc w:val="left"/>
              <w:rPr>
                <w:color w:val="auto"/>
                <w:szCs w:val="21"/>
              </w:rPr>
            </w:pPr>
            <w:r>
              <w:rPr>
                <w:color w:val="auto"/>
                <w:szCs w:val="21"/>
              </w:rPr>
              <w:t>由于汽车进出项目区的时间短，且汽车数量很少，项目处于宽敞地带，少量尾气将随大气扩散，基本上不会影响该区域大气环境质量。</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42" w:leftChars="-20" w:right="-42" w:rightChars="-20" w:firstLine="422" w:firstLineChars="200"/>
              <w:jc w:val="both"/>
              <w:textAlignment w:val="auto"/>
              <w:rPr>
                <w:rFonts w:hint="default" w:ascii="Times New Roman" w:hAnsi="Times New Roman" w:cs="Times New Roman"/>
                <w:b/>
                <w:bCs/>
                <w:color w:val="auto"/>
                <w:kern w:val="0"/>
                <w:szCs w:val="21"/>
              </w:rPr>
            </w:pPr>
            <w:r>
              <w:rPr>
                <w:rFonts w:hint="eastAsia" w:cs="Times New Roman"/>
                <w:b/>
                <w:bCs/>
                <w:color w:val="auto"/>
                <w:szCs w:val="21"/>
                <w:lang w:val="en-US" w:eastAsia="zh-CN"/>
              </w:rPr>
              <w:t>（3</w:t>
            </w:r>
            <w:r>
              <w:rPr>
                <w:rFonts w:hint="default" w:ascii="Times New Roman" w:hAnsi="Times New Roman" w:cs="Times New Roman"/>
                <w:b/>
                <w:bCs/>
                <w:color w:val="auto"/>
                <w:szCs w:val="21"/>
                <w:lang w:val="en-US" w:eastAsia="zh-CN"/>
              </w:rPr>
              <w:t>）</w:t>
            </w:r>
            <w:r>
              <w:rPr>
                <w:rFonts w:hint="default" w:ascii="Times New Roman" w:hAnsi="Times New Roman" w:cs="Times New Roman"/>
                <w:b/>
                <w:bCs/>
                <w:color w:val="auto"/>
                <w:kern w:val="0"/>
                <w:szCs w:val="21"/>
              </w:rPr>
              <w:t>废气排放情况</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ascii="Times New Roman" w:hAnsi="Times New Roman"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lang w:val="en-US" w:eastAsia="zh-CN"/>
              </w:rPr>
              <w:t xml:space="preserve">  </w:t>
            </w:r>
            <w:r>
              <w:rPr>
                <w:rFonts w:hint="eastAsia" w:ascii="Times New Roman" w:hAnsi="Times New Roman" w:eastAsia="黑体" w:cs="Times New Roman"/>
                <w:color w:val="auto"/>
                <w:kern w:val="0"/>
                <w:sz w:val="20"/>
                <w:szCs w:val="20"/>
                <w:lang w:val="en-US" w:eastAsia="zh-CN"/>
              </w:rPr>
              <w:t>废气产排污节点、污染物及污染治理设施信息表</w:t>
            </w:r>
          </w:p>
          <w:tbl>
            <w:tblPr>
              <w:tblStyle w:val="14"/>
              <w:tblW w:w="797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397"/>
              <w:gridCol w:w="1807"/>
              <w:gridCol w:w="897"/>
              <w:gridCol w:w="912"/>
              <w:gridCol w:w="942"/>
              <w:gridCol w:w="1063"/>
              <w:gridCol w:w="987"/>
              <w:gridCol w:w="96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74" w:hRule="atLeast"/>
                <w:jc w:val="center"/>
              </w:trPr>
              <w:tc>
                <w:tcPr>
                  <w:tcW w:w="397"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r>
                    <w:rPr>
                      <w:rFonts w:hint="eastAsia"/>
                      <w:b/>
                      <w:bCs/>
                      <w:color w:val="auto"/>
                      <w:sz w:val="18"/>
                      <w:szCs w:val="18"/>
                    </w:rPr>
                    <w:t>序号</w:t>
                  </w:r>
                </w:p>
              </w:tc>
              <w:tc>
                <w:tcPr>
                  <w:tcW w:w="1807"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生产线名称及编号</w:t>
                  </w:r>
                </w:p>
              </w:tc>
              <w:tc>
                <w:tcPr>
                  <w:tcW w:w="897"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主要生产单元</w:t>
                  </w:r>
                </w:p>
              </w:tc>
              <w:tc>
                <w:tcPr>
                  <w:tcW w:w="912"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r>
                    <w:rPr>
                      <w:rFonts w:hint="eastAsia"/>
                      <w:b/>
                      <w:bCs/>
                      <w:color w:val="auto"/>
                      <w:sz w:val="18"/>
                      <w:szCs w:val="18"/>
                    </w:rPr>
                    <w:t>产污设施</w:t>
                  </w:r>
                </w:p>
                <w:p>
                  <w:pPr>
                    <w:adjustRightInd w:val="0"/>
                    <w:snapToGrid w:val="0"/>
                    <w:spacing w:line="280" w:lineRule="exact"/>
                    <w:jc w:val="center"/>
                    <w:rPr>
                      <w:rFonts w:hint="eastAsia"/>
                      <w:b/>
                      <w:bCs/>
                      <w:color w:val="auto"/>
                      <w:sz w:val="18"/>
                      <w:szCs w:val="18"/>
                    </w:rPr>
                  </w:pPr>
                  <w:r>
                    <w:rPr>
                      <w:rFonts w:hint="eastAsia"/>
                      <w:b/>
                      <w:bCs/>
                      <w:color w:val="auto"/>
                      <w:sz w:val="18"/>
                      <w:szCs w:val="18"/>
                    </w:rPr>
                    <w:t>编号</w:t>
                  </w:r>
                </w:p>
              </w:tc>
              <w:tc>
                <w:tcPr>
                  <w:tcW w:w="942"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r>
                    <w:rPr>
                      <w:rFonts w:hint="eastAsia"/>
                      <w:b/>
                      <w:bCs/>
                      <w:color w:val="auto"/>
                      <w:sz w:val="18"/>
                      <w:szCs w:val="18"/>
                    </w:rPr>
                    <w:t>产污环节</w:t>
                  </w:r>
                </w:p>
                <w:p>
                  <w:pPr>
                    <w:adjustRightInd w:val="0"/>
                    <w:snapToGrid w:val="0"/>
                    <w:spacing w:line="280" w:lineRule="exact"/>
                    <w:jc w:val="center"/>
                    <w:rPr>
                      <w:rFonts w:hint="eastAsia"/>
                      <w:b/>
                      <w:bCs/>
                      <w:color w:val="auto"/>
                      <w:sz w:val="18"/>
                      <w:szCs w:val="18"/>
                    </w:rPr>
                  </w:pPr>
                  <w:r>
                    <w:rPr>
                      <w:rFonts w:hint="eastAsia"/>
                      <w:b/>
                      <w:bCs/>
                      <w:color w:val="auto"/>
                      <w:sz w:val="18"/>
                      <w:szCs w:val="18"/>
                    </w:rPr>
                    <w:t>名称</w:t>
                  </w:r>
                </w:p>
              </w:tc>
              <w:tc>
                <w:tcPr>
                  <w:tcW w:w="1063"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r>
                    <w:rPr>
                      <w:rFonts w:hint="eastAsia"/>
                      <w:b/>
                      <w:bCs/>
                      <w:color w:val="auto"/>
                      <w:sz w:val="18"/>
                      <w:szCs w:val="18"/>
                    </w:rPr>
                    <w:t>污染物种类</w:t>
                  </w:r>
                </w:p>
              </w:tc>
              <w:tc>
                <w:tcPr>
                  <w:tcW w:w="987"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r>
                    <w:rPr>
                      <w:rFonts w:hint="eastAsia"/>
                      <w:b/>
                      <w:bCs/>
                      <w:color w:val="auto"/>
                      <w:sz w:val="18"/>
                      <w:szCs w:val="18"/>
                    </w:rPr>
                    <w:t>排放形式</w:t>
                  </w:r>
                </w:p>
              </w:tc>
              <w:tc>
                <w:tcPr>
                  <w:tcW w:w="969"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其它信息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74" w:hRule="atLeast"/>
                <w:jc w:val="center"/>
              </w:trPr>
              <w:tc>
                <w:tcPr>
                  <w:tcW w:w="397"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1807"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897"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912"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b/>
                      <w:bCs/>
                      <w:color w:val="auto"/>
                      <w:sz w:val="18"/>
                      <w:szCs w:val="18"/>
                    </w:rPr>
                  </w:pPr>
                </w:p>
              </w:tc>
              <w:tc>
                <w:tcPr>
                  <w:tcW w:w="942"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b/>
                      <w:bCs/>
                      <w:color w:val="auto"/>
                      <w:sz w:val="18"/>
                      <w:szCs w:val="18"/>
                    </w:rPr>
                  </w:pPr>
                </w:p>
              </w:tc>
              <w:tc>
                <w:tcPr>
                  <w:tcW w:w="1063"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b/>
                      <w:bCs/>
                      <w:color w:val="auto"/>
                      <w:sz w:val="18"/>
                      <w:szCs w:val="18"/>
                    </w:rPr>
                  </w:pPr>
                </w:p>
              </w:tc>
              <w:tc>
                <w:tcPr>
                  <w:tcW w:w="987"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b/>
                      <w:bCs/>
                      <w:color w:val="auto"/>
                      <w:sz w:val="18"/>
                      <w:szCs w:val="18"/>
                    </w:rPr>
                  </w:pPr>
                </w:p>
              </w:tc>
              <w:tc>
                <w:tcPr>
                  <w:tcW w:w="969"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86"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1</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lang w:eastAsia="zh-CN"/>
                    </w:rPr>
                    <w:t>废矿物油</w:t>
                  </w:r>
                  <w:r>
                    <w:rPr>
                      <w:rFonts w:hint="eastAsia"/>
                      <w:color w:val="auto"/>
                      <w:sz w:val="18"/>
                      <w:szCs w:val="18"/>
                    </w:rPr>
                    <w:t>储存SCX001</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储存间</w:t>
                  </w:r>
                </w:p>
              </w:tc>
              <w:tc>
                <w:tcPr>
                  <w:tcW w:w="912"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MF0001</w:t>
                  </w:r>
                </w:p>
              </w:tc>
              <w:tc>
                <w:tcPr>
                  <w:tcW w:w="942"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储存</w:t>
                  </w:r>
                </w:p>
              </w:tc>
              <w:tc>
                <w:tcPr>
                  <w:tcW w:w="1063"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非甲烷总烃</w:t>
                  </w:r>
                </w:p>
              </w:tc>
              <w:tc>
                <w:tcPr>
                  <w:tcW w:w="987"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无组织</w:t>
                  </w:r>
                </w:p>
              </w:tc>
              <w:tc>
                <w:tcPr>
                  <w:tcW w:w="969"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15" w:hRule="atLeast"/>
                <w:jc w:val="center"/>
              </w:trPr>
              <w:tc>
                <w:tcPr>
                  <w:tcW w:w="397"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2</w:t>
                  </w:r>
                </w:p>
              </w:tc>
              <w:tc>
                <w:tcPr>
                  <w:tcW w:w="1807"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lang w:eastAsia="zh-CN"/>
                    </w:rPr>
                    <w:t>废矿物油</w:t>
                  </w:r>
                  <w:r>
                    <w:rPr>
                      <w:rFonts w:hint="eastAsia"/>
                      <w:color w:val="auto"/>
                      <w:sz w:val="18"/>
                      <w:szCs w:val="18"/>
                    </w:rPr>
                    <w:t>储存SCX001</w:t>
                  </w:r>
                </w:p>
              </w:tc>
              <w:tc>
                <w:tcPr>
                  <w:tcW w:w="897" w:type="dxa"/>
                  <w:tcBorders>
                    <w:top w:val="single" w:color="000000" w:sz="4" w:space="0"/>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装卸平台</w:t>
                  </w:r>
                </w:p>
              </w:tc>
              <w:tc>
                <w:tcPr>
                  <w:tcW w:w="912"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MF0002</w:t>
                  </w:r>
                </w:p>
              </w:tc>
              <w:tc>
                <w:tcPr>
                  <w:tcW w:w="942"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装卸</w:t>
                  </w:r>
                </w:p>
              </w:tc>
              <w:tc>
                <w:tcPr>
                  <w:tcW w:w="1063"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非甲烷总烃</w:t>
                  </w:r>
                </w:p>
              </w:tc>
              <w:tc>
                <w:tcPr>
                  <w:tcW w:w="987"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无组织</w:t>
                  </w:r>
                </w:p>
              </w:tc>
              <w:tc>
                <w:tcPr>
                  <w:tcW w:w="969" w:type="dxa"/>
                  <w:tcBorders>
                    <w:top w:val="single" w:color="000000" w:sz="4" w:space="0"/>
                    <w:lef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r>
          </w:tbl>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w:t>
            </w:r>
            <w:r>
              <w:rPr>
                <w:rFonts w:hint="eastAsia" w:ascii="Times New Roman" w:hAnsi="Times New Roman" w:eastAsia="黑体" w:cs="Times New Roman"/>
                <w:color w:val="auto"/>
                <w:kern w:val="0"/>
                <w:sz w:val="20"/>
                <w:szCs w:val="20"/>
                <w:lang w:val="en-US" w:eastAsia="zh-CN"/>
              </w:rPr>
              <w:t xml:space="preserve">4-3 </w:t>
            </w:r>
            <w:r>
              <w:rPr>
                <w:rFonts w:hint="default" w:ascii="Times New Roman" w:hAnsi="Times New Roman" w:eastAsia="黑体" w:cs="Times New Roman"/>
                <w:color w:val="auto"/>
                <w:kern w:val="0"/>
                <w:sz w:val="20"/>
                <w:szCs w:val="20"/>
                <w:lang w:val="en-US" w:eastAsia="zh-CN"/>
              </w:rPr>
              <w:t xml:space="preserve"> 大气污染物无组织排放表</w:t>
            </w:r>
          </w:p>
          <w:tbl>
            <w:tblPr>
              <w:tblStyle w:val="14"/>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2"/>
              <w:gridCol w:w="929"/>
              <w:gridCol w:w="482"/>
              <w:gridCol w:w="958"/>
              <w:gridCol w:w="928"/>
              <w:gridCol w:w="638"/>
              <w:gridCol w:w="2066"/>
              <w:gridCol w:w="1012"/>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blHeader/>
                <w:jc w:val="center"/>
              </w:trPr>
              <w:tc>
                <w:tcPr>
                  <w:tcW w:w="412" w:type="dxa"/>
                  <w:vMerge w:val="restart"/>
                  <w:noWrap w:val="0"/>
                  <w:vAlign w:val="center"/>
                </w:tcPr>
                <w:p>
                  <w:pPr>
                    <w:adjustRightInd w:val="0"/>
                    <w:snapToGrid w:val="0"/>
                    <w:spacing w:line="280" w:lineRule="exact"/>
                    <w:jc w:val="center"/>
                    <w:rPr>
                      <w:b/>
                      <w:bCs/>
                      <w:color w:val="auto"/>
                      <w:sz w:val="18"/>
                      <w:szCs w:val="18"/>
                    </w:rPr>
                  </w:pPr>
                  <w:r>
                    <w:rPr>
                      <w:b/>
                      <w:bCs/>
                      <w:color w:val="auto"/>
                      <w:sz w:val="18"/>
                      <w:szCs w:val="18"/>
                    </w:rPr>
                    <w:t>序号</w:t>
                  </w:r>
                </w:p>
              </w:tc>
              <w:tc>
                <w:tcPr>
                  <w:tcW w:w="929" w:type="dxa"/>
                  <w:vMerge w:val="restart"/>
                  <w:noWrap w:val="0"/>
                  <w:vAlign w:val="center"/>
                </w:tcPr>
                <w:p>
                  <w:pPr>
                    <w:adjustRightInd w:val="0"/>
                    <w:snapToGrid w:val="0"/>
                    <w:spacing w:line="280" w:lineRule="exact"/>
                    <w:jc w:val="center"/>
                    <w:rPr>
                      <w:b/>
                      <w:bCs/>
                      <w:color w:val="auto"/>
                      <w:sz w:val="18"/>
                      <w:szCs w:val="18"/>
                    </w:rPr>
                  </w:pPr>
                  <w:r>
                    <w:rPr>
                      <w:b/>
                      <w:bCs/>
                      <w:color w:val="auto"/>
                      <w:sz w:val="18"/>
                      <w:szCs w:val="18"/>
                    </w:rPr>
                    <w:t>生产设施编号/无组织排放编号</w:t>
                  </w:r>
                </w:p>
              </w:tc>
              <w:tc>
                <w:tcPr>
                  <w:tcW w:w="482" w:type="dxa"/>
                  <w:vMerge w:val="restart"/>
                  <w:noWrap w:val="0"/>
                  <w:vAlign w:val="center"/>
                </w:tcPr>
                <w:p>
                  <w:pPr>
                    <w:adjustRightInd w:val="0"/>
                    <w:snapToGrid w:val="0"/>
                    <w:spacing w:line="280" w:lineRule="exact"/>
                    <w:jc w:val="center"/>
                    <w:rPr>
                      <w:b/>
                      <w:bCs/>
                      <w:color w:val="auto"/>
                      <w:sz w:val="18"/>
                      <w:szCs w:val="18"/>
                    </w:rPr>
                  </w:pPr>
                  <w:r>
                    <w:rPr>
                      <w:b/>
                      <w:bCs/>
                      <w:color w:val="auto"/>
                      <w:sz w:val="18"/>
                      <w:szCs w:val="18"/>
                    </w:rPr>
                    <w:t>产污</w:t>
                  </w:r>
                </w:p>
                <w:p>
                  <w:pPr>
                    <w:adjustRightInd w:val="0"/>
                    <w:snapToGrid w:val="0"/>
                    <w:spacing w:line="280" w:lineRule="exact"/>
                    <w:jc w:val="center"/>
                    <w:rPr>
                      <w:b/>
                      <w:bCs/>
                      <w:color w:val="auto"/>
                      <w:sz w:val="18"/>
                      <w:szCs w:val="18"/>
                    </w:rPr>
                  </w:pPr>
                  <w:r>
                    <w:rPr>
                      <w:b/>
                      <w:bCs/>
                      <w:color w:val="auto"/>
                      <w:sz w:val="18"/>
                      <w:szCs w:val="18"/>
                    </w:rPr>
                    <w:t>环节</w:t>
                  </w:r>
                </w:p>
              </w:tc>
              <w:tc>
                <w:tcPr>
                  <w:tcW w:w="958" w:type="dxa"/>
                  <w:vMerge w:val="restart"/>
                  <w:noWrap w:val="0"/>
                  <w:vAlign w:val="center"/>
                </w:tcPr>
                <w:p>
                  <w:pPr>
                    <w:adjustRightInd w:val="0"/>
                    <w:snapToGrid w:val="0"/>
                    <w:spacing w:line="280" w:lineRule="exact"/>
                    <w:jc w:val="center"/>
                    <w:rPr>
                      <w:b/>
                      <w:bCs/>
                      <w:color w:val="auto"/>
                      <w:sz w:val="18"/>
                      <w:szCs w:val="18"/>
                    </w:rPr>
                  </w:pPr>
                  <w:r>
                    <w:rPr>
                      <w:b/>
                      <w:bCs/>
                      <w:color w:val="auto"/>
                      <w:sz w:val="18"/>
                      <w:szCs w:val="18"/>
                    </w:rPr>
                    <w:t>污染物种类</w:t>
                  </w:r>
                </w:p>
              </w:tc>
              <w:tc>
                <w:tcPr>
                  <w:tcW w:w="928" w:type="dxa"/>
                  <w:vMerge w:val="restart"/>
                  <w:noWrap w:val="0"/>
                  <w:vAlign w:val="center"/>
                </w:tcPr>
                <w:p>
                  <w:pPr>
                    <w:adjustRightInd w:val="0"/>
                    <w:snapToGrid w:val="0"/>
                    <w:spacing w:line="280" w:lineRule="exact"/>
                    <w:jc w:val="center"/>
                    <w:rPr>
                      <w:b/>
                      <w:bCs/>
                      <w:color w:val="auto"/>
                      <w:sz w:val="18"/>
                      <w:szCs w:val="18"/>
                    </w:rPr>
                  </w:pPr>
                  <w:r>
                    <w:rPr>
                      <w:b/>
                      <w:bCs/>
                      <w:color w:val="auto"/>
                      <w:sz w:val="18"/>
                      <w:szCs w:val="18"/>
                    </w:rPr>
                    <w:t>主要污染防治措施</w:t>
                  </w:r>
                </w:p>
              </w:tc>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排放量</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rPr>
                  </w:pPr>
                  <w:r>
                    <w:rPr>
                      <w:rFonts w:hint="eastAsia" w:ascii="Times New Roman" w:hAnsi="Times New Roman" w:cs="Times New Roman"/>
                      <w:b/>
                      <w:bCs/>
                      <w:color w:val="auto"/>
                      <w:sz w:val="18"/>
                      <w:szCs w:val="18"/>
                      <w:lang w:val="en-US" w:eastAsia="zh-CN"/>
                    </w:rPr>
                    <w:t>（t/a）</w:t>
                  </w:r>
                </w:p>
              </w:tc>
              <w:tc>
                <w:tcPr>
                  <w:tcW w:w="3078" w:type="dxa"/>
                  <w:gridSpan w:val="2"/>
                  <w:noWrap w:val="0"/>
                  <w:vAlign w:val="center"/>
                </w:tcPr>
                <w:p>
                  <w:pPr>
                    <w:adjustRightInd w:val="0"/>
                    <w:snapToGrid w:val="0"/>
                    <w:spacing w:line="280" w:lineRule="exact"/>
                    <w:jc w:val="center"/>
                    <w:rPr>
                      <w:b/>
                      <w:bCs/>
                      <w:color w:val="auto"/>
                      <w:sz w:val="18"/>
                      <w:szCs w:val="18"/>
                    </w:rPr>
                  </w:pPr>
                  <w:r>
                    <w:rPr>
                      <w:b/>
                      <w:bCs/>
                      <w:color w:val="auto"/>
                      <w:sz w:val="18"/>
                      <w:szCs w:val="18"/>
                    </w:rPr>
                    <w:t>国家或地方污染物排放标准</w:t>
                  </w:r>
                </w:p>
              </w:tc>
              <w:tc>
                <w:tcPr>
                  <w:tcW w:w="515" w:type="dxa"/>
                  <w:vMerge w:val="restart"/>
                  <w:noWrap w:val="0"/>
                  <w:vAlign w:val="center"/>
                </w:tcPr>
                <w:p>
                  <w:pPr>
                    <w:adjustRightInd w:val="0"/>
                    <w:snapToGrid w:val="0"/>
                    <w:spacing w:line="280" w:lineRule="exact"/>
                    <w:jc w:val="center"/>
                    <w:rPr>
                      <w:b/>
                      <w:bCs/>
                      <w:color w:val="auto"/>
                      <w:sz w:val="18"/>
                      <w:szCs w:val="18"/>
                    </w:rPr>
                  </w:pPr>
                  <w:r>
                    <w:rPr>
                      <w:b/>
                      <w:bCs/>
                      <w:color w:val="auto"/>
                      <w:sz w:val="18"/>
                      <w:szCs w:val="18"/>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blHeader/>
                <w:jc w:val="center"/>
              </w:trPr>
              <w:tc>
                <w:tcPr>
                  <w:tcW w:w="412" w:type="dxa"/>
                  <w:vMerge w:val="continue"/>
                  <w:noWrap w:val="0"/>
                  <w:vAlign w:val="center"/>
                </w:tcPr>
                <w:p>
                  <w:pPr>
                    <w:adjustRightInd w:val="0"/>
                    <w:snapToGrid w:val="0"/>
                    <w:spacing w:line="280" w:lineRule="exact"/>
                    <w:jc w:val="center"/>
                    <w:rPr>
                      <w:b/>
                      <w:bCs/>
                      <w:color w:val="auto"/>
                      <w:sz w:val="18"/>
                      <w:szCs w:val="18"/>
                    </w:rPr>
                  </w:pPr>
                </w:p>
              </w:tc>
              <w:tc>
                <w:tcPr>
                  <w:tcW w:w="929" w:type="dxa"/>
                  <w:vMerge w:val="continue"/>
                  <w:noWrap w:val="0"/>
                  <w:vAlign w:val="center"/>
                </w:tcPr>
                <w:p>
                  <w:pPr>
                    <w:adjustRightInd w:val="0"/>
                    <w:snapToGrid w:val="0"/>
                    <w:spacing w:line="280" w:lineRule="exact"/>
                    <w:jc w:val="center"/>
                    <w:rPr>
                      <w:b/>
                      <w:bCs/>
                      <w:color w:val="auto"/>
                      <w:sz w:val="18"/>
                      <w:szCs w:val="18"/>
                    </w:rPr>
                  </w:pPr>
                </w:p>
              </w:tc>
              <w:tc>
                <w:tcPr>
                  <w:tcW w:w="482" w:type="dxa"/>
                  <w:vMerge w:val="continue"/>
                  <w:noWrap w:val="0"/>
                  <w:vAlign w:val="center"/>
                </w:tcPr>
                <w:p>
                  <w:pPr>
                    <w:adjustRightInd w:val="0"/>
                    <w:snapToGrid w:val="0"/>
                    <w:spacing w:line="280" w:lineRule="exact"/>
                    <w:jc w:val="center"/>
                    <w:rPr>
                      <w:b/>
                      <w:bCs/>
                      <w:color w:val="auto"/>
                      <w:sz w:val="18"/>
                      <w:szCs w:val="18"/>
                    </w:rPr>
                  </w:pPr>
                </w:p>
              </w:tc>
              <w:tc>
                <w:tcPr>
                  <w:tcW w:w="958" w:type="dxa"/>
                  <w:vMerge w:val="continue"/>
                  <w:noWrap w:val="0"/>
                  <w:vAlign w:val="center"/>
                </w:tcPr>
                <w:p>
                  <w:pPr>
                    <w:adjustRightInd w:val="0"/>
                    <w:snapToGrid w:val="0"/>
                    <w:spacing w:line="280" w:lineRule="exact"/>
                    <w:jc w:val="center"/>
                    <w:rPr>
                      <w:b/>
                      <w:bCs/>
                      <w:color w:val="auto"/>
                      <w:sz w:val="18"/>
                      <w:szCs w:val="18"/>
                    </w:rPr>
                  </w:pPr>
                </w:p>
              </w:tc>
              <w:tc>
                <w:tcPr>
                  <w:tcW w:w="928" w:type="dxa"/>
                  <w:vMerge w:val="continue"/>
                  <w:noWrap w:val="0"/>
                  <w:vAlign w:val="center"/>
                </w:tcPr>
                <w:p>
                  <w:pPr>
                    <w:adjustRightInd w:val="0"/>
                    <w:snapToGrid w:val="0"/>
                    <w:spacing w:line="280" w:lineRule="exact"/>
                    <w:jc w:val="center"/>
                    <w:rPr>
                      <w:b/>
                      <w:bCs/>
                      <w:color w:val="auto"/>
                      <w:sz w:val="18"/>
                      <w:szCs w:val="18"/>
                    </w:rPr>
                  </w:pPr>
                </w:p>
              </w:tc>
              <w:tc>
                <w:tcPr>
                  <w:tcW w:w="638" w:type="dxa"/>
                  <w:vMerge w:val="continue"/>
                  <w:noWrap w:val="0"/>
                  <w:vAlign w:val="center"/>
                </w:tcPr>
                <w:p>
                  <w:pPr>
                    <w:adjustRightInd w:val="0"/>
                    <w:snapToGrid w:val="0"/>
                    <w:spacing w:line="280" w:lineRule="exact"/>
                    <w:jc w:val="center"/>
                    <w:rPr>
                      <w:color w:val="auto"/>
                    </w:rPr>
                  </w:pPr>
                </w:p>
              </w:tc>
              <w:tc>
                <w:tcPr>
                  <w:tcW w:w="2066" w:type="dxa"/>
                  <w:noWrap w:val="0"/>
                  <w:vAlign w:val="center"/>
                </w:tcPr>
                <w:p>
                  <w:pPr>
                    <w:adjustRightInd w:val="0"/>
                    <w:snapToGrid w:val="0"/>
                    <w:spacing w:line="280" w:lineRule="exact"/>
                    <w:jc w:val="center"/>
                    <w:rPr>
                      <w:b/>
                      <w:bCs/>
                      <w:color w:val="auto"/>
                      <w:sz w:val="18"/>
                      <w:szCs w:val="18"/>
                    </w:rPr>
                  </w:pPr>
                  <w:r>
                    <w:rPr>
                      <w:b/>
                      <w:bCs/>
                      <w:color w:val="auto"/>
                      <w:sz w:val="18"/>
                      <w:szCs w:val="18"/>
                    </w:rPr>
                    <w:t>名称</w:t>
                  </w:r>
                </w:p>
              </w:tc>
              <w:tc>
                <w:tcPr>
                  <w:tcW w:w="1012" w:type="dxa"/>
                  <w:noWrap w:val="0"/>
                  <w:vAlign w:val="center"/>
                </w:tcPr>
                <w:p>
                  <w:pPr>
                    <w:adjustRightInd w:val="0"/>
                    <w:snapToGrid w:val="0"/>
                    <w:spacing w:line="280" w:lineRule="exact"/>
                    <w:jc w:val="center"/>
                    <w:rPr>
                      <w:b/>
                      <w:bCs/>
                      <w:color w:val="auto"/>
                      <w:sz w:val="18"/>
                      <w:szCs w:val="18"/>
                    </w:rPr>
                  </w:pPr>
                  <w:r>
                    <w:rPr>
                      <w:b/>
                      <w:bCs/>
                      <w:color w:val="auto"/>
                      <w:sz w:val="18"/>
                      <w:szCs w:val="18"/>
                    </w:rPr>
                    <w:t>浓度限值</w:t>
                  </w:r>
                </w:p>
                <w:p>
                  <w:pPr>
                    <w:adjustRightInd w:val="0"/>
                    <w:snapToGrid w:val="0"/>
                    <w:spacing w:line="280" w:lineRule="exact"/>
                    <w:jc w:val="center"/>
                    <w:rPr>
                      <w:b/>
                      <w:bCs/>
                      <w:color w:val="auto"/>
                      <w:sz w:val="18"/>
                      <w:szCs w:val="18"/>
                    </w:rPr>
                  </w:pPr>
                  <w:r>
                    <w:rPr>
                      <w:b/>
                      <w:bCs/>
                      <w:color w:val="auto"/>
                      <w:sz w:val="18"/>
                      <w:szCs w:val="18"/>
                    </w:rPr>
                    <w:t>（mg/Nm</w:t>
                  </w:r>
                  <w:r>
                    <w:rPr>
                      <w:b/>
                      <w:bCs/>
                      <w:color w:val="auto"/>
                      <w:sz w:val="18"/>
                      <w:szCs w:val="18"/>
                      <w:vertAlign w:val="superscript"/>
                    </w:rPr>
                    <w:t>3</w:t>
                  </w:r>
                  <w:r>
                    <w:rPr>
                      <w:b/>
                      <w:bCs/>
                      <w:color w:val="auto"/>
                      <w:sz w:val="18"/>
                      <w:szCs w:val="18"/>
                    </w:rPr>
                    <w:t>）</w:t>
                  </w:r>
                </w:p>
              </w:tc>
              <w:tc>
                <w:tcPr>
                  <w:tcW w:w="515" w:type="dxa"/>
                  <w:vMerge w:val="continue"/>
                  <w:noWrap w:val="0"/>
                  <w:vAlign w:val="center"/>
                </w:tcPr>
                <w:p>
                  <w:pPr>
                    <w:adjustRightInd w:val="0"/>
                    <w:snapToGrid w:val="0"/>
                    <w:spacing w:line="280" w:lineRule="exact"/>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blHeader/>
                <w:jc w:val="center"/>
              </w:trPr>
              <w:tc>
                <w:tcPr>
                  <w:tcW w:w="412" w:type="dxa"/>
                  <w:noWrap w:val="0"/>
                  <w:vAlign w:val="center"/>
                </w:tcPr>
                <w:p>
                  <w:pPr>
                    <w:adjustRightInd w:val="0"/>
                    <w:snapToGrid w:val="0"/>
                    <w:spacing w:line="280" w:lineRule="exact"/>
                    <w:jc w:val="center"/>
                    <w:rPr>
                      <w:color w:val="auto"/>
                      <w:sz w:val="18"/>
                      <w:szCs w:val="18"/>
                    </w:rPr>
                  </w:pPr>
                  <w:r>
                    <w:rPr>
                      <w:rFonts w:hint="eastAsia"/>
                      <w:color w:val="auto"/>
                      <w:sz w:val="18"/>
                      <w:szCs w:val="18"/>
                    </w:rPr>
                    <w:t>1</w:t>
                  </w:r>
                </w:p>
              </w:tc>
              <w:tc>
                <w:tcPr>
                  <w:tcW w:w="929" w:type="dxa"/>
                  <w:noWrap w:val="0"/>
                  <w:vAlign w:val="center"/>
                </w:tcPr>
                <w:p>
                  <w:pPr>
                    <w:adjustRightInd w:val="0"/>
                    <w:snapToGrid w:val="0"/>
                    <w:spacing w:line="280" w:lineRule="exact"/>
                    <w:jc w:val="center"/>
                    <w:rPr>
                      <w:color w:val="auto"/>
                      <w:sz w:val="18"/>
                      <w:szCs w:val="18"/>
                    </w:rPr>
                  </w:pPr>
                  <w:r>
                    <w:rPr>
                      <w:rFonts w:hint="eastAsia"/>
                      <w:color w:val="auto"/>
                      <w:sz w:val="18"/>
                      <w:szCs w:val="18"/>
                    </w:rPr>
                    <w:t>MF0001</w:t>
                  </w:r>
                </w:p>
              </w:tc>
              <w:tc>
                <w:tcPr>
                  <w:tcW w:w="482" w:type="dxa"/>
                  <w:noWrap w:val="0"/>
                  <w:vAlign w:val="center"/>
                </w:tcPr>
                <w:p>
                  <w:pPr>
                    <w:adjustRightInd w:val="0"/>
                    <w:snapToGrid w:val="0"/>
                    <w:spacing w:line="280" w:lineRule="exact"/>
                    <w:jc w:val="center"/>
                    <w:rPr>
                      <w:color w:val="auto"/>
                      <w:sz w:val="18"/>
                      <w:szCs w:val="18"/>
                    </w:rPr>
                  </w:pPr>
                  <w:r>
                    <w:rPr>
                      <w:rFonts w:hint="eastAsia"/>
                      <w:color w:val="auto"/>
                      <w:sz w:val="18"/>
                      <w:szCs w:val="18"/>
                    </w:rPr>
                    <w:t>储存</w:t>
                  </w:r>
                </w:p>
              </w:tc>
              <w:tc>
                <w:tcPr>
                  <w:tcW w:w="958" w:type="dxa"/>
                  <w:noWrap w:val="0"/>
                  <w:vAlign w:val="center"/>
                </w:tcPr>
                <w:p>
                  <w:pPr>
                    <w:adjustRightInd w:val="0"/>
                    <w:snapToGrid w:val="0"/>
                    <w:spacing w:line="280" w:lineRule="exact"/>
                    <w:jc w:val="center"/>
                    <w:rPr>
                      <w:color w:val="auto"/>
                      <w:sz w:val="18"/>
                      <w:szCs w:val="18"/>
                    </w:rPr>
                  </w:pPr>
                  <w:r>
                    <w:rPr>
                      <w:rFonts w:hint="eastAsia"/>
                      <w:color w:val="auto"/>
                      <w:sz w:val="18"/>
                      <w:szCs w:val="18"/>
                    </w:rPr>
                    <w:t>非甲烷总烃</w:t>
                  </w:r>
                </w:p>
              </w:tc>
              <w:tc>
                <w:tcPr>
                  <w:tcW w:w="928" w:type="dxa"/>
                  <w:vMerge w:val="restart"/>
                  <w:noWrap w:val="0"/>
                  <w:vAlign w:val="center"/>
                </w:tcPr>
                <w:p>
                  <w:pPr>
                    <w:adjustRightInd w:val="0"/>
                    <w:snapToGrid w:val="0"/>
                    <w:spacing w:line="280" w:lineRule="exact"/>
                    <w:jc w:val="center"/>
                    <w:rPr>
                      <w:color w:val="auto"/>
                      <w:sz w:val="18"/>
                      <w:szCs w:val="18"/>
                    </w:rPr>
                  </w:pPr>
                  <w:r>
                    <w:rPr>
                      <w:rFonts w:hint="eastAsia"/>
                      <w:color w:val="auto"/>
                      <w:sz w:val="18"/>
                      <w:szCs w:val="18"/>
                    </w:rPr>
                    <w:t>储存间通风换气</w:t>
                  </w:r>
                </w:p>
              </w:tc>
              <w:tc>
                <w:tcPr>
                  <w:tcW w:w="638" w:type="dxa"/>
                  <w:noWrap w:val="0"/>
                  <w:vAlign w:val="center"/>
                </w:tcPr>
                <w:p>
                  <w:pPr>
                    <w:keepNext w:val="0"/>
                    <w:keepLines w:val="0"/>
                    <w:pageBreakBefore w:val="0"/>
                    <w:widowControl w:val="0"/>
                    <w:kinsoku/>
                    <w:wordWrap/>
                    <w:overflowPunct/>
                    <w:topLinePunct w:val="0"/>
                    <w:autoSpaceDE w:val="0"/>
                    <w:autoSpaceDN w:val="0"/>
                    <w:bidi w:val="0"/>
                    <w:snapToGrid w:val="0"/>
                    <w:spacing w:line="260" w:lineRule="exact"/>
                    <w:jc w:val="center"/>
                    <w:textAlignment w:val="auto"/>
                    <w:rPr>
                      <w:color w:val="auto"/>
                    </w:rPr>
                  </w:pPr>
                  <w:r>
                    <w:rPr>
                      <w:rFonts w:hint="eastAsia" w:ascii="Times New Roman" w:hAnsi="Times New Roman" w:cs="Times New Roman"/>
                      <w:color w:val="auto"/>
                      <w:sz w:val="18"/>
                      <w:szCs w:val="18"/>
                      <w:highlight w:val="none"/>
                      <w:lang w:val="en-US" w:eastAsia="zh-CN"/>
                    </w:rPr>
                    <w:t>极少</w:t>
                  </w:r>
                </w:p>
              </w:tc>
              <w:tc>
                <w:tcPr>
                  <w:tcW w:w="2066" w:type="dxa"/>
                  <w:vMerge w:val="restart"/>
                  <w:noWrap w:val="0"/>
                  <w:vAlign w:val="center"/>
                </w:tcPr>
                <w:p>
                  <w:pPr>
                    <w:adjustRightInd w:val="0"/>
                    <w:snapToGrid w:val="0"/>
                    <w:spacing w:line="280" w:lineRule="exact"/>
                    <w:jc w:val="center"/>
                    <w:rPr>
                      <w:color w:val="auto"/>
                      <w:sz w:val="18"/>
                      <w:szCs w:val="18"/>
                    </w:rPr>
                  </w:pPr>
                  <w:r>
                    <w:rPr>
                      <w:color w:val="auto"/>
                      <w:sz w:val="18"/>
                      <w:szCs w:val="18"/>
                    </w:rPr>
                    <w:t>《大气污染物综合排放标准》（GB16297-1996）</w:t>
                  </w:r>
                </w:p>
              </w:tc>
              <w:tc>
                <w:tcPr>
                  <w:tcW w:w="1012" w:type="dxa"/>
                  <w:vMerge w:val="restart"/>
                  <w:noWrap w:val="0"/>
                  <w:vAlign w:val="center"/>
                </w:tcPr>
                <w:p>
                  <w:pPr>
                    <w:adjustRightInd w:val="0"/>
                    <w:snapToGrid w:val="0"/>
                    <w:spacing w:line="280" w:lineRule="exact"/>
                    <w:jc w:val="center"/>
                    <w:rPr>
                      <w:color w:val="auto"/>
                      <w:sz w:val="18"/>
                      <w:szCs w:val="18"/>
                    </w:rPr>
                  </w:pPr>
                  <w:r>
                    <w:rPr>
                      <w:rFonts w:hint="eastAsia"/>
                      <w:color w:val="auto"/>
                      <w:sz w:val="18"/>
                      <w:szCs w:val="18"/>
                    </w:rPr>
                    <w:t>4.0</w:t>
                  </w:r>
                </w:p>
              </w:tc>
              <w:tc>
                <w:tcPr>
                  <w:tcW w:w="515" w:type="dxa"/>
                  <w:noWrap w:val="0"/>
                  <w:vAlign w:val="center"/>
                </w:tcPr>
                <w:p>
                  <w:pPr>
                    <w:adjustRightInd w:val="0"/>
                    <w:snapToGrid w:val="0"/>
                    <w:spacing w:line="280" w:lineRule="exact"/>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12" w:type="dxa"/>
                  <w:noWrap w:val="0"/>
                  <w:vAlign w:val="center"/>
                </w:tcPr>
                <w:p>
                  <w:pPr>
                    <w:adjustRightInd w:val="0"/>
                    <w:snapToGrid w:val="0"/>
                    <w:spacing w:line="280" w:lineRule="exact"/>
                    <w:jc w:val="center"/>
                    <w:rPr>
                      <w:color w:val="auto"/>
                      <w:sz w:val="18"/>
                      <w:szCs w:val="18"/>
                    </w:rPr>
                  </w:pPr>
                  <w:r>
                    <w:rPr>
                      <w:rFonts w:hint="eastAsia"/>
                      <w:color w:val="auto"/>
                      <w:sz w:val="18"/>
                      <w:szCs w:val="18"/>
                    </w:rPr>
                    <w:t>2</w:t>
                  </w:r>
                </w:p>
              </w:tc>
              <w:tc>
                <w:tcPr>
                  <w:tcW w:w="929" w:type="dxa"/>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MF0002</w:t>
                  </w:r>
                </w:p>
              </w:tc>
              <w:tc>
                <w:tcPr>
                  <w:tcW w:w="482" w:type="dxa"/>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装卸</w:t>
                  </w:r>
                </w:p>
              </w:tc>
              <w:tc>
                <w:tcPr>
                  <w:tcW w:w="958" w:type="dxa"/>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非甲烷总烃</w:t>
                  </w:r>
                </w:p>
              </w:tc>
              <w:tc>
                <w:tcPr>
                  <w:tcW w:w="928" w:type="dxa"/>
                  <w:vMerge w:val="continue"/>
                  <w:noWrap w:val="0"/>
                  <w:vAlign w:val="center"/>
                </w:tcPr>
                <w:p>
                  <w:pPr>
                    <w:adjustRightInd w:val="0"/>
                    <w:snapToGrid w:val="0"/>
                    <w:spacing w:line="280" w:lineRule="exact"/>
                    <w:jc w:val="center"/>
                    <w:rPr>
                      <w:rFonts w:hint="eastAsia"/>
                      <w:color w:val="auto"/>
                      <w:sz w:val="18"/>
                      <w:szCs w:val="18"/>
                    </w:rPr>
                  </w:pP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rPr>
                  </w:pPr>
                  <w:r>
                    <w:rPr>
                      <w:rFonts w:hint="eastAsia" w:ascii="Times New Roman" w:hAnsi="Times New Roman" w:cs="Times New Roman"/>
                      <w:color w:val="auto"/>
                      <w:kern w:val="0"/>
                      <w:sz w:val="18"/>
                      <w:szCs w:val="18"/>
                      <w:lang w:val="en-US" w:eastAsia="zh-CN"/>
                    </w:rPr>
                    <w:t>0.2</w:t>
                  </w:r>
                </w:p>
              </w:tc>
              <w:tc>
                <w:tcPr>
                  <w:tcW w:w="2066" w:type="dxa"/>
                  <w:vMerge w:val="continue"/>
                  <w:noWrap w:val="0"/>
                  <w:vAlign w:val="center"/>
                </w:tcPr>
                <w:p>
                  <w:pPr>
                    <w:adjustRightInd w:val="0"/>
                    <w:snapToGrid w:val="0"/>
                    <w:spacing w:line="280" w:lineRule="exact"/>
                    <w:jc w:val="center"/>
                    <w:rPr>
                      <w:color w:val="auto"/>
                      <w:sz w:val="18"/>
                      <w:szCs w:val="18"/>
                    </w:rPr>
                  </w:pPr>
                </w:p>
              </w:tc>
              <w:tc>
                <w:tcPr>
                  <w:tcW w:w="1012" w:type="dxa"/>
                  <w:vMerge w:val="continue"/>
                  <w:noWrap w:val="0"/>
                  <w:vAlign w:val="center"/>
                </w:tcPr>
                <w:p>
                  <w:pPr>
                    <w:adjustRightInd w:val="0"/>
                    <w:snapToGrid w:val="0"/>
                    <w:spacing w:line="280" w:lineRule="exact"/>
                    <w:jc w:val="center"/>
                    <w:rPr>
                      <w:rFonts w:hint="eastAsia"/>
                      <w:color w:val="auto"/>
                      <w:sz w:val="18"/>
                      <w:szCs w:val="18"/>
                    </w:rPr>
                  </w:pPr>
                </w:p>
              </w:tc>
              <w:tc>
                <w:tcPr>
                  <w:tcW w:w="515" w:type="dxa"/>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line="320" w:lineRule="exact"/>
              <w:jc w:val="center"/>
              <w:textAlignment w:val="auto"/>
              <w:rPr>
                <w:rFonts w:hint="eastAsia" w:ascii="Times New Roman" w:hAnsi="Times New Roman" w:eastAsia="黑体" w:cs="Times New Roman"/>
                <w:color w:val="auto"/>
                <w:kern w:val="0"/>
                <w:sz w:val="20"/>
                <w:szCs w:val="20"/>
                <w:lang w:val="en-US" w:eastAsia="zh-CN"/>
              </w:rPr>
            </w:pPr>
            <w:bookmarkStart w:id="5" w:name="NOGROUP"/>
            <w:bookmarkEnd w:id="5"/>
          </w:p>
          <w:p>
            <w:pPr>
              <w:keepNext w:val="0"/>
              <w:keepLines w:val="0"/>
              <w:pageBreakBefore w:val="0"/>
              <w:widowControl w:val="0"/>
              <w:kinsoku/>
              <w:wordWrap/>
              <w:overflowPunct/>
              <w:topLinePunct w:val="0"/>
              <w:autoSpaceDE w:val="0"/>
              <w:autoSpaceDN w:val="0"/>
              <w:bidi w:val="0"/>
              <w:adjustRightInd w:val="0"/>
              <w:snapToGrid w:val="0"/>
              <w:spacing w:before="0" w:beforeLines="50" w:line="320" w:lineRule="exact"/>
              <w:jc w:val="center"/>
              <w:textAlignment w:val="auto"/>
              <w:rPr>
                <w:rFonts w:hint="eastAsia" w:ascii="Times New Roman" w:hAnsi="Times New Roman" w:eastAsia="黑体" w:cs="Times New Roman"/>
                <w:color w:val="auto"/>
                <w:kern w:val="0"/>
                <w:sz w:val="20"/>
                <w:szCs w:val="20"/>
                <w:lang w:val="en-US" w:eastAsia="zh-CN"/>
              </w:rPr>
            </w:pPr>
            <w:r>
              <w:rPr>
                <w:rFonts w:hint="eastAsia"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4</w:t>
            </w:r>
            <w:r>
              <w:rPr>
                <w:rFonts w:hint="eastAsia" w:ascii="Times New Roman" w:hAnsi="Times New Roman" w:eastAsia="黑体" w:cs="Times New Roman"/>
                <w:color w:val="auto"/>
                <w:kern w:val="0"/>
                <w:sz w:val="20"/>
                <w:szCs w:val="20"/>
                <w:lang w:val="en-US" w:eastAsia="zh-CN"/>
              </w:rPr>
              <w:t xml:space="preserve">  大气污染物年排放量核算表</w:t>
            </w:r>
          </w:p>
          <w:tbl>
            <w:tblPr>
              <w:tblStyle w:val="14"/>
              <w:tblW w:w="81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58"/>
              <w:gridCol w:w="1911"/>
              <w:gridCol w:w="1656"/>
              <w:gridCol w:w="1527"/>
              <w:gridCol w:w="17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1" w:hRule="atLeast"/>
                <w:jc w:val="center"/>
              </w:trPr>
              <w:tc>
                <w:tcPr>
                  <w:tcW w:w="1258" w:type="dxa"/>
                  <w:vMerge w:val="restart"/>
                  <w:tcBorders>
                    <w:left w:val="single" w:color="auto" w:sz="0"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序号</w:t>
                  </w:r>
                </w:p>
              </w:tc>
              <w:tc>
                <w:tcPr>
                  <w:tcW w:w="19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污染物</w:t>
                  </w:r>
                </w:p>
              </w:tc>
              <w:tc>
                <w:tcPr>
                  <w:tcW w:w="4950" w:type="dxa"/>
                  <w:gridSpan w:val="3"/>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1" w:hRule="atLeast"/>
                <w:jc w:val="center"/>
              </w:trPr>
              <w:tc>
                <w:tcPr>
                  <w:tcW w:w="1258" w:type="dxa"/>
                  <w:vMerge w:val="continue"/>
                  <w:tcBorders>
                    <w:left w:val="single" w:color="auto" w:sz="0"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sz w:val="18"/>
                      <w:szCs w:val="18"/>
                      <w:lang w:val="en-US" w:eastAsia="zh-CN"/>
                    </w:rPr>
                  </w:pPr>
                </w:p>
              </w:tc>
              <w:tc>
                <w:tcPr>
                  <w:tcW w:w="19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sz w:val="18"/>
                      <w:szCs w:val="18"/>
                      <w:lang w:val="en-US" w:eastAsia="zh-CN"/>
                    </w:rPr>
                  </w:pPr>
                </w:p>
              </w:tc>
              <w:tc>
                <w:tcPr>
                  <w:tcW w:w="1656"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有组织</w:t>
                  </w:r>
                </w:p>
              </w:tc>
              <w:tc>
                <w:tcPr>
                  <w:tcW w:w="1527"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无组织</w:t>
                  </w:r>
                </w:p>
              </w:tc>
              <w:tc>
                <w:tcPr>
                  <w:tcW w:w="1767"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25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1911"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8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非甲烷总烃</w:t>
                  </w:r>
                </w:p>
              </w:tc>
              <w:tc>
                <w:tcPr>
                  <w:tcW w:w="1656"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pacing w:val="-6"/>
                      <w:kern w:val="0"/>
                      <w:sz w:val="18"/>
                      <w:szCs w:val="18"/>
                      <w:highlight w:val="none"/>
                      <w:lang w:val="en-US" w:eastAsia="zh-CN"/>
                    </w:rPr>
                    <w:t>/</w:t>
                  </w:r>
                </w:p>
              </w:tc>
              <w:tc>
                <w:tcPr>
                  <w:tcW w:w="1527"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w:t>
                  </w:r>
                </w:p>
              </w:tc>
              <w:tc>
                <w:tcPr>
                  <w:tcW w:w="1767"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6"/>
                      <w:kern w:val="0"/>
                      <w:sz w:val="18"/>
                      <w:szCs w:val="18"/>
                      <w:highlight w:val="none"/>
                      <w:lang w:val="en-US" w:eastAsia="zh-CN"/>
                    </w:rPr>
                    <w:t>0.2</w:t>
                  </w:r>
                </w:p>
              </w:tc>
            </w:tr>
          </w:tbl>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w:t>
            </w:r>
            <w:r>
              <w:rPr>
                <w:rFonts w:hint="eastAsia"/>
                <w:b/>
                <w:bCs/>
                <w:color w:val="auto"/>
                <w:szCs w:val="21"/>
                <w:lang w:val="en-US" w:eastAsia="zh-CN"/>
              </w:rPr>
              <w:t>4</w:t>
            </w:r>
            <w:r>
              <w:rPr>
                <w:b/>
                <w:bCs/>
                <w:color w:val="auto"/>
                <w:szCs w:val="21"/>
              </w:rPr>
              <w:t>）监测要求</w:t>
            </w:r>
          </w:p>
          <w:p>
            <w:pPr>
              <w:adjustRightInd w:val="0"/>
              <w:snapToGrid w:val="0"/>
              <w:spacing w:line="400" w:lineRule="exact"/>
              <w:ind w:left="-53" w:leftChars="-25" w:right="-53" w:rightChars="-25" w:firstLine="420" w:firstLineChars="200"/>
              <w:jc w:val="left"/>
              <w:rPr>
                <w:color w:val="auto"/>
                <w:szCs w:val="21"/>
              </w:rPr>
            </w:pPr>
            <w:r>
              <w:rPr>
                <w:color w:val="auto"/>
                <w:szCs w:val="21"/>
              </w:rPr>
              <w:t>根据《排污单位自行监测技术指南 总则》（HJ819-2017）文件，并结合本项目污染物的特点，制定营运期</w:t>
            </w:r>
            <w:r>
              <w:rPr>
                <w:rFonts w:hint="eastAsia"/>
                <w:color w:val="auto"/>
                <w:szCs w:val="21"/>
              </w:rPr>
              <w:t>废气</w:t>
            </w:r>
            <w:r>
              <w:rPr>
                <w:color w:val="auto"/>
                <w:szCs w:val="21"/>
              </w:rPr>
              <w:t xml:space="preserve">监测计划见下表。 </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-5</w:t>
            </w:r>
            <w:r>
              <w:rPr>
                <w:rFonts w:hint="default" w:ascii="Times New Roman" w:hAnsi="Times New Roman" w:eastAsia="黑体" w:cs="Times New Roman"/>
                <w:color w:val="auto"/>
                <w:kern w:val="0"/>
                <w:sz w:val="20"/>
                <w:szCs w:val="20"/>
                <w:lang w:val="en-US" w:eastAsia="zh-CN"/>
              </w:rPr>
              <w:t xml:space="preserve">  营运期监测计划</w:t>
            </w:r>
          </w:p>
          <w:tbl>
            <w:tblPr>
              <w:tblStyle w:val="15"/>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054"/>
              <w:gridCol w:w="1443"/>
              <w:gridCol w:w="1743"/>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32"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监测项目</w:t>
                  </w:r>
                </w:p>
              </w:tc>
              <w:tc>
                <w:tcPr>
                  <w:tcW w:w="2054"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监测点位</w:t>
                  </w:r>
                </w:p>
              </w:tc>
              <w:tc>
                <w:tcPr>
                  <w:tcW w:w="1443"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监测因子</w:t>
                  </w:r>
                </w:p>
              </w:tc>
              <w:tc>
                <w:tcPr>
                  <w:tcW w:w="1743"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监测频次</w:t>
                  </w:r>
                </w:p>
              </w:tc>
              <w:tc>
                <w:tcPr>
                  <w:tcW w:w="1425"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32" w:type="dxa"/>
                  <w:noWrap w:val="0"/>
                  <w:vAlign w:val="center"/>
                </w:tcPr>
                <w:p>
                  <w:pPr>
                    <w:autoSpaceDE w:val="0"/>
                    <w:autoSpaceDN w:val="0"/>
                    <w:adjustRightInd w:val="0"/>
                    <w:spacing w:line="280" w:lineRule="exact"/>
                    <w:ind w:left="-210" w:leftChars="-100" w:right="-105" w:rightChars="-50"/>
                    <w:jc w:val="center"/>
                    <w:rPr>
                      <w:bCs/>
                      <w:color w:val="auto"/>
                      <w:sz w:val="18"/>
                      <w:szCs w:val="18"/>
                    </w:rPr>
                  </w:pPr>
                  <w:r>
                    <w:rPr>
                      <w:bCs/>
                      <w:color w:val="auto"/>
                      <w:sz w:val="18"/>
                      <w:szCs w:val="18"/>
                    </w:rPr>
                    <w:t>废气</w:t>
                  </w:r>
                </w:p>
              </w:tc>
              <w:tc>
                <w:tcPr>
                  <w:tcW w:w="2054" w:type="dxa"/>
                  <w:noWrap w:val="0"/>
                  <w:vAlign w:val="center"/>
                </w:tcPr>
                <w:p>
                  <w:pPr>
                    <w:autoSpaceDE w:val="0"/>
                    <w:autoSpaceDN w:val="0"/>
                    <w:adjustRightInd w:val="0"/>
                    <w:spacing w:line="280" w:lineRule="exact"/>
                    <w:jc w:val="center"/>
                    <w:rPr>
                      <w:bCs/>
                      <w:color w:val="auto"/>
                      <w:sz w:val="18"/>
                      <w:szCs w:val="18"/>
                    </w:rPr>
                  </w:pPr>
                  <w:r>
                    <w:rPr>
                      <w:bCs/>
                      <w:color w:val="auto"/>
                      <w:sz w:val="18"/>
                      <w:szCs w:val="18"/>
                    </w:rPr>
                    <w:t>厂界无组织废气</w:t>
                  </w:r>
                </w:p>
              </w:tc>
              <w:tc>
                <w:tcPr>
                  <w:tcW w:w="1443" w:type="dxa"/>
                  <w:noWrap w:val="0"/>
                  <w:vAlign w:val="center"/>
                </w:tcPr>
                <w:p>
                  <w:pPr>
                    <w:autoSpaceDE w:val="0"/>
                    <w:autoSpaceDN w:val="0"/>
                    <w:adjustRightInd w:val="0"/>
                    <w:spacing w:line="280" w:lineRule="exact"/>
                    <w:jc w:val="center"/>
                    <w:rPr>
                      <w:bCs/>
                      <w:color w:val="auto"/>
                      <w:sz w:val="18"/>
                      <w:szCs w:val="18"/>
                      <w:lang w:val="zh-CN"/>
                    </w:rPr>
                  </w:pPr>
                  <w:r>
                    <w:rPr>
                      <w:bCs/>
                      <w:color w:val="auto"/>
                      <w:sz w:val="18"/>
                      <w:szCs w:val="18"/>
                    </w:rPr>
                    <w:t>非甲烷总烃</w:t>
                  </w:r>
                </w:p>
              </w:tc>
              <w:tc>
                <w:tcPr>
                  <w:tcW w:w="1743" w:type="dxa"/>
                  <w:noWrap w:val="0"/>
                  <w:vAlign w:val="center"/>
                </w:tcPr>
                <w:p>
                  <w:pPr>
                    <w:autoSpaceDE w:val="0"/>
                    <w:autoSpaceDN w:val="0"/>
                    <w:adjustRightInd w:val="0"/>
                    <w:spacing w:line="280" w:lineRule="exact"/>
                    <w:jc w:val="center"/>
                    <w:rPr>
                      <w:bCs/>
                      <w:color w:val="auto"/>
                      <w:sz w:val="18"/>
                      <w:szCs w:val="18"/>
                    </w:rPr>
                  </w:pPr>
                  <w:r>
                    <w:rPr>
                      <w:bCs/>
                      <w:color w:val="auto"/>
                      <w:sz w:val="18"/>
                      <w:szCs w:val="18"/>
                    </w:rPr>
                    <w:t>1天（每天3次）</w:t>
                  </w:r>
                </w:p>
              </w:tc>
              <w:tc>
                <w:tcPr>
                  <w:tcW w:w="1425" w:type="dxa"/>
                  <w:noWrap w:val="0"/>
                  <w:vAlign w:val="center"/>
                </w:tcPr>
                <w:p>
                  <w:pPr>
                    <w:autoSpaceDE w:val="0"/>
                    <w:autoSpaceDN w:val="0"/>
                    <w:adjustRightInd w:val="0"/>
                    <w:spacing w:line="280" w:lineRule="exact"/>
                    <w:jc w:val="center"/>
                    <w:rPr>
                      <w:bCs/>
                      <w:color w:val="auto"/>
                      <w:sz w:val="18"/>
                      <w:szCs w:val="18"/>
                    </w:rPr>
                  </w:pPr>
                  <w:r>
                    <w:rPr>
                      <w:bCs/>
                      <w:color w:val="auto"/>
                      <w:sz w:val="18"/>
                      <w:szCs w:val="18"/>
                    </w:rPr>
                    <w:t>每年1次</w:t>
                  </w:r>
                </w:p>
              </w:tc>
            </w:tr>
          </w:tbl>
          <w:p>
            <w:pPr>
              <w:adjustRightInd w:val="0"/>
              <w:snapToGrid w:val="0"/>
              <w:spacing w:line="400" w:lineRule="exact"/>
              <w:ind w:left="-53" w:leftChars="-25" w:right="-53" w:rightChars="-25" w:firstLine="422" w:firstLineChars="200"/>
              <w:jc w:val="left"/>
              <w:rPr>
                <w:b/>
                <w:bCs/>
                <w:color w:val="auto"/>
                <w:szCs w:val="21"/>
                <w:lang w:val="zh-CN"/>
              </w:rPr>
            </w:pPr>
            <w:r>
              <w:rPr>
                <w:b/>
                <w:bCs/>
                <w:color w:val="auto"/>
                <w:szCs w:val="21"/>
                <w:lang w:val="zh-CN"/>
              </w:rPr>
              <w:t>（</w:t>
            </w:r>
            <w:r>
              <w:rPr>
                <w:rFonts w:hint="eastAsia"/>
                <w:b/>
                <w:bCs/>
                <w:color w:val="auto"/>
                <w:szCs w:val="21"/>
                <w:lang w:val="en-US" w:eastAsia="zh-CN"/>
              </w:rPr>
              <w:t>5</w:t>
            </w:r>
            <w:r>
              <w:rPr>
                <w:b/>
                <w:bCs/>
                <w:color w:val="auto"/>
                <w:szCs w:val="21"/>
                <w:lang w:val="zh-CN"/>
              </w:rPr>
              <w:t>）非正常排放情况</w:t>
            </w:r>
          </w:p>
          <w:p>
            <w:pPr>
              <w:adjustRightInd w:val="0"/>
              <w:snapToGrid w:val="0"/>
              <w:spacing w:line="400" w:lineRule="exact"/>
              <w:ind w:left="-53" w:leftChars="-25" w:right="-53" w:rightChars="-25" w:firstLine="420" w:firstLineChars="200"/>
              <w:jc w:val="left"/>
              <w:rPr>
                <w:color w:val="auto"/>
                <w:kern w:val="0"/>
                <w:szCs w:val="21"/>
              </w:rPr>
            </w:pPr>
            <w:r>
              <w:rPr>
                <w:rFonts w:hint="eastAsia"/>
                <w:color w:val="auto"/>
                <w:kern w:val="0"/>
                <w:szCs w:val="21"/>
              </w:rPr>
              <w:t>本</w:t>
            </w:r>
            <w:r>
              <w:rPr>
                <w:color w:val="auto"/>
                <w:kern w:val="0"/>
                <w:szCs w:val="21"/>
              </w:rPr>
              <w:t>项目不会出现废气非正常排放的情况。</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6</w:t>
            </w:r>
            <w:r>
              <w:rPr>
                <w:rFonts w:hint="default" w:ascii="Times New Roman" w:hAnsi="Times New Roman" w:eastAsia="黑体" w:cs="Times New Roman"/>
                <w:color w:val="auto"/>
                <w:kern w:val="0"/>
                <w:sz w:val="20"/>
                <w:szCs w:val="20"/>
                <w:lang w:val="en-US" w:eastAsia="zh-CN"/>
              </w:rPr>
              <w:t xml:space="preserve">  污染源非正常排放量核算表</w:t>
            </w:r>
          </w:p>
          <w:tbl>
            <w:tblPr>
              <w:tblStyle w:val="14"/>
              <w:tblW w:w="8036" w:type="dxa"/>
              <w:jc w:val="center"/>
              <w:tblLayout w:type="fixed"/>
              <w:tblCellMar>
                <w:top w:w="0" w:type="dxa"/>
                <w:left w:w="28" w:type="dxa"/>
                <w:bottom w:w="0" w:type="dxa"/>
                <w:right w:w="28" w:type="dxa"/>
              </w:tblCellMar>
            </w:tblPr>
            <w:tblGrid>
              <w:gridCol w:w="433"/>
              <w:gridCol w:w="990"/>
              <w:gridCol w:w="1020"/>
              <w:gridCol w:w="726"/>
              <w:gridCol w:w="1149"/>
              <w:gridCol w:w="1198"/>
              <w:gridCol w:w="897"/>
              <w:gridCol w:w="1014"/>
              <w:gridCol w:w="609"/>
            </w:tblGrid>
            <w:tr>
              <w:trPr>
                <w:trHeight w:val="591"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序号</w:t>
                  </w:r>
                </w:p>
              </w:tc>
              <w:tc>
                <w:tcPr>
                  <w:tcW w:w="990"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污染源</w:t>
                  </w:r>
                </w:p>
              </w:tc>
              <w:tc>
                <w:tcPr>
                  <w:tcW w:w="1020"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非正常排放原因</w:t>
                  </w:r>
                </w:p>
              </w:tc>
              <w:tc>
                <w:tcPr>
                  <w:tcW w:w="726"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污染物</w:t>
                  </w:r>
                </w:p>
              </w:tc>
              <w:tc>
                <w:tcPr>
                  <w:tcW w:w="1149"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非正常排放浓度/(mg/m</w:t>
                  </w:r>
                  <w:r>
                    <w:rPr>
                      <w:rFonts w:ascii="Times New Roman" w:hAnsi="Times New Roman"/>
                      <w:b/>
                      <w:bCs/>
                      <w:color w:val="auto"/>
                      <w:sz w:val="18"/>
                      <w:szCs w:val="18"/>
                      <w:vertAlign w:val="superscript"/>
                    </w:rPr>
                    <w:t>3</w:t>
                  </w:r>
                  <w:r>
                    <w:rPr>
                      <w:rFonts w:ascii="Times New Roman" w:hAnsi="Times New Roman"/>
                      <w:b/>
                      <w:bCs/>
                      <w:color w:val="auto"/>
                      <w:sz w:val="18"/>
                      <w:szCs w:val="18"/>
                    </w:rPr>
                    <w:t>)</w:t>
                  </w:r>
                </w:p>
              </w:tc>
              <w:tc>
                <w:tcPr>
                  <w:tcW w:w="1198"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非正常排放速率/(kg/h）</w:t>
                  </w:r>
                </w:p>
              </w:tc>
              <w:tc>
                <w:tcPr>
                  <w:tcW w:w="897"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单次持续时间/h</w:t>
                  </w:r>
                </w:p>
              </w:tc>
              <w:tc>
                <w:tcPr>
                  <w:tcW w:w="1014"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年发生频次</w:t>
                  </w:r>
                  <w:r>
                    <w:rPr>
                      <w:rFonts w:ascii="Times New Roman" w:hAnsi="Times New Roman"/>
                      <w:b/>
                      <w:bCs/>
                      <w:color w:val="auto"/>
                      <w:sz w:val="18"/>
                      <w:szCs w:val="18"/>
                    </w:rPr>
                    <w:br w:type="textWrapping"/>
                  </w:r>
                  <w:r>
                    <w:rPr>
                      <w:rFonts w:ascii="Times New Roman" w:hAnsi="Times New Roman"/>
                      <w:b/>
                      <w:bCs/>
                      <w:color w:val="auto"/>
                      <w:sz w:val="18"/>
                      <w:szCs w:val="18"/>
                    </w:rPr>
                    <w:t>/次</w:t>
                  </w:r>
                </w:p>
              </w:tc>
              <w:tc>
                <w:tcPr>
                  <w:tcW w:w="609"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b/>
                      <w:bCs/>
                      <w:color w:val="auto"/>
                      <w:sz w:val="18"/>
                      <w:szCs w:val="18"/>
                    </w:rPr>
                    <w:t>应对</w:t>
                  </w:r>
                  <w:r>
                    <w:rPr>
                      <w:rFonts w:ascii="Times New Roman" w:hAnsi="Times New Roman"/>
                      <w:b/>
                      <w:bCs/>
                      <w:color w:val="auto"/>
                      <w:sz w:val="18"/>
                      <w:szCs w:val="18"/>
                    </w:rPr>
                    <w:br w:type="textWrapping"/>
                  </w:r>
                  <w:r>
                    <w:rPr>
                      <w:rFonts w:ascii="Times New Roman" w:hAnsi="Times New Roman"/>
                      <w:b/>
                      <w:bCs/>
                      <w:color w:val="auto"/>
                      <w:sz w:val="18"/>
                      <w:szCs w:val="18"/>
                    </w:rPr>
                    <w:t>措施</w:t>
                  </w:r>
                </w:p>
              </w:tc>
            </w:tr>
            <w:tr>
              <w:trPr>
                <w:trHeight w:val="311"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1</w:t>
                  </w:r>
                </w:p>
              </w:tc>
              <w:tc>
                <w:tcPr>
                  <w:tcW w:w="990"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生产车间</w:t>
                  </w:r>
                </w:p>
              </w:tc>
              <w:tc>
                <w:tcPr>
                  <w:tcW w:w="1020"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不会出现</w:t>
                  </w:r>
                </w:p>
              </w:tc>
              <w:tc>
                <w:tcPr>
                  <w:tcW w:w="726"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1149"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1198"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897"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1014"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609" w:type="dxa"/>
                  <w:tcBorders>
                    <w:top w:val="single" w:color="auto" w:sz="4" w:space="0"/>
                    <w:left w:val="nil"/>
                    <w:bottom w:val="single" w:color="auto" w:sz="4" w:space="0"/>
                    <w:right w:val="single" w:color="auto" w:sz="4" w:space="0"/>
                  </w:tcBorders>
                  <w:shd w:val="clear" w:color="auto" w:fill="FFFFFF"/>
                  <w:noWrap w:val="0"/>
                  <w:vAlign w:val="center"/>
                </w:tcPr>
                <w:p>
                  <w:pPr>
                    <w:pStyle w:val="27"/>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r>
          </w:tbl>
          <w:p>
            <w:pPr>
              <w:adjustRightInd w:val="0"/>
              <w:snapToGrid w:val="0"/>
              <w:spacing w:line="400" w:lineRule="exact"/>
              <w:ind w:left="-53" w:leftChars="-25" w:right="-53" w:rightChars="-25" w:firstLine="422" w:firstLineChars="200"/>
              <w:jc w:val="left"/>
              <w:rPr>
                <w:b/>
                <w:bCs/>
                <w:color w:val="auto"/>
                <w:szCs w:val="21"/>
                <w:lang w:val="zh-CN"/>
              </w:rPr>
            </w:pPr>
            <w:r>
              <w:rPr>
                <w:b/>
                <w:bCs/>
                <w:color w:val="auto"/>
                <w:szCs w:val="21"/>
                <w:lang w:val="zh-CN"/>
              </w:rPr>
              <w:t>（</w:t>
            </w:r>
            <w:r>
              <w:rPr>
                <w:rFonts w:hint="eastAsia"/>
                <w:b/>
                <w:bCs/>
                <w:color w:val="auto"/>
                <w:szCs w:val="21"/>
                <w:lang w:val="en-US" w:eastAsia="zh-CN"/>
              </w:rPr>
              <w:t>6</w:t>
            </w:r>
            <w:r>
              <w:rPr>
                <w:b/>
                <w:bCs/>
                <w:color w:val="auto"/>
                <w:szCs w:val="21"/>
                <w:lang w:val="zh-CN"/>
              </w:rPr>
              <w:t>）环境影响</w:t>
            </w:r>
          </w:p>
          <w:p>
            <w:pPr>
              <w:adjustRightInd w:val="0"/>
              <w:snapToGrid w:val="0"/>
              <w:spacing w:line="400" w:lineRule="exact"/>
              <w:ind w:left="-53" w:leftChars="-25" w:right="-53" w:rightChars="-25" w:firstLine="420" w:firstLineChars="200"/>
              <w:jc w:val="left"/>
              <w:rPr>
                <w:color w:val="auto"/>
                <w:kern w:val="0"/>
                <w:szCs w:val="21"/>
              </w:rPr>
            </w:pPr>
            <w:r>
              <w:rPr>
                <w:color w:val="auto"/>
                <w:kern w:val="0"/>
                <w:szCs w:val="21"/>
              </w:rPr>
              <w:t>本项目</w:t>
            </w:r>
            <w:r>
              <w:rPr>
                <w:color w:val="auto"/>
                <w:szCs w:val="21"/>
                <w:lang w:val="zh-CN"/>
              </w:rPr>
              <w:t>废气</w:t>
            </w:r>
            <w:r>
              <w:rPr>
                <w:color w:val="auto"/>
                <w:kern w:val="0"/>
                <w:szCs w:val="21"/>
              </w:rPr>
              <w:t>污染物主要为挥发性有机物，通过采取加强车间通风换气、规范操作流程等防治措施，能够有效降低废气污染物的排放量，对周围环境的污染影响较小，对所在区域大气环境影响程度为可以接受的影响程度。</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2、废水</w:t>
            </w:r>
          </w:p>
          <w:p>
            <w:pPr>
              <w:autoSpaceDE w:val="0"/>
              <w:autoSpaceDN w:val="0"/>
              <w:adjustRightInd w:val="0"/>
              <w:snapToGrid w:val="0"/>
              <w:spacing w:line="400" w:lineRule="exact"/>
              <w:ind w:firstLine="422" w:firstLineChars="200"/>
              <w:jc w:val="left"/>
              <w:rPr>
                <w:b/>
                <w:color w:val="auto"/>
                <w:kern w:val="0"/>
                <w:szCs w:val="21"/>
              </w:rPr>
            </w:pPr>
            <w:r>
              <w:rPr>
                <w:b/>
                <w:color w:val="auto"/>
                <w:kern w:val="0"/>
                <w:szCs w:val="21"/>
              </w:rPr>
              <w:t>（1）产排污环节及产生量</w:t>
            </w:r>
          </w:p>
          <w:p>
            <w:pPr>
              <w:spacing w:line="400" w:lineRule="exact"/>
              <w:ind w:firstLine="420" w:firstLineChars="200"/>
              <w:rPr>
                <w:color w:val="auto"/>
                <w:szCs w:val="21"/>
              </w:rPr>
            </w:pPr>
            <w:r>
              <w:rPr>
                <w:color w:val="auto"/>
                <w:szCs w:val="21"/>
              </w:rPr>
              <w:t>本项目</w:t>
            </w:r>
            <w:r>
              <w:rPr>
                <w:rFonts w:hint="eastAsia"/>
                <w:color w:val="auto"/>
                <w:szCs w:val="21"/>
                <w:lang w:eastAsia="zh-CN"/>
              </w:rPr>
              <w:t>废矿物油</w:t>
            </w:r>
            <w:r>
              <w:rPr>
                <w:color w:val="auto"/>
                <w:szCs w:val="21"/>
              </w:rPr>
              <w:t>储存间无需冲洗。营运期废水主要为生活污水。</w:t>
            </w:r>
          </w:p>
          <w:p>
            <w:pPr>
              <w:spacing w:line="400" w:lineRule="exact"/>
              <w:ind w:firstLine="420" w:firstLineChars="200"/>
              <w:rPr>
                <w:color w:val="auto"/>
                <w:szCs w:val="21"/>
                <w:lang w:val="zh-CN"/>
              </w:rPr>
            </w:pPr>
            <w:r>
              <w:rPr>
                <w:color w:val="auto"/>
                <w:szCs w:val="21"/>
              </w:rPr>
              <w:t>项目生活污水主要为办公、生活区的废水。本项目在厂内生活的员工数为</w:t>
            </w:r>
            <w:r>
              <w:rPr>
                <w:rFonts w:hint="eastAsia"/>
                <w:color w:val="auto"/>
                <w:szCs w:val="21"/>
                <w:lang w:val="en-US" w:eastAsia="zh-CN"/>
              </w:rPr>
              <w:t>4</w:t>
            </w:r>
            <w:r>
              <w:rPr>
                <w:color w:val="auto"/>
                <w:szCs w:val="21"/>
              </w:rPr>
              <w:t>人，均在</w:t>
            </w:r>
            <w:r>
              <w:rPr>
                <w:color w:val="auto"/>
                <w:szCs w:val="21"/>
                <w:lang w:val="zh-CN"/>
              </w:rPr>
              <w:t>厂区住宿，其</w:t>
            </w:r>
            <w:r>
              <w:rPr>
                <w:color w:val="auto"/>
                <w:szCs w:val="21"/>
              </w:rPr>
              <w:t>用水量按120L/人·d计，则项目生活用水量为0.</w:t>
            </w:r>
            <w:r>
              <w:rPr>
                <w:rFonts w:hint="eastAsia"/>
                <w:color w:val="auto"/>
                <w:szCs w:val="21"/>
                <w:lang w:val="en-US" w:eastAsia="zh-CN"/>
              </w:rPr>
              <w:t>48</w:t>
            </w:r>
            <w:r>
              <w:rPr>
                <w:color w:val="auto"/>
                <w:szCs w:val="21"/>
                <w:lang w:val="zh-CN"/>
              </w:rPr>
              <w:t>m</w:t>
            </w:r>
            <w:r>
              <w:rPr>
                <w:color w:val="auto"/>
                <w:szCs w:val="21"/>
                <w:vertAlign w:val="superscript"/>
                <w:lang w:val="zh-CN"/>
              </w:rPr>
              <w:t>3</w:t>
            </w:r>
            <w:r>
              <w:rPr>
                <w:color w:val="auto"/>
                <w:szCs w:val="21"/>
                <w:lang w:val="zh-CN"/>
              </w:rPr>
              <w:t>/d（</w:t>
            </w:r>
            <w:r>
              <w:rPr>
                <w:rFonts w:hint="eastAsia"/>
                <w:color w:val="auto"/>
                <w:szCs w:val="21"/>
                <w:lang w:val="en-US" w:eastAsia="zh-CN"/>
              </w:rPr>
              <w:t>168</w:t>
            </w:r>
            <w:r>
              <w:rPr>
                <w:color w:val="auto"/>
                <w:szCs w:val="21"/>
                <w:lang w:val="zh-CN"/>
              </w:rPr>
              <w:t>m</w:t>
            </w:r>
            <w:r>
              <w:rPr>
                <w:color w:val="auto"/>
                <w:szCs w:val="21"/>
                <w:vertAlign w:val="superscript"/>
                <w:lang w:val="zh-CN"/>
              </w:rPr>
              <w:t>3</w:t>
            </w:r>
            <w:r>
              <w:rPr>
                <w:color w:val="auto"/>
                <w:szCs w:val="21"/>
                <w:lang w:val="zh-CN"/>
              </w:rPr>
              <w:t>/a）。</w:t>
            </w:r>
            <w:r>
              <w:rPr>
                <w:color w:val="auto"/>
                <w:szCs w:val="21"/>
              </w:rPr>
              <w:t>生活用水</w:t>
            </w:r>
            <w:r>
              <w:rPr>
                <w:color w:val="auto"/>
                <w:szCs w:val="21"/>
                <w:lang w:val="zh-CN"/>
              </w:rPr>
              <w:t>产污系数按</w:t>
            </w:r>
            <w:r>
              <w:rPr>
                <w:color w:val="auto"/>
                <w:szCs w:val="21"/>
              </w:rPr>
              <w:t>0.9</w:t>
            </w:r>
            <w:r>
              <w:rPr>
                <w:color w:val="auto"/>
                <w:szCs w:val="21"/>
                <w:lang w:val="zh-CN"/>
              </w:rPr>
              <w:t>计，则项目生活污水产生量为</w:t>
            </w:r>
            <w:r>
              <w:rPr>
                <w:color w:val="auto"/>
                <w:szCs w:val="21"/>
              </w:rPr>
              <w:t>0.</w:t>
            </w:r>
            <w:r>
              <w:rPr>
                <w:rFonts w:hint="eastAsia"/>
                <w:color w:val="auto"/>
                <w:szCs w:val="21"/>
                <w:lang w:val="en-US" w:eastAsia="zh-CN"/>
              </w:rPr>
              <w:t>43</w:t>
            </w:r>
            <w:r>
              <w:rPr>
                <w:color w:val="auto"/>
                <w:szCs w:val="21"/>
                <w:lang w:val="zh-CN"/>
              </w:rPr>
              <w:t>m</w:t>
            </w:r>
            <w:r>
              <w:rPr>
                <w:color w:val="auto"/>
                <w:szCs w:val="21"/>
                <w:vertAlign w:val="superscript"/>
                <w:lang w:val="zh-CN"/>
              </w:rPr>
              <w:t>3</w:t>
            </w:r>
            <w:r>
              <w:rPr>
                <w:color w:val="auto"/>
                <w:szCs w:val="21"/>
                <w:lang w:val="zh-CN"/>
              </w:rPr>
              <w:t>/d（</w:t>
            </w:r>
            <w:r>
              <w:rPr>
                <w:rFonts w:hint="eastAsia"/>
                <w:color w:val="auto"/>
                <w:szCs w:val="21"/>
                <w:lang w:val="en-US" w:eastAsia="zh-CN"/>
              </w:rPr>
              <w:t>151.2</w:t>
            </w:r>
            <w:r>
              <w:rPr>
                <w:color w:val="auto"/>
                <w:szCs w:val="21"/>
                <w:lang w:val="zh-CN"/>
              </w:rPr>
              <w:t>m</w:t>
            </w:r>
            <w:r>
              <w:rPr>
                <w:color w:val="auto"/>
                <w:szCs w:val="21"/>
                <w:vertAlign w:val="superscript"/>
                <w:lang w:val="zh-CN"/>
              </w:rPr>
              <w:t>3</w:t>
            </w:r>
            <w:r>
              <w:rPr>
                <w:color w:val="auto"/>
                <w:szCs w:val="21"/>
                <w:lang w:val="zh-CN"/>
              </w:rPr>
              <w:t>/a）。</w:t>
            </w:r>
          </w:p>
          <w:p>
            <w:pPr>
              <w:autoSpaceDE w:val="0"/>
              <w:autoSpaceDN w:val="0"/>
              <w:adjustRightInd w:val="0"/>
              <w:snapToGrid w:val="0"/>
              <w:spacing w:line="400" w:lineRule="exact"/>
              <w:ind w:firstLine="422" w:firstLineChars="200"/>
              <w:jc w:val="left"/>
              <w:rPr>
                <w:b/>
                <w:color w:val="auto"/>
                <w:kern w:val="0"/>
                <w:szCs w:val="21"/>
              </w:rPr>
            </w:pPr>
            <w:r>
              <w:rPr>
                <w:b/>
                <w:color w:val="auto"/>
                <w:kern w:val="0"/>
                <w:szCs w:val="21"/>
              </w:rPr>
              <w:t>（2）治理措施及排放情况</w:t>
            </w:r>
          </w:p>
          <w:p>
            <w:pPr>
              <w:spacing w:line="400" w:lineRule="exact"/>
              <w:ind w:firstLine="420" w:firstLineChars="200"/>
              <w:rPr>
                <w:color w:val="auto"/>
                <w:szCs w:val="21"/>
              </w:rPr>
            </w:pPr>
            <w:r>
              <w:rPr>
                <w:color w:val="auto"/>
                <w:szCs w:val="21"/>
              </w:rPr>
              <w:t>生活污水经</w:t>
            </w:r>
            <w:r>
              <w:rPr>
                <w:rFonts w:hint="eastAsia"/>
                <w:color w:val="auto"/>
                <w:szCs w:val="21"/>
              </w:rPr>
              <w:t>已有</w:t>
            </w:r>
            <w:r>
              <w:rPr>
                <w:color w:val="auto"/>
                <w:szCs w:val="21"/>
              </w:rPr>
              <w:t>的化粪池（50m</w:t>
            </w:r>
            <w:r>
              <w:rPr>
                <w:color w:val="auto"/>
                <w:szCs w:val="21"/>
                <w:vertAlign w:val="superscript"/>
              </w:rPr>
              <w:t>3</w:t>
            </w:r>
            <w:r>
              <w:rPr>
                <w:color w:val="auto"/>
                <w:szCs w:val="21"/>
              </w:rPr>
              <w:t>）收集，</w:t>
            </w:r>
            <w:r>
              <w:rPr>
                <w:rFonts w:hint="eastAsia"/>
                <w:color w:val="auto"/>
                <w:szCs w:val="21"/>
                <w:lang w:val="en-US" w:eastAsia="zh-CN"/>
              </w:rPr>
              <w:t>化粪池已与西面园区道路下的污水管网接通，项目废水可排至园区污水厂处理。</w:t>
            </w:r>
            <w:r>
              <w:rPr>
                <w:rFonts w:hint="eastAsia"/>
                <w:color w:val="auto"/>
                <w:szCs w:val="21"/>
              </w:rPr>
              <w:t>另外，厂界外建设雨水沟，杜绝场外雨水进入场内；场内作业区四周建雨水沟，收集排入雨水池。</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7</w:t>
            </w:r>
            <w:r>
              <w:rPr>
                <w:rFonts w:hint="default" w:ascii="Times New Roman" w:hAnsi="Times New Roman" w:eastAsia="黑体" w:cs="Times New Roman"/>
                <w:color w:val="auto"/>
                <w:kern w:val="0"/>
                <w:sz w:val="20"/>
                <w:szCs w:val="20"/>
                <w:lang w:val="en-US" w:eastAsia="zh-CN"/>
              </w:rPr>
              <w:t xml:space="preserve">  </w:t>
            </w:r>
            <w:r>
              <w:rPr>
                <w:rFonts w:hint="eastAsia" w:ascii="Times New Roman" w:hAnsi="Times New Roman" w:eastAsia="黑体" w:cs="Times New Roman"/>
                <w:color w:val="auto"/>
                <w:kern w:val="0"/>
                <w:sz w:val="20"/>
                <w:szCs w:val="20"/>
                <w:lang w:val="en-US" w:eastAsia="zh-CN"/>
              </w:rPr>
              <w:t>废水污染源强核算经过及相关参数一览表</w:t>
            </w:r>
          </w:p>
          <w:tbl>
            <w:tblPr>
              <w:tblStyle w:val="14"/>
              <w:tblW w:w="786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52"/>
              <w:gridCol w:w="458"/>
              <w:gridCol w:w="472"/>
              <w:gridCol w:w="456"/>
              <w:gridCol w:w="755"/>
              <w:gridCol w:w="710"/>
              <w:gridCol w:w="633"/>
              <w:gridCol w:w="426"/>
              <w:gridCol w:w="489"/>
              <w:gridCol w:w="458"/>
              <w:gridCol w:w="613"/>
              <w:gridCol w:w="822"/>
              <w:gridCol w:w="617"/>
              <w:gridCol w:w="49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6" w:hRule="atLeast"/>
                <w:jc w:val="center"/>
              </w:trPr>
              <w:tc>
                <w:tcPr>
                  <w:tcW w:w="452" w:type="dxa"/>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工序/生产线</w:t>
                  </w:r>
                </w:p>
              </w:tc>
              <w:tc>
                <w:tcPr>
                  <w:tcW w:w="458"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污染源</w:t>
                  </w:r>
                </w:p>
              </w:tc>
              <w:tc>
                <w:tcPr>
                  <w:tcW w:w="472"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污染物</w:t>
                  </w:r>
                </w:p>
              </w:tc>
              <w:tc>
                <w:tcPr>
                  <w:tcW w:w="2554" w:type="dxa"/>
                  <w:gridSpan w:val="4"/>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污染物产生</w:t>
                  </w:r>
                </w:p>
              </w:tc>
              <w:tc>
                <w:tcPr>
                  <w:tcW w:w="915"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治理措施</w:t>
                  </w:r>
                </w:p>
              </w:tc>
              <w:tc>
                <w:tcPr>
                  <w:tcW w:w="2510" w:type="dxa"/>
                  <w:gridSpan w:val="4"/>
                  <w:tcBorders>
                    <w:left w:val="single" w:color="000000"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污染物排放</w:t>
                  </w:r>
                </w:p>
              </w:tc>
              <w:tc>
                <w:tcPr>
                  <w:tcW w:w="499" w:type="dxa"/>
                  <w:vMerge w:val="restar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排放时间(d/a)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08" w:hRule="atLeast"/>
                <w:jc w:val="center"/>
              </w:trPr>
              <w:tc>
                <w:tcPr>
                  <w:tcW w:w="452" w:type="dxa"/>
                  <w:vMerge w:val="continue"/>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p>
              </w:tc>
              <w:tc>
                <w:tcPr>
                  <w:tcW w:w="45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p>
              </w:tc>
              <w:tc>
                <w:tcPr>
                  <w:tcW w:w="47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p>
              </w:tc>
              <w:tc>
                <w:tcPr>
                  <w:tcW w:w="456"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核算方法</w:t>
                  </w:r>
                </w:p>
              </w:tc>
              <w:tc>
                <w:tcPr>
                  <w:tcW w:w="755"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废水产生量(m</w:t>
                  </w:r>
                  <w:r>
                    <w:rPr>
                      <w:rFonts w:hint="eastAsia"/>
                      <w:b/>
                      <w:bCs/>
                      <w:color w:val="auto"/>
                      <w:sz w:val="18"/>
                      <w:szCs w:val="18"/>
                      <w:vertAlign w:val="superscript"/>
                    </w:rPr>
                    <w:t>3</w:t>
                  </w:r>
                  <w:r>
                    <w:rPr>
                      <w:rFonts w:hint="eastAsia"/>
                      <w:b/>
                      <w:bCs/>
                      <w:color w:val="auto"/>
                      <w:sz w:val="18"/>
                      <w:szCs w:val="18"/>
                    </w:rPr>
                    <w:t>/a)</w:t>
                  </w:r>
                </w:p>
              </w:tc>
              <w:tc>
                <w:tcPr>
                  <w:tcW w:w="710"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r>
                    <w:rPr>
                      <w:rFonts w:hint="eastAsia"/>
                      <w:b/>
                      <w:bCs/>
                      <w:color w:val="auto"/>
                      <w:sz w:val="18"/>
                      <w:szCs w:val="18"/>
                    </w:rPr>
                    <w:t>产生</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浓度(mg/L)</w:t>
                  </w:r>
                </w:p>
              </w:tc>
              <w:tc>
                <w:tcPr>
                  <w:tcW w:w="633"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污染物产生量(t/a)</w:t>
                  </w:r>
                </w:p>
              </w:tc>
              <w:tc>
                <w:tcPr>
                  <w:tcW w:w="426"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工艺</w:t>
                  </w:r>
                </w:p>
              </w:tc>
              <w:tc>
                <w:tcPr>
                  <w:tcW w:w="489"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8"/>
                      <w:szCs w:val="18"/>
                    </w:rPr>
                  </w:pPr>
                  <w:r>
                    <w:rPr>
                      <w:rFonts w:hint="eastAsia"/>
                      <w:b/>
                      <w:bCs/>
                      <w:color w:val="auto"/>
                      <w:sz w:val="18"/>
                      <w:szCs w:val="18"/>
                    </w:rPr>
                    <w:t>处理效率</w:t>
                  </w:r>
                </w:p>
              </w:tc>
              <w:tc>
                <w:tcPr>
                  <w:tcW w:w="458"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r>
                    <w:rPr>
                      <w:rFonts w:hint="eastAsia"/>
                      <w:b/>
                      <w:bCs/>
                      <w:color w:val="auto"/>
                      <w:sz w:val="18"/>
                      <w:szCs w:val="18"/>
                    </w:rPr>
                    <w:t>核算方法</w:t>
                  </w:r>
                </w:p>
              </w:tc>
              <w:tc>
                <w:tcPr>
                  <w:tcW w:w="613"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r>
                    <w:rPr>
                      <w:rFonts w:hint="eastAsia"/>
                      <w:b/>
                      <w:bCs/>
                      <w:color w:val="auto"/>
                      <w:sz w:val="18"/>
                      <w:szCs w:val="18"/>
                    </w:rPr>
                    <w:t>排水量(m</w:t>
                  </w:r>
                  <w:r>
                    <w:rPr>
                      <w:rFonts w:hint="eastAsia"/>
                      <w:b/>
                      <w:bCs/>
                      <w:color w:val="auto"/>
                      <w:sz w:val="18"/>
                      <w:szCs w:val="18"/>
                      <w:vertAlign w:val="superscript"/>
                    </w:rPr>
                    <w:t>3</w:t>
                  </w:r>
                  <w:r>
                    <w:rPr>
                      <w:rFonts w:hint="eastAsia"/>
                      <w:b/>
                      <w:bCs/>
                      <w:color w:val="auto"/>
                      <w:sz w:val="18"/>
                      <w:szCs w:val="18"/>
                    </w:rPr>
                    <w:t>/a)</w:t>
                  </w:r>
                </w:p>
              </w:tc>
              <w:tc>
                <w:tcPr>
                  <w:tcW w:w="822"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r>
                    <w:rPr>
                      <w:rFonts w:hint="eastAsia"/>
                      <w:b/>
                      <w:bCs/>
                      <w:color w:val="auto"/>
                      <w:sz w:val="18"/>
                      <w:szCs w:val="18"/>
                    </w:rPr>
                    <w:t>排放浓度(mg/L)</w:t>
                  </w:r>
                </w:p>
              </w:tc>
              <w:tc>
                <w:tcPr>
                  <w:tcW w:w="617" w:type="dxa"/>
                  <w:tcBorders>
                    <w:top w:val="single" w:color="auto"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r>
                    <w:rPr>
                      <w:rFonts w:hint="eastAsia"/>
                      <w:b/>
                      <w:bCs/>
                      <w:color w:val="auto"/>
                      <w:sz w:val="18"/>
                      <w:szCs w:val="18"/>
                    </w:rPr>
                    <w:t>排放量(t/a)</w:t>
                  </w:r>
                </w:p>
              </w:tc>
              <w:tc>
                <w:tcPr>
                  <w:tcW w:w="499" w:type="dxa"/>
                  <w:vMerge w:val="continue"/>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6" w:hRule="atLeast"/>
                <w:jc w:val="center"/>
              </w:trPr>
              <w:tc>
                <w:tcPr>
                  <w:tcW w:w="452" w:type="dxa"/>
                  <w:vMerge w:val="restart"/>
                  <w:tcBorders>
                    <w:top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生活区</w:t>
                  </w:r>
                </w:p>
              </w:tc>
              <w:tc>
                <w:tcPr>
                  <w:tcW w:w="45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生活污水</w:t>
                  </w:r>
                </w:p>
              </w:tc>
              <w:tc>
                <w:tcPr>
                  <w:tcW w:w="47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COD</w:t>
                  </w:r>
                </w:p>
              </w:tc>
              <w:tc>
                <w:tcPr>
                  <w:tcW w:w="456"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系数法</w:t>
                  </w:r>
                </w:p>
              </w:tc>
              <w:tc>
                <w:tcPr>
                  <w:tcW w:w="755"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eastAsia="宋体"/>
                      <w:color w:val="auto"/>
                      <w:sz w:val="18"/>
                      <w:szCs w:val="18"/>
                      <w:lang w:val="en-US" w:eastAsia="zh-CN"/>
                    </w:rPr>
                  </w:pPr>
                  <w:r>
                    <w:rPr>
                      <w:rFonts w:hint="eastAsia"/>
                      <w:color w:val="auto"/>
                      <w:sz w:val="18"/>
                      <w:szCs w:val="18"/>
                      <w:lang w:val="en-US" w:eastAsia="zh-CN"/>
                    </w:rPr>
                    <w:t>151.2</w:t>
                  </w:r>
                </w:p>
              </w:tc>
              <w:tc>
                <w:tcPr>
                  <w:tcW w:w="710"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350</w:t>
                  </w:r>
                </w:p>
              </w:tc>
              <w:tc>
                <w:tcPr>
                  <w:tcW w:w="633"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53</w:t>
                  </w:r>
                </w:p>
              </w:tc>
              <w:tc>
                <w:tcPr>
                  <w:tcW w:w="426"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化粪池</w:t>
                  </w:r>
                </w:p>
              </w:tc>
              <w:tc>
                <w:tcPr>
                  <w:tcW w:w="489"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w:t>
                  </w:r>
                </w:p>
              </w:tc>
              <w:tc>
                <w:tcPr>
                  <w:tcW w:w="458"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w:t>
                  </w:r>
                </w:p>
              </w:tc>
              <w:tc>
                <w:tcPr>
                  <w:tcW w:w="613"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0</w:t>
                  </w:r>
                </w:p>
              </w:tc>
              <w:tc>
                <w:tcPr>
                  <w:tcW w:w="822"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w:t>
                  </w:r>
                </w:p>
              </w:tc>
              <w:tc>
                <w:tcPr>
                  <w:tcW w:w="617" w:type="dxa"/>
                  <w:vMerge w:val="restart"/>
                  <w:tcBorders>
                    <w:top w:val="single" w:color="000000"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w:t>
                  </w:r>
                </w:p>
              </w:tc>
              <w:tc>
                <w:tcPr>
                  <w:tcW w:w="499" w:type="dxa"/>
                  <w:vMerge w:val="restart"/>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52" w:type="dxa"/>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458"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472"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氨氮</w:t>
                  </w:r>
                </w:p>
              </w:tc>
              <w:tc>
                <w:tcPr>
                  <w:tcW w:w="456" w:type="dxa"/>
                  <w:vMerge w:val="continue"/>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75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35</w:t>
                  </w:r>
                </w:p>
              </w:tc>
              <w:tc>
                <w:tcPr>
                  <w:tcW w:w="633"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5</w:t>
                  </w:r>
                </w:p>
              </w:tc>
              <w:tc>
                <w:tcPr>
                  <w:tcW w:w="426" w:type="dxa"/>
                  <w:vMerge w:val="continue"/>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color w:val="auto"/>
                      <w:sz w:val="18"/>
                      <w:szCs w:val="18"/>
                    </w:rPr>
                  </w:pPr>
                </w:p>
              </w:tc>
              <w:tc>
                <w:tcPr>
                  <w:tcW w:w="489"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r>
                    <w:rPr>
                      <w:rFonts w:hint="eastAsia"/>
                      <w:color w:val="auto"/>
                      <w:sz w:val="18"/>
                      <w:szCs w:val="18"/>
                    </w:rPr>
                    <w:t>/</w:t>
                  </w:r>
                </w:p>
              </w:tc>
              <w:tc>
                <w:tcPr>
                  <w:tcW w:w="458" w:type="dxa"/>
                  <w:vMerge w:val="continue"/>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61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82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617"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c>
                <w:tcPr>
                  <w:tcW w:w="499" w:type="dxa"/>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8"/>
                      <w:szCs w:val="18"/>
                    </w:rPr>
                  </w:pPr>
                </w:p>
              </w:tc>
            </w:tr>
          </w:tbl>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8</w:t>
            </w:r>
            <w:r>
              <w:rPr>
                <w:rFonts w:hint="default" w:ascii="Times New Roman" w:hAnsi="Times New Roman" w:eastAsia="黑体" w:cs="Times New Roman"/>
                <w:color w:val="auto"/>
                <w:kern w:val="0"/>
                <w:sz w:val="20"/>
                <w:szCs w:val="20"/>
                <w:lang w:val="en-US" w:eastAsia="zh-CN"/>
              </w:rPr>
              <w:t xml:space="preserve">  </w:t>
            </w:r>
            <w:r>
              <w:rPr>
                <w:rFonts w:hint="eastAsia" w:ascii="Times New Roman" w:hAnsi="Times New Roman" w:eastAsia="黑体" w:cs="Times New Roman"/>
                <w:color w:val="auto"/>
                <w:kern w:val="0"/>
                <w:sz w:val="20"/>
                <w:szCs w:val="20"/>
                <w:lang w:val="en-US" w:eastAsia="zh-CN"/>
              </w:rPr>
              <w:t>废水类别、污染物及污染治理设施信息表</w:t>
            </w:r>
          </w:p>
          <w:tbl>
            <w:tblPr>
              <w:tblStyle w:val="14"/>
              <w:tblW w:w="796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36"/>
              <w:gridCol w:w="599"/>
              <w:gridCol w:w="648"/>
              <w:gridCol w:w="437"/>
              <w:gridCol w:w="508"/>
              <w:gridCol w:w="836"/>
              <w:gridCol w:w="511"/>
              <w:gridCol w:w="511"/>
              <w:gridCol w:w="425"/>
              <w:gridCol w:w="467"/>
              <w:gridCol w:w="451"/>
              <w:gridCol w:w="828"/>
              <w:gridCol w:w="664"/>
              <w:gridCol w:w="63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436"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废水类别</w:t>
                  </w:r>
                </w:p>
              </w:tc>
              <w:tc>
                <w:tcPr>
                  <w:tcW w:w="599"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污染物种类</w:t>
                  </w:r>
                </w:p>
              </w:tc>
              <w:tc>
                <w:tcPr>
                  <w:tcW w:w="2429" w:type="dxa"/>
                  <w:gridSpan w:val="4"/>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污染防治设施</w:t>
                  </w:r>
                </w:p>
              </w:tc>
              <w:tc>
                <w:tcPr>
                  <w:tcW w:w="511"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排放去向</w:t>
                  </w:r>
                </w:p>
              </w:tc>
              <w:tc>
                <w:tcPr>
                  <w:tcW w:w="511"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排放方式</w:t>
                  </w:r>
                </w:p>
              </w:tc>
              <w:tc>
                <w:tcPr>
                  <w:tcW w:w="425"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排放规律</w:t>
                  </w:r>
                </w:p>
              </w:tc>
              <w:tc>
                <w:tcPr>
                  <w:tcW w:w="467"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排污口编号</w:t>
                  </w:r>
                </w:p>
              </w:tc>
              <w:tc>
                <w:tcPr>
                  <w:tcW w:w="451"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排放口名称</w:t>
                  </w:r>
                </w:p>
              </w:tc>
              <w:tc>
                <w:tcPr>
                  <w:tcW w:w="828"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排放口设置是否符合要求</w:t>
                  </w:r>
                </w:p>
              </w:tc>
              <w:tc>
                <w:tcPr>
                  <w:tcW w:w="664"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排放口类型</w:t>
                  </w:r>
                </w:p>
              </w:tc>
              <w:tc>
                <w:tcPr>
                  <w:tcW w:w="639" w:type="dxa"/>
                  <w:vMerge w:val="restart"/>
                  <w:tcBorders>
                    <w:lef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其它信息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436"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599"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648" w:type="dxa"/>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编号</w:t>
                  </w:r>
                </w:p>
              </w:tc>
              <w:tc>
                <w:tcPr>
                  <w:tcW w:w="437"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名称</w:t>
                  </w:r>
                </w:p>
              </w:tc>
              <w:tc>
                <w:tcPr>
                  <w:tcW w:w="508"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工艺</w:t>
                  </w:r>
                </w:p>
              </w:tc>
              <w:tc>
                <w:tcPr>
                  <w:tcW w:w="836"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r>
                    <w:rPr>
                      <w:rFonts w:hint="eastAsia"/>
                      <w:b/>
                      <w:bCs/>
                      <w:color w:val="auto"/>
                      <w:sz w:val="18"/>
                      <w:szCs w:val="18"/>
                    </w:rPr>
                    <w:t>是否为可行技术</w:t>
                  </w:r>
                </w:p>
              </w:tc>
              <w:tc>
                <w:tcPr>
                  <w:tcW w:w="511"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b/>
                      <w:bCs/>
                      <w:color w:val="auto"/>
                      <w:sz w:val="18"/>
                      <w:szCs w:val="18"/>
                    </w:rPr>
                  </w:pPr>
                </w:p>
              </w:tc>
              <w:tc>
                <w:tcPr>
                  <w:tcW w:w="511"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425"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467"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451"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828"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664"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eastAsia"/>
                      <w:b/>
                      <w:bCs/>
                      <w:color w:val="auto"/>
                      <w:sz w:val="18"/>
                      <w:szCs w:val="18"/>
                    </w:rPr>
                  </w:pPr>
                </w:p>
              </w:tc>
              <w:tc>
                <w:tcPr>
                  <w:tcW w:w="639"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436"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生活污水</w:t>
                  </w:r>
                </w:p>
              </w:tc>
              <w:tc>
                <w:tcPr>
                  <w:tcW w:w="599" w:type="dxa"/>
                  <w:tcBorders>
                    <w:top w:val="single" w:color="000000" w:sz="4" w:space="0"/>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COD、氨氮</w:t>
                  </w:r>
                </w:p>
              </w:tc>
              <w:tc>
                <w:tcPr>
                  <w:tcW w:w="648"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TW001</w:t>
                  </w:r>
                </w:p>
              </w:tc>
              <w:tc>
                <w:tcPr>
                  <w:tcW w:w="437" w:type="dxa"/>
                  <w:tcBorders>
                    <w:top w:val="single" w:color="000000" w:sz="4" w:space="0"/>
                    <w:left w:val="single" w:color="auto" w:sz="4" w:space="0"/>
                    <w:right w:val="single" w:color="auto"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化粪池</w:t>
                  </w:r>
                </w:p>
              </w:tc>
              <w:tc>
                <w:tcPr>
                  <w:tcW w:w="508" w:type="dxa"/>
                  <w:tcBorders>
                    <w:top w:val="single" w:color="000000"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eastAsia="宋体"/>
                      <w:color w:val="auto"/>
                      <w:sz w:val="18"/>
                      <w:szCs w:val="18"/>
                      <w:lang w:eastAsia="zh-CN"/>
                    </w:rPr>
                  </w:pPr>
                  <w:r>
                    <w:rPr>
                      <w:rFonts w:hint="eastAsia"/>
                      <w:color w:val="auto"/>
                      <w:sz w:val="18"/>
                      <w:szCs w:val="18"/>
                      <w:lang w:val="en-US" w:eastAsia="zh-CN"/>
                    </w:rPr>
                    <w:t>/</w:t>
                  </w:r>
                </w:p>
              </w:tc>
              <w:tc>
                <w:tcPr>
                  <w:tcW w:w="836" w:type="dxa"/>
                  <w:tcBorders>
                    <w:top w:val="single" w:color="000000" w:sz="4" w:space="0"/>
                    <w:left w:val="single" w:color="auto" w:sz="4" w:space="0"/>
                    <w:bottom w:val="single" w:color="auto" w:sz="4" w:space="0"/>
                    <w:righ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是</w:t>
                  </w:r>
                </w:p>
              </w:tc>
              <w:tc>
                <w:tcPr>
                  <w:tcW w:w="511"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农用</w:t>
                  </w:r>
                </w:p>
              </w:tc>
              <w:tc>
                <w:tcPr>
                  <w:tcW w:w="511" w:type="dxa"/>
                  <w:tcBorders>
                    <w:top w:val="single" w:color="000000" w:sz="4" w:space="0"/>
                    <w:lef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c>
                <w:tcPr>
                  <w:tcW w:w="425" w:type="dxa"/>
                  <w:tcBorders>
                    <w:top w:val="single" w:color="000000" w:sz="4" w:space="0"/>
                    <w:left w:val="single" w:color="000000" w:sz="4" w:space="0"/>
                  </w:tcBorders>
                  <w:noWrap w:val="0"/>
                  <w:vAlign w:val="center"/>
                </w:tcPr>
                <w:p>
                  <w:pPr>
                    <w:adjustRightInd w:val="0"/>
                    <w:snapToGrid w:val="0"/>
                    <w:spacing w:line="280" w:lineRule="exact"/>
                    <w:jc w:val="center"/>
                    <w:rPr>
                      <w:rFonts w:hint="default" w:eastAsia="宋体"/>
                      <w:color w:val="auto"/>
                      <w:sz w:val="18"/>
                      <w:szCs w:val="18"/>
                      <w:lang w:val="en-US" w:eastAsia="zh-CN"/>
                    </w:rPr>
                  </w:pPr>
                  <w:r>
                    <w:rPr>
                      <w:rFonts w:hint="eastAsia"/>
                      <w:color w:val="auto"/>
                      <w:sz w:val="18"/>
                      <w:szCs w:val="18"/>
                      <w:lang w:val="en-US" w:eastAsia="zh-CN"/>
                    </w:rPr>
                    <w:t>间歇</w:t>
                  </w:r>
                </w:p>
              </w:tc>
              <w:tc>
                <w:tcPr>
                  <w:tcW w:w="467" w:type="dxa"/>
                  <w:tcBorders>
                    <w:top w:val="single" w:color="000000" w:sz="4" w:space="0"/>
                    <w:lef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c>
                <w:tcPr>
                  <w:tcW w:w="451" w:type="dxa"/>
                  <w:tcBorders>
                    <w:top w:val="single" w:color="000000" w:sz="4" w:space="0"/>
                    <w:lef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c>
                <w:tcPr>
                  <w:tcW w:w="828" w:type="dxa"/>
                  <w:tcBorders>
                    <w:top w:val="single" w:color="000000" w:sz="4" w:space="0"/>
                    <w:left w:val="single" w:color="000000" w:sz="4" w:space="0"/>
                  </w:tcBorders>
                  <w:noWrap w:val="0"/>
                  <w:vAlign w:val="center"/>
                </w:tcPr>
                <w:p>
                  <w:pPr>
                    <w:adjustRightInd w:val="0"/>
                    <w:snapToGrid w:val="0"/>
                    <w:spacing w:line="280" w:lineRule="exact"/>
                    <w:jc w:val="center"/>
                    <w:rPr>
                      <w:rFonts w:hint="eastAsia" w:eastAsia="宋体"/>
                      <w:color w:val="auto"/>
                      <w:sz w:val="18"/>
                      <w:szCs w:val="18"/>
                      <w:lang w:eastAsia="zh-CN"/>
                    </w:rPr>
                  </w:pPr>
                  <w:r>
                    <w:rPr>
                      <w:rFonts w:hint="eastAsia"/>
                      <w:color w:val="auto"/>
                      <w:sz w:val="18"/>
                      <w:szCs w:val="18"/>
                      <w:lang w:eastAsia="zh-CN"/>
                    </w:rPr>
                    <w:t>是</w:t>
                  </w:r>
                </w:p>
              </w:tc>
              <w:tc>
                <w:tcPr>
                  <w:tcW w:w="664" w:type="dxa"/>
                  <w:tcBorders>
                    <w:top w:val="single" w:color="000000" w:sz="4" w:space="0"/>
                    <w:lef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c>
                <w:tcPr>
                  <w:tcW w:w="639" w:type="dxa"/>
                  <w:tcBorders>
                    <w:top w:val="single" w:color="000000" w:sz="4" w:space="0"/>
                    <w:left w:val="single" w:color="000000"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w:t>
                  </w:r>
                </w:p>
              </w:tc>
            </w:tr>
          </w:tbl>
          <w:p>
            <w:pPr>
              <w:autoSpaceDE w:val="0"/>
              <w:autoSpaceDN w:val="0"/>
              <w:adjustRightInd w:val="0"/>
              <w:snapToGrid w:val="0"/>
              <w:spacing w:line="400" w:lineRule="exact"/>
              <w:ind w:firstLine="422" w:firstLineChars="200"/>
              <w:jc w:val="left"/>
              <w:rPr>
                <w:b/>
                <w:color w:val="auto"/>
                <w:kern w:val="0"/>
                <w:szCs w:val="21"/>
              </w:rPr>
            </w:pPr>
            <w:r>
              <w:rPr>
                <w:b/>
                <w:color w:val="auto"/>
                <w:kern w:val="0"/>
                <w:szCs w:val="21"/>
              </w:rPr>
              <w:t>（3）监测要求</w:t>
            </w:r>
          </w:p>
          <w:p>
            <w:pPr>
              <w:autoSpaceDE w:val="0"/>
              <w:autoSpaceDN w:val="0"/>
              <w:adjustRightInd w:val="0"/>
              <w:snapToGrid w:val="0"/>
              <w:spacing w:line="400" w:lineRule="exact"/>
              <w:ind w:firstLine="420" w:firstLineChars="200"/>
              <w:jc w:val="left"/>
              <w:rPr>
                <w:rFonts w:hint="eastAsia"/>
                <w:bCs/>
                <w:color w:val="auto"/>
                <w:kern w:val="0"/>
                <w:szCs w:val="21"/>
              </w:rPr>
            </w:pPr>
            <w:r>
              <w:rPr>
                <w:color w:val="auto"/>
                <w:kern w:val="0"/>
                <w:szCs w:val="21"/>
              </w:rPr>
              <w:t>项目生活污水依托</w:t>
            </w:r>
            <w:r>
              <w:rPr>
                <w:rFonts w:hint="eastAsia"/>
                <w:color w:val="auto"/>
                <w:kern w:val="0"/>
                <w:szCs w:val="21"/>
                <w:lang w:val="en-US" w:eastAsia="zh-CN"/>
              </w:rPr>
              <w:t>园区</w:t>
            </w:r>
            <w:r>
              <w:rPr>
                <w:color w:val="auto"/>
                <w:kern w:val="0"/>
                <w:szCs w:val="21"/>
              </w:rPr>
              <w:t>污水处理厂处理。因此不制定废水监测计划。</w:t>
            </w:r>
          </w:p>
          <w:p>
            <w:pPr>
              <w:autoSpaceDE w:val="0"/>
              <w:autoSpaceDN w:val="0"/>
              <w:adjustRightInd w:val="0"/>
              <w:snapToGrid w:val="0"/>
              <w:spacing w:line="400" w:lineRule="exact"/>
              <w:ind w:firstLine="422" w:firstLineChars="200"/>
              <w:jc w:val="left"/>
              <w:rPr>
                <w:b/>
                <w:color w:val="auto"/>
                <w:kern w:val="0"/>
                <w:szCs w:val="21"/>
              </w:rPr>
            </w:pPr>
            <w:r>
              <w:rPr>
                <w:b/>
                <w:color w:val="auto"/>
                <w:kern w:val="0"/>
                <w:szCs w:val="21"/>
              </w:rPr>
              <w:t>（</w:t>
            </w:r>
            <w:r>
              <w:rPr>
                <w:rFonts w:hint="eastAsia"/>
                <w:b/>
                <w:color w:val="auto"/>
                <w:kern w:val="0"/>
                <w:szCs w:val="21"/>
              </w:rPr>
              <w:t>4</w:t>
            </w:r>
            <w:r>
              <w:rPr>
                <w:b/>
                <w:color w:val="auto"/>
                <w:kern w:val="0"/>
                <w:szCs w:val="21"/>
              </w:rPr>
              <w:t>）措施可行性及达标分析</w:t>
            </w:r>
          </w:p>
          <w:p>
            <w:pPr>
              <w:spacing w:line="400" w:lineRule="exact"/>
              <w:ind w:firstLine="420" w:firstLineChars="200"/>
              <w:rPr>
                <w:rFonts w:hint="eastAsia"/>
                <w:color w:val="auto"/>
                <w:szCs w:val="21"/>
                <w:lang w:val="en-US" w:eastAsia="zh-CN"/>
              </w:rPr>
            </w:pPr>
            <w:r>
              <w:rPr>
                <w:rFonts w:hint="eastAsia"/>
                <w:color w:val="auto"/>
                <w:szCs w:val="21"/>
                <w:lang w:val="en-US" w:eastAsia="zh-CN"/>
              </w:rPr>
              <w:t>项目租用的厂区内</w:t>
            </w:r>
            <w:r>
              <w:rPr>
                <w:color w:val="auto"/>
                <w:szCs w:val="21"/>
              </w:rPr>
              <w:t>已建化粪池（50m</w:t>
            </w:r>
            <w:r>
              <w:rPr>
                <w:color w:val="auto"/>
                <w:szCs w:val="21"/>
                <w:vertAlign w:val="superscript"/>
              </w:rPr>
              <w:t>3</w:t>
            </w:r>
            <w:r>
              <w:rPr>
                <w:color w:val="auto"/>
                <w:szCs w:val="21"/>
              </w:rPr>
              <w:t>）能够收集约半年的废水量，能够满足收集要求。</w:t>
            </w:r>
            <w:r>
              <w:rPr>
                <w:rFonts w:hint="eastAsia"/>
                <w:color w:val="auto"/>
                <w:szCs w:val="21"/>
                <w:lang w:val="en-US" w:eastAsia="zh-CN"/>
              </w:rPr>
              <w:t>根据本项目废水来源于办公生活区，污染物排放特征，确定本项目污水排放标准达到《污水综合排放标准》（GB8978-1996）三级排放标准后进入污水管网进入园区污水处理厂处理。柳池工业园区污水处理厂于2016年2月正式投入运行，设计规模为一期5000m3/d，主体工艺采用氧化沟+深度处理，出水达到《城镇污水处理厂污染物排放标准》（GB18918-2002）一级A标后经管道排入后河。</w:t>
            </w:r>
          </w:p>
          <w:p>
            <w:pPr>
              <w:spacing w:line="400" w:lineRule="exact"/>
              <w:ind w:firstLine="420" w:firstLineChars="200"/>
              <w:rPr>
                <w:rFonts w:hint="eastAsia"/>
                <w:color w:val="auto"/>
                <w:szCs w:val="21"/>
                <w:lang w:val="en-US" w:eastAsia="zh-CN"/>
              </w:rPr>
            </w:pPr>
            <w:r>
              <w:rPr>
                <w:rFonts w:hint="eastAsia"/>
                <w:color w:val="auto"/>
                <w:szCs w:val="21"/>
                <w:lang w:val="en-US" w:eastAsia="zh-CN"/>
              </w:rPr>
              <w:t>（4）依托污水处理厂可行性分析：</w:t>
            </w:r>
          </w:p>
          <w:p>
            <w:pPr>
              <w:autoSpaceDE w:val="0"/>
              <w:autoSpaceDN w:val="0"/>
              <w:adjustRightInd w:val="0"/>
              <w:snapToGrid w:val="0"/>
              <w:spacing w:line="400" w:lineRule="exact"/>
              <w:ind w:firstLine="420" w:firstLineChars="200"/>
              <w:jc w:val="left"/>
              <w:rPr>
                <w:color w:val="auto"/>
                <w:kern w:val="0"/>
                <w:szCs w:val="21"/>
                <w:lang w:val="zh-CN"/>
              </w:rPr>
            </w:pPr>
            <w:r>
              <w:rPr>
                <w:color w:val="auto"/>
                <w:kern w:val="0"/>
                <w:szCs w:val="21"/>
              </w:rPr>
              <w:t>根据调查，</w:t>
            </w:r>
            <w:r>
              <w:rPr>
                <w:rFonts w:hint="eastAsia"/>
                <w:color w:val="auto"/>
                <w:kern w:val="0"/>
                <w:szCs w:val="21"/>
                <w:lang w:val="en-US" w:eastAsia="zh-CN"/>
              </w:rPr>
              <w:t>柳池工业园</w:t>
            </w:r>
            <w:r>
              <w:rPr>
                <w:color w:val="auto"/>
                <w:kern w:val="0"/>
                <w:szCs w:val="21"/>
              </w:rPr>
              <w:t>污水处理厂位于</w:t>
            </w:r>
            <w:r>
              <w:rPr>
                <w:rFonts w:hint="eastAsia"/>
                <w:color w:val="auto"/>
                <w:kern w:val="0"/>
                <w:szCs w:val="21"/>
                <w:lang w:val="en-US" w:eastAsia="zh-CN"/>
              </w:rPr>
              <w:t>园区东南部</w:t>
            </w:r>
            <w:r>
              <w:rPr>
                <w:color w:val="auto"/>
                <w:kern w:val="0"/>
                <w:szCs w:val="21"/>
              </w:rPr>
              <w:t>，</w:t>
            </w:r>
            <w:r>
              <w:rPr>
                <w:rFonts w:hint="eastAsia"/>
                <w:color w:val="auto"/>
                <w:kern w:val="0"/>
                <w:szCs w:val="21"/>
                <w:lang w:val="en-US" w:eastAsia="zh-CN"/>
              </w:rPr>
              <w:t>设计处理</w:t>
            </w:r>
            <w:r>
              <w:rPr>
                <w:color w:val="auto"/>
                <w:kern w:val="0"/>
                <w:szCs w:val="21"/>
              </w:rPr>
              <w:t>处置规模</w:t>
            </w:r>
            <w:r>
              <w:rPr>
                <w:rFonts w:hint="eastAsia"/>
                <w:color w:val="auto"/>
                <w:kern w:val="0"/>
                <w:szCs w:val="21"/>
                <w:lang w:val="en-US" w:eastAsia="zh-CN"/>
              </w:rPr>
              <w:t>为2万</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lang w:val="en-US" w:eastAsia="zh-CN"/>
              </w:rPr>
              <w:t>分期建设。目前已建污水处理厂处理规模为5</w:t>
            </w:r>
            <w:r>
              <w:rPr>
                <w:color w:val="auto"/>
                <w:kern w:val="0"/>
                <w:szCs w:val="21"/>
              </w:rPr>
              <w:t>000m</w:t>
            </w:r>
            <w:r>
              <w:rPr>
                <w:color w:val="auto"/>
                <w:kern w:val="0"/>
                <w:szCs w:val="21"/>
                <w:vertAlign w:val="superscript"/>
              </w:rPr>
              <w:t>3</w:t>
            </w:r>
            <w:r>
              <w:rPr>
                <w:color w:val="auto"/>
                <w:kern w:val="0"/>
                <w:szCs w:val="21"/>
              </w:rPr>
              <w:t>/d，</w:t>
            </w:r>
            <w:r>
              <w:rPr>
                <w:rFonts w:hint="eastAsia"/>
                <w:color w:val="auto"/>
                <w:szCs w:val="21"/>
                <w:lang w:val="en-US" w:eastAsia="zh-CN"/>
              </w:rPr>
              <w:t>于2016年2月正式投入运行，污水厂主体工艺采用氧化沟+深度处理，出水达到《城镇污水处理厂污染物排放标准》（GB18918-2002）一级A标后经管道排入后河。</w:t>
            </w:r>
            <w:r>
              <w:rPr>
                <w:color w:val="auto"/>
                <w:kern w:val="0"/>
                <w:szCs w:val="21"/>
              </w:rPr>
              <w:t>目前该污水处理厂已建成投入运行，纳污范围主要为</w:t>
            </w:r>
            <w:r>
              <w:rPr>
                <w:rFonts w:hint="eastAsia"/>
                <w:color w:val="auto"/>
                <w:kern w:val="0"/>
                <w:szCs w:val="21"/>
                <w:lang w:val="en-US" w:eastAsia="zh-CN"/>
              </w:rPr>
              <w:t>柳池工业园区</w:t>
            </w:r>
            <w:r>
              <w:rPr>
                <w:color w:val="auto"/>
                <w:kern w:val="0"/>
                <w:szCs w:val="21"/>
              </w:rPr>
              <w:t>范围</w:t>
            </w:r>
            <w:r>
              <w:rPr>
                <w:rFonts w:hint="eastAsia"/>
                <w:color w:val="auto"/>
                <w:kern w:val="0"/>
                <w:szCs w:val="21"/>
                <w:lang w:eastAsia="zh-CN"/>
              </w:rPr>
              <w:t>的</w:t>
            </w:r>
            <w:r>
              <w:rPr>
                <w:rFonts w:hint="eastAsia"/>
                <w:color w:val="auto"/>
                <w:kern w:val="0"/>
                <w:szCs w:val="21"/>
                <w:lang w:val="en-US" w:eastAsia="zh-CN"/>
              </w:rPr>
              <w:t>生产生活污水</w:t>
            </w:r>
            <w:r>
              <w:rPr>
                <w:rFonts w:hint="eastAsia"/>
                <w:color w:val="auto"/>
                <w:kern w:val="0"/>
                <w:szCs w:val="21"/>
                <w:lang w:eastAsia="zh-CN"/>
              </w:rPr>
              <w:t>。</w:t>
            </w:r>
            <w:r>
              <w:rPr>
                <w:color w:val="auto"/>
                <w:kern w:val="0"/>
                <w:szCs w:val="21"/>
              </w:rPr>
              <w:t>本项目废水为职工生活污水，水质</w:t>
            </w:r>
            <w:r>
              <w:rPr>
                <w:rFonts w:hint="eastAsia"/>
                <w:color w:val="auto"/>
                <w:kern w:val="0"/>
                <w:szCs w:val="21"/>
                <w:lang w:val="en-US" w:eastAsia="zh-CN"/>
              </w:rPr>
              <w:t>能够达到达到《污水综合排放标准》（GB8978-1996）三级排放标准，</w:t>
            </w:r>
            <w:r>
              <w:rPr>
                <w:color w:val="auto"/>
                <w:kern w:val="0"/>
                <w:szCs w:val="21"/>
              </w:rPr>
              <w:t>满足污水厂进水要求。本项目污水量约</w:t>
            </w:r>
            <w:r>
              <w:rPr>
                <w:rFonts w:hint="eastAsia"/>
                <w:color w:val="auto"/>
                <w:kern w:val="0"/>
                <w:szCs w:val="21"/>
                <w:lang w:val="en-US" w:eastAsia="zh-CN"/>
              </w:rPr>
              <w:t>0.43</w:t>
            </w:r>
            <w:r>
              <w:rPr>
                <w:color w:val="auto"/>
                <w:kern w:val="0"/>
                <w:szCs w:val="21"/>
              </w:rPr>
              <w:t>m</w:t>
            </w:r>
            <w:r>
              <w:rPr>
                <w:color w:val="auto"/>
                <w:kern w:val="0"/>
                <w:szCs w:val="21"/>
                <w:vertAlign w:val="superscript"/>
              </w:rPr>
              <w:t>3</w:t>
            </w:r>
            <w:r>
              <w:rPr>
                <w:color w:val="auto"/>
                <w:kern w:val="0"/>
                <w:szCs w:val="21"/>
              </w:rPr>
              <w:t>/d，远小于</w:t>
            </w:r>
            <w:r>
              <w:rPr>
                <w:rFonts w:hint="eastAsia"/>
                <w:color w:val="auto"/>
                <w:kern w:val="0"/>
                <w:szCs w:val="21"/>
                <w:lang w:val="en-US" w:eastAsia="zh-CN"/>
              </w:rPr>
              <w:t>园区</w:t>
            </w:r>
            <w:r>
              <w:rPr>
                <w:color w:val="auto"/>
                <w:kern w:val="0"/>
                <w:szCs w:val="21"/>
              </w:rPr>
              <w:t>污水处理厂的处理能力</w:t>
            </w:r>
            <w:r>
              <w:rPr>
                <w:rFonts w:hint="eastAsia"/>
                <w:color w:val="auto"/>
                <w:kern w:val="0"/>
                <w:szCs w:val="21"/>
                <w:lang w:eastAsia="zh-CN"/>
              </w:rPr>
              <w:t>，</w:t>
            </w:r>
            <w:r>
              <w:rPr>
                <w:color w:val="auto"/>
                <w:kern w:val="0"/>
                <w:szCs w:val="21"/>
              </w:rPr>
              <w:t>仅占0.</w:t>
            </w:r>
            <w:r>
              <w:rPr>
                <w:rFonts w:hint="eastAsia"/>
                <w:color w:val="auto"/>
                <w:kern w:val="0"/>
                <w:szCs w:val="21"/>
                <w:lang w:val="en-US" w:eastAsia="zh-CN"/>
              </w:rPr>
              <w:t>0086</w:t>
            </w:r>
            <w:r>
              <w:rPr>
                <w:color w:val="auto"/>
                <w:kern w:val="0"/>
                <w:szCs w:val="21"/>
              </w:rPr>
              <w:t>%，水量不会突破污水厂的处理能力上线。项目</w:t>
            </w:r>
            <w:r>
              <w:rPr>
                <w:rFonts w:hint="eastAsia"/>
                <w:color w:val="auto"/>
                <w:kern w:val="0"/>
                <w:szCs w:val="21"/>
                <w:lang w:val="en-US" w:eastAsia="zh-CN"/>
              </w:rPr>
              <w:t>西</w:t>
            </w:r>
            <w:r>
              <w:rPr>
                <w:rFonts w:hint="eastAsia"/>
                <w:color w:val="auto"/>
                <w:kern w:val="0"/>
                <w:szCs w:val="21"/>
              </w:rPr>
              <w:t>面</w:t>
            </w:r>
            <w:r>
              <w:rPr>
                <w:rFonts w:hint="eastAsia"/>
                <w:color w:val="auto"/>
                <w:kern w:val="0"/>
                <w:szCs w:val="21"/>
                <w:lang w:val="en-US" w:eastAsia="zh-CN"/>
              </w:rPr>
              <w:t>道路下</w:t>
            </w:r>
            <w:r>
              <w:rPr>
                <w:rFonts w:hint="eastAsia"/>
                <w:color w:val="auto"/>
                <w:kern w:val="0"/>
                <w:szCs w:val="21"/>
              </w:rPr>
              <w:t>已有污水收集管网，标高低于项目化粪池出水口标高，</w:t>
            </w:r>
            <w:r>
              <w:rPr>
                <w:rFonts w:hint="eastAsia"/>
                <w:color w:val="auto"/>
                <w:kern w:val="0"/>
                <w:szCs w:val="21"/>
                <w:lang w:val="en-US" w:eastAsia="zh-CN"/>
              </w:rPr>
              <w:t>化粪池出水口</w:t>
            </w:r>
            <w:r>
              <w:rPr>
                <w:rFonts w:hint="eastAsia"/>
                <w:color w:val="auto"/>
                <w:kern w:val="0"/>
                <w:szCs w:val="21"/>
              </w:rPr>
              <w:t>可</w:t>
            </w:r>
            <w:r>
              <w:rPr>
                <w:rFonts w:hint="eastAsia"/>
                <w:color w:val="auto"/>
                <w:kern w:val="0"/>
                <w:szCs w:val="21"/>
                <w:lang w:val="en-US" w:eastAsia="zh-CN"/>
              </w:rPr>
              <w:t>自流</w:t>
            </w:r>
            <w:r>
              <w:rPr>
                <w:rFonts w:hint="eastAsia"/>
                <w:color w:val="auto"/>
                <w:kern w:val="0"/>
                <w:szCs w:val="21"/>
              </w:rPr>
              <w:t>排至污水</w:t>
            </w:r>
            <w:r>
              <w:rPr>
                <w:color w:val="auto"/>
                <w:kern w:val="0"/>
                <w:szCs w:val="21"/>
              </w:rPr>
              <w:t>管网，最终进入</w:t>
            </w:r>
            <w:r>
              <w:rPr>
                <w:rFonts w:hint="eastAsia"/>
                <w:color w:val="auto"/>
                <w:kern w:val="0"/>
                <w:szCs w:val="21"/>
                <w:lang w:val="en-US" w:eastAsia="zh-CN"/>
              </w:rPr>
              <w:t>园区</w:t>
            </w:r>
            <w:r>
              <w:rPr>
                <w:color w:val="auto"/>
                <w:kern w:val="0"/>
                <w:szCs w:val="21"/>
              </w:rPr>
              <w:t>污水厂处理。因此，本项目生活污水排入</w:t>
            </w:r>
            <w:r>
              <w:rPr>
                <w:rFonts w:hint="eastAsia"/>
                <w:color w:val="auto"/>
                <w:kern w:val="0"/>
                <w:szCs w:val="21"/>
                <w:lang w:val="en-US" w:eastAsia="zh-CN"/>
              </w:rPr>
              <w:t>园区</w:t>
            </w:r>
            <w:r>
              <w:rPr>
                <w:color w:val="auto"/>
                <w:kern w:val="0"/>
                <w:szCs w:val="21"/>
              </w:rPr>
              <w:t>污水处理厂处理是可行的，也是可靠的。</w:t>
            </w:r>
          </w:p>
          <w:p>
            <w:pPr>
              <w:spacing w:line="400" w:lineRule="exact"/>
              <w:ind w:firstLine="420" w:firstLineChars="200"/>
              <w:rPr>
                <w:color w:val="auto"/>
                <w:szCs w:val="21"/>
              </w:rPr>
            </w:pPr>
            <w:r>
              <w:rPr>
                <w:color w:val="auto"/>
                <w:szCs w:val="21"/>
              </w:rPr>
              <w:t>采取上述措施处理后，项目废水不会对区域地表水环境产生影响。所采取的措施经济合理，技术可行。</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3、噪声</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lang w:val="zh-CN"/>
              </w:rPr>
              <w:t>（</w:t>
            </w:r>
            <w:r>
              <w:rPr>
                <w:b/>
                <w:bCs/>
                <w:color w:val="auto"/>
                <w:szCs w:val="21"/>
              </w:rPr>
              <w:t>1</w:t>
            </w:r>
            <w:r>
              <w:rPr>
                <w:b/>
                <w:bCs/>
                <w:color w:val="auto"/>
                <w:szCs w:val="21"/>
                <w:lang w:val="zh-CN"/>
              </w:rPr>
              <w:t>）噪声源强</w:t>
            </w:r>
          </w:p>
          <w:p>
            <w:pPr>
              <w:spacing w:line="400" w:lineRule="exact"/>
              <w:ind w:firstLine="420" w:firstLineChars="200"/>
              <w:rPr>
                <w:rFonts w:hint="eastAsia"/>
                <w:color w:val="auto"/>
                <w:szCs w:val="21"/>
              </w:rPr>
            </w:pPr>
            <w:r>
              <w:rPr>
                <w:color w:val="auto"/>
                <w:szCs w:val="21"/>
              </w:rPr>
              <w:t>项目运营期间，噪声主要来源于输送油泵、运输车辆等机械设备，</w:t>
            </w:r>
            <w:r>
              <w:rPr>
                <w:rFonts w:hint="eastAsia"/>
                <w:color w:val="auto"/>
                <w:szCs w:val="21"/>
              </w:rPr>
              <w:t>噪声持续时间主要集中在运输车辆进出厂区及装卸油阶段，持续时间约和</w:t>
            </w:r>
            <w:r>
              <w:rPr>
                <w:color w:val="auto"/>
                <w:szCs w:val="21"/>
              </w:rPr>
              <w:t>跟类比相同类型的设备噪声，声源强度为80~85dB（A）</w:t>
            </w:r>
            <w:r>
              <w:rPr>
                <w:rFonts w:hint="eastAsia"/>
                <w:color w:val="auto"/>
                <w:szCs w:val="21"/>
              </w:rPr>
              <w:t>。</w:t>
            </w:r>
          </w:p>
          <w:p>
            <w:pPr>
              <w:spacing w:line="400" w:lineRule="exact"/>
              <w:ind w:firstLine="420" w:firstLineChars="200"/>
              <w:rPr>
                <w:rFonts w:eastAsia="黑体"/>
                <w:color w:val="auto"/>
                <w:kern w:val="0"/>
                <w:szCs w:val="21"/>
              </w:rPr>
            </w:pPr>
            <w:r>
              <w:rPr>
                <w:rFonts w:hint="eastAsia"/>
                <w:color w:val="auto"/>
                <w:szCs w:val="21"/>
              </w:rPr>
              <w:t>项目主要噪声污染源源强核算结果及相关参数</w:t>
            </w:r>
            <w:r>
              <w:rPr>
                <w:color w:val="auto"/>
                <w:szCs w:val="21"/>
              </w:rPr>
              <w:t>见下表。</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eastAsia" w:ascii="Times New Roman" w:hAnsi="Times New Roman" w:eastAsia="黑体" w:cs="Times New Roman"/>
                <w:color w:val="auto"/>
                <w:kern w:val="0"/>
                <w:sz w:val="20"/>
                <w:szCs w:val="20"/>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eastAsia="黑体"/>
                <w:color w:val="auto"/>
                <w:kern w:val="0"/>
                <w:sz w:val="16"/>
                <w:szCs w:val="16"/>
              </w:rPr>
            </w:pPr>
            <w:r>
              <w:rPr>
                <w:rFonts w:hint="eastAsia" w:ascii="Times New Roman" w:hAnsi="Times New Roman"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9</w:t>
            </w:r>
            <w:r>
              <w:rPr>
                <w:rFonts w:hint="default" w:ascii="Times New Roman" w:hAnsi="Times New Roman" w:eastAsia="黑体" w:cs="Times New Roman"/>
                <w:color w:val="auto"/>
                <w:kern w:val="0"/>
                <w:sz w:val="20"/>
                <w:szCs w:val="20"/>
                <w:lang w:val="en-US" w:eastAsia="zh-CN"/>
              </w:rPr>
              <w:t xml:space="preserve">  主要噪声污染源源强一览表 </w:t>
            </w:r>
            <w:r>
              <w:rPr>
                <w:rFonts w:hint="eastAsia" w:ascii="Times New Roman" w:hAnsi="Times New Roman" w:eastAsia="黑体" w:cs="Times New Roman"/>
                <w:color w:val="auto"/>
                <w:kern w:val="0"/>
                <w:sz w:val="20"/>
                <w:szCs w:val="20"/>
                <w:lang w:val="en-US" w:eastAsia="zh-CN"/>
              </w:rPr>
              <w:t xml:space="preserve">  </w:t>
            </w:r>
            <w:r>
              <w:rPr>
                <w:rFonts w:hint="eastAsia" w:eastAsia="黑体"/>
                <w:color w:val="auto"/>
                <w:kern w:val="0"/>
                <w:sz w:val="20"/>
                <w:szCs w:val="20"/>
                <w:lang w:val="en-US" w:eastAsia="zh-CN"/>
              </w:rPr>
              <w:t xml:space="preserve"> </w:t>
            </w:r>
            <w:r>
              <w:rPr>
                <w:rFonts w:hint="default" w:eastAsia="黑体"/>
                <w:color w:val="auto"/>
                <w:kern w:val="0"/>
                <w:sz w:val="16"/>
                <w:szCs w:val="16"/>
                <w:lang w:val="en-US" w:eastAsia="zh-CN"/>
              </w:rPr>
              <w:t>单位：dB（A）</w:t>
            </w:r>
          </w:p>
          <w:tbl>
            <w:tblPr>
              <w:tblStyle w:val="14"/>
              <w:tblW w:w="79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626"/>
              <w:gridCol w:w="417"/>
              <w:gridCol w:w="749"/>
              <w:gridCol w:w="474"/>
              <w:gridCol w:w="780"/>
              <w:gridCol w:w="634"/>
              <w:gridCol w:w="1318"/>
              <w:gridCol w:w="786"/>
              <w:gridCol w:w="760"/>
              <w:gridCol w:w="786"/>
              <w:gridCol w:w="57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10" w:hRule="atLeast"/>
                <w:jc w:val="center"/>
              </w:trPr>
              <w:tc>
                <w:tcPr>
                  <w:tcW w:w="626" w:type="dxa"/>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r>
                    <w:rPr>
                      <w:rFonts w:hint="eastAsia"/>
                      <w:b/>
                      <w:bCs/>
                      <w:color w:val="auto"/>
                      <w:sz w:val="18"/>
                      <w:szCs w:val="18"/>
                    </w:rPr>
                    <w:t>工序/</w:t>
                  </w:r>
                </w:p>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生产线</w:t>
                  </w:r>
                </w:p>
              </w:tc>
              <w:tc>
                <w:tcPr>
                  <w:tcW w:w="417"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装置</w:t>
                  </w:r>
                </w:p>
              </w:tc>
              <w:tc>
                <w:tcPr>
                  <w:tcW w:w="749"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b/>
                      <w:bCs/>
                      <w:color w:val="auto"/>
                      <w:sz w:val="18"/>
                      <w:szCs w:val="18"/>
                    </w:rPr>
                    <w:t>噪声源</w:t>
                  </w:r>
                </w:p>
              </w:tc>
              <w:tc>
                <w:tcPr>
                  <w:tcW w:w="474"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声源类型</w:t>
                  </w:r>
                </w:p>
              </w:tc>
              <w:tc>
                <w:tcPr>
                  <w:tcW w:w="1414"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噪声源强</w:t>
                  </w:r>
                </w:p>
              </w:tc>
              <w:tc>
                <w:tcPr>
                  <w:tcW w:w="2104"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b/>
                      <w:bCs/>
                      <w:color w:val="auto"/>
                      <w:sz w:val="18"/>
                      <w:szCs w:val="18"/>
                    </w:rPr>
                    <w:t>降噪措施</w:t>
                  </w:r>
                </w:p>
              </w:tc>
              <w:tc>
                <w:tcPr>
                  <w:tcW w:w="1546" w:type="dxa"/>
                  <w:gridSpan w:val="2"/>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噪声排放值</w:t>
                  </w:r>
                </w:p>
              </w:tc>
              <w:tc>
                <w:tcPr>
                  <w:tcW w:w="57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持续时间(h/a)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10" w:hRule="atLeast"/>
                <w:jc w:val="center"/>
              </w:trPr>
              <w:tc>
                <w:tcPr>
                  <w:tcW w:w="626" w:type="dxa"/>
                  <w:vMerge w:val="continue"/>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p>
              </w:tc>
              <w:tc>
                <w:tcPr>
                  <w:tcW w:w="41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p>
              </w:tc>
              <w:tc>
                <w:tcPr>
                  <w:tcW w:w="749"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p>
              </w:tc>
              <w:tc>
                <w:tcPr>
                  <w:tcW w:w="47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核算方法</w:t>
                  </w:r>
                </w:p>
              </w:tc>
              <w:tc>
                <w:tcPr>
                  <w:tcW w:w="6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r>
                    <w:rPr>
                      <w:rFonts w:hint="eastAsia"/>
                      <w:b/>
                      <w:bCs/>
                      <w:color w:val="auto"/>
                      <w:sz w:val="18"/>
                      <w:szCs w:val="18"/>
                    </w:rPr>
                    <w:t>噪声值</w:t>
                  </w:r>
                </w:p>
              </w:tc>
              <w:tc>
                <w:tcPr>
                  <w:tcW w:w="1318"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工艺</w:t>
                  </w:r>
                </w:p>
              </w:tc>
              <w:tc>
                <w:tcPr>
                  <w:tcW w:w="786"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b/>
                      <w:bCs/>
                      <w:color w:val="auto"/>
                      <w:sz w:val="18"/>
                      <w:szCs w:val="18"/>
                    </w:rPr>
                  </w:pPr>
                  <w:r>
                    <w:rPr>
                      <w:rFonts w:hint="eastAsia"/>
                      <w:b/>
                      <w:bCs/>
                      <w:color w:val="auto"/>
                      <w:sz w:val="18"/>
                      <w:szCs w:val="18"/>
                    </w:rPr>
                    <w:t>降噪效果</w:t>
                  </w:r>
                </w:p>
              </w:tc>
              <w:tc>
                <w:tcPr>
                  <w:tcW w:w="760"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r>
                    <w:rPr>
                      <w:rFonts w:hint="eastAsia"/>
                      <w:b/>
                      <w:bCs/>
                      <w:color w:val="auto"/>
                      <w:sz w:val="18"/>
                      <w:szCs w:val="18"/>
                    </w:rPr>
                    <w:t>核算方法</w:t>
                  </w:r>
                </w:p>
              </w:tc>
              <w:tc>
                <w:tcPr>
                  <w:tcW w:w="786"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r>
                    <w:rPr>
                      <w:rFonts w:hint="eastAsia"/>
                      <w:b/>
                      <w:bCs/>
                      <w:color w:val="auto"/>
                      <w:sz w:val="18"/>
                      <w:szCs w:val="18"/>
                    </w:rPr>
                    <w:t>排放强度</w:t>
                  </w:r>
                </w:p>
              </w:tc>
              <w:tc>
                <w:tcPr>
                  <w:tcW w:w="570" w:type="dxa"/>
                  <w:vMerge w:val="continue"/>
                  <w:tcBorders>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10" w:hRule="atLeast"/>
                <w:jc w:val="center"/>
              </w:trPr>
              <w:tc>
                <w:tcPr>
                  <w:tcW w:w="626"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color w:val="auto"/>
                      <w:sz w:val="18"/>
                      <w:szCs w:val="18"/>
                    </w:rPr>
                    <w:t>1</w:t>
                  </w:r>
                </w:p>
              </w:tc>
              <w:tc>
                <w:tcPr>
                  <w:tcW w:w="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装卸</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color w:val="auto"/>
                      <w:sz w:val="18"/>
                      <w:szCs w:val="18"/>
                    </w:rPr>
                    <w:t>动力泵</w:t>
                  </w:r>
                </w:p>
              </w:tc>
              <w:tc>
                <w:tcPr>
                  <w:tcW w:w="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偶发</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类比法</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color w:val="auto"/>
                      <w:sz w:val="18"/>
                      <w:szCs w:val="18"/>
                    </w:rPr>
                  </w:pPr>
                  <w:r>
                    <w:rPr>
                      <w:rFonts w:hint="eastAsia"/>
                      <w:color w:val="auto"/>
                      <w:sz w:val="18"/>
                      <w:szCs w:val="18"/>
                    </w:rPr>
                    <w:t>70</w:t>
                  </w:r>
                </w:p>
              </w:tc>
              <w:tc>
                <w:tcPr>
                  <w:tcW w:w="1318"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优选设备、建筑隔声、加强管理</w:t>
                  </w:r>
                </w:p>
              </w:tc>
              <w:tc>
                <w:tcPr>
                  <w:tcW w:w="786"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10</w:t>
                  </w:r>
                </w:p>
              </w:tc>
              <w:tc>
                <w:tcPr>
                  <w:tcW w:w="76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类比法</w:t>
                  </w:r>
                </w:p>
              </w:tc>
              <w:tc>
                <w:tcPr>
                  <w:tcW w:w="786"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eastAsia"/>
                      <w:color w:val="auto"/>
                      <w:sz w:val="18"/>
                      <w:szCs w:val="18"/>
                    </w:rPr>
                  </w:pPr>
                  <w:r>
                    <w:rPr>
                      <w:rFonts w:hint="eastAsia"/>
                      <w:color w:val="auto"/>
                      <w:sz w:val="18"/>
                      <w:szCs w:val="18"/>
                    </w:rPr>
                    <w:t>60</w:t>
                  </w:r>
                </w:p>
              </w:tc>
              <w:tc>
                <w:tcPr>
                  <w:tcW w:w="570" w:type="dxa"/>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17" w:hRule="atLeast"/>
                <w:jc w:val="center"/>
              </w:trPr>
              <w:tc>
                <w:tcPr>
                  <w:tcW w:w="626"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color w:val="auto"/>
                      <w:sz w:val="18"/>
                      <w:szCs w:val="18"/>
                    </w:rPr>
                    <w:t>2</w:t>
                  </w:r>
                </w:p>
              </w:tc>
              <w:tc>
                <w:tcPr>
                  <w:tcW w:w="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运输</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color w:val="auto"/>
                      <w:sz w:val="18"/>
                      <w:szCs w:val="18"/>
                    </w:rPr>
                    <w:t>汽车噪声</w:t>
                  </w:r>
                </w:p>
              </w:tc>
              <w:tc>
                <w:tcPr>
                  <w:tcW w:w="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偶发</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color w:val="auto"/>
                      <w:sz w:val="18"/>
                      <w:szCs w:val="18"/>
                    </w:rPr>
                    <w:t>类比法</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65</w:t>
                  </w:r>
                </w:p>
              </w:tc>
              <w:tc>
                <w:tcPr>
                  <w:tcW w:w="1318" w:type="dxa"/>
                  <w:vMerge w:val="continue"/>
                  <w:tcBorders>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p>
              </w:tc>
              <w:tc>
                <w:tcPr>
                  <w:tcW w:w="786" w:type="dxa"/>
                  <w:tcBorders>
                    <w:top w:val="single" w:color="auto" w:sz="4" w:space="0"/>
                    <w:left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10</w:t>
                  </w:r>
                </w:p>
              </w:tc>
              <w:tc>
                <w:tcPr>
                  <w:tcW w:w="76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color w:val="auto"/>
                      <w:sz w:val="18"/>
                      <w:szCs w:val="18"/>
                    </w:rPr>
                    <w:t>类比法</w:t>
                  </w:r>
                </w:p>
              </w:tc>
              <w:tc>
                <w:tcPr>
                  <w:tcW w:w="786"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55</w:t>
                  </w:r>
                </w:p>
              </w:tc>
              <w:tc>
                <w:tcPr>
                  <w:tcW w:w="570" w:type="dxa"/>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color w:val="auto"/>
                      <w:sz w:val="18"/>
                      <w:szCs w:val="18"/>
                    </w:rPr>
                  </w:pPr>
                  <w:r>
                    <w:rPr>
                      <w:rFonts w:hint="eastAsia"/>
                      <w:color w:val="auto"/>
                      <w:sz w:val="18"/>
                      <w:szCs w:val="18"/>
                    </w:rPr>
                    <w:t>/</w:t>
                  </w:r>
                </w:p>
              </w:tc>
            </w:tr>
          </w:tbl>
          <w:p>
            <w:pPr>
              <w:adjustRightInd w:val="0"/>
              <w:snapToGrid w:val="0"/>
              <w:spacing w:line="400" w:lineRule="exact"/>
              <w:ind w:left="-53" w:leftChars="-25" w:right="-53" w:rightChars="-25" w:firstLine="422" w:firstLineChars="200"/>
              <w:jc w:val="left"/>
              <w:rPr>
                <w:rFonts w:hint="eastAsia"/>
                <w:b/>
                <w:bCs/>
                <w:color w:val="auto"/>
                <w:szCs w:val="21"/>
              </w:rPr>
            </w:pPr>
            <w:r>
              <w:rPr>
                <w:rFonts w:hint="eastAsia"/>
                <w:b/>
                <w:bCs/>
                <w:color w:val="auto"/>
                <w:szCs w:val="21"/>
                <w:lang w:val="zh-CN"/>
              </w:rPr>
              <w:t>（</w:t>
            </w:r>
            <w:r>
              <w:rPr>
                <w:rFonts w:hint="eastAsia"/>
                <w:b/>
                <w:bCs/>
                <w:color w:val="auto"/>
                <w:szCs w:val="21"/>
                <w:lang w:val="en-US" w:eastAsia="zh-CN"/>
              </w:rPr>
              <w:t>2</w:t>
            </w:r>
            <w:r>
              <w:rPr>
                <w:rFonts w:hint="eastAsia"/>
                <w:b/>
                <w:bCs/>
                <w:color w:val="auto"/>
                <w:szCs w:val="21"/>
                <w:lang w:val="zh-CN"/>
              </w:rPr>
              <w:t>）</w:t>
            </w:r>
            <w:r>
              <w:rPr>
                <w:rFonts w:hint="eastAsia"/>
                <w:b/>
                <w:bCs/>
                <w:color w:val="auto"/>
                <w:szCs w:val="21"/>
                <w:lang w:val="en-US" w:eastAsia="zh-CN"/>
              </w:rPr>
              <w:t>噪声</w:t>
            </w:r>
            <w:r>
              <w:rPr>
                <w:rFonts w:hint="eastAsia"/>
                <w:b/>
                <w:bCs/>
                <w:color w:val="auto"/>
                <w:szCs w:val="21"/>
              </w:rPr>
              <w:t>治理措施</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①优选设备。尽量选择低噪声且符合国家噪声标准的设备。建立设备定期维护、保养的管理制度，定期对设备进行维护、保养，使其处于较低的声级水平。</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②优化布局、建筑隔声。在总体布置上，将所有生产设备布置在封闭的车间内，厂界建设围墙；充分利用建筑物阻隔声波传播，减少噪声对厂界外环境的影响。</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③加强原培训和管理，严格遵守操作规程，避免抽油泵空转，降低噪声值。</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④加强运输车辆的管理。合理安排运输、装卸作业时间，场内设置减速、禁鸣等标识加以的引导，减轻运输车辆噪声影响。</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⑤</w:t>
            </w:r>
            <w:r>
              <w:rPr>
                <w:rFonts w:hint="default" w:ascii="Times New Roman" w:hAnsi="Times New Roman" w:cs="Times New Roman"/>
                <w:b w:val="0"/>
                <w:bCs w:val="0"/>
                <w:color w:val="auto"/>
                <w:szCs w:val="21"/>
                <w:lang w:val="en-US" w:eastAsia="zh-CN"/>
              </w:rPr>
              <w:t>加强</w:t>
            </w:r>
            <w:r>
              <w:rPr>
                <w:rFonts w:hint="eastAsia" w:ascii="Times New Roman" w:hAnsi="Times New Roman" w:cs="Times New Roman"/>
                <w:b w:val="0"/>
                <w:bCs w:val="0"/>
                <w:color w:val="auto"/>
                <w:szCs w:val="21"/>
                <w:lang w:val="en-US" w:eastAsia="zh-CN"/>
              </w:rPr>
              <w:t>厂区</w:t>
            </w:r>
            <w:r>
              <w:rPr>
                <w:rFonts w:hint="default" w:ascii="Times New Roman" w:hAnsi="Times New Roman" w:cs="Times New Roman"/>
                <w:b w:val="0"/>
                <w:bCs w:val="0"/>
                <w:color w:val="auto"/>
                <w:szCs w:val="21"/>
                <w:lang w:val="en-US" w:eastAsia="zh-CN"/>
              </w:rPr>
              <w:t>绿化工程，以增加其对噪声的消、吸作用。</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⑥</w:t>
            </w:r>
            <w:r>
              <w:rPr>
                <w:rFonts w:hint="default" w:ascii="Times New Roman" w:hAnsi="Times New Roman" w:cs="Times New Roman"/>
                <w:b w:val="0"/>
                <w:bCs w:val="0"/>
                <w:color w:val="auto"/>
                <w:szCs w:val="21"/>
                <w:lang w:val="en-US" w:eastAsia="zh-CN"/>
              </w:rPr>
              <w:t>加强职工环保意识教育，提倡文明生产，防止人为噪声，最大限度减少流动噪声源</w:t>
            </w:r>
            <w:r>
              <w:rPr>
                <w:rFonts w:hint="eastAsia" w:ascii="Times New Roman" w:hAnsi="Times New Roman" w:cs="Times New Roman"/>
                <w:b w:val="0"/>
                <w:bCs w:val="0"/>
                <w:color w:val="auto"/>
                <w:szCs w:val="21"/>
                <w:lang w:val="en-US" w:eastAsia="zh-CN"/>
              </w:rPr>
              <w:t>。</w:t>
            </w:r>
            <w:r>
              <w:rPr>
                <w:rFonts w:hint="default" w:ascii="Times New Roman" w:hAnsi="Times New Roman" w:cs="Times New Roman"/>
                <w:b w:val="0"/>
                <w:bCs w:val="0"/>
                <w:color w:val="auto"/>
                <w:szCs w:val="21"/>
                <w:lang w:val="en-US" w:eastAsia="zh-CN"/>
              </w:rPr>
              <w:t>在高噪声作业场所，对作业人员和管理人员发放个人劳动卫生防护用品。</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w:t>
            </w:r>
            <w:r>
              <w:rPr>
                <w:rFonts w:hint="eastAsia"/>
                <w:b/>
                <w:bCs/>
                <w:color w:val="auto"/>
                <w:szCs w:val="21"/>
                <w:lang w:val="en-US" w:eastAsia="zh-CN"/>
              </w:rPr>
              <w:t>3</w:t>
            </w:r>
            <w:r>
              <w:rPr>
                <w:b/>
                <w:bCs/>
                <w:color w:val="auto"/>
                <w:szCs w:val="21"/>
              </w:rPr>
              <w:t>）</w:t>
            </w:r>
            <w:r>
              <w:rPr>
                <w:b/>
                <w:bCs/>
                <w:color w:val="auto"/>
                <w:szCs w:val="21"/>
                <w:lang w:val="zh-CN"/>
              </w:rPr>
              <w:t>噪声</w:t>
            </w:r>
            <w:r>
              <w:rPr>
                <w:b/>
                <w:bCs/>
                <w:color w:val="auto"/>
                <w:szCs w:val="21"/>
              </w:rPr>
              <w:t>排放达标性分析</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本项目噪声主要来自装卸作业时的设备噪声，属于间歇排放。根据类比调查，装卸作业时整体噪声在65~70dB(A)，同时项目2套设备不会同时作业，车辆和油泵也不会同时运行，因此，项目作业时的噪声的强度最大为70dB（A），经距离衰减、建筑隔声后，厂界贡献值低于60dB（A）。</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项目噪声主要</w:t>
            </w:r>
            <w:r>
              <w:rPr>
                <w:rFonts w:hint="eastAsia" w:cs="Times New Roman"/>
                <w:color w:val="auto"/>
                <w:szCs w:val="21"/>
                <w:lang w:val="en-US" w:eastAsia="zh-CN"/>
              </w:rPr>
              <w:t>噪声</w:t>
            </w:r>
            <w:r>
              <w:rPr>
                <w:rFonts w:hint="default" w:ascii="Times New Roman" w:hAnsi="Times New Roman" w:cs="Times New Roman"/>
                <w:color w:val="auto"/>
                <w:szCs w:val="21"/>
              </w:rPr>
              <w:t>设备</w:t>
            </w:r>
            <w:r>
              <w:rPr>
                <w:rFonts w:hint="eastAsia" w:cs="Times New Roman"/>
                <w:color w:val="auto"/>
                <w:szCs w:val="21"/>
                <w:lang w:val="en-US" w:eastAsia="zh-CN"/>
              </w:rPr>
              <w:t>均在储油车间内，本报告将</w:t>
            </w:r>
            <w:r>
              <w:rPr>
                <w:rFonts w:hint="default" w:ascii="Times New Roman" w:hAnsi="Times New Roman" w:cs="Times New Roman"/>
                <w:color w:val="auto"/>
                <w:szCs w:val="21"/>
              </w:rPr>
              <w:t>项目主要噪声源进行能量叠加后所得到的合成声级视为一个声源，并以半球向外辐射传播，仅考虑声源的距离衰减</w:t>
            </w:r>
            <w:r>
              <w:rPr>
                <w:rFonts w:hint="eastAsia" w:cs="Times New Roman"/>
                <w:color w:val="auto"/>
                <w:szCs w:val="21"/>
                <w:lang w:val="en-US" w:eastAsia="zh-CN"/>
              </w:rPr>
              <w:t>进行预测。</w:t>
            </w:r>
            <w:r>
              <w:rPr>
                <w:rFonts w:hint="default" w:ascii="Times New Roman" w:hAnsi="Times New Roman" w:cs="Times New Roman"/>
                <w:color w:val="auto"/>
                <w:szCs w:val="21"/>
              </w:rPr>
              <w:t>按照“环评导则”推荐的噪声衰减预测模式，对项目场界点给出噪声贡献值，经预测计算得到的结果见下表。</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10</w:t>
            </w:r>
            <w:r>
              <w:rPr>
                <w:rFonts w:hint="default" w:ascii="Times New Roman" w:hAnsi="Times New Roman" w:eastAsia="黑体" w:cs="Times New Roman"/>
                <w:color w:val="auto"/>
                <w:kern w:val="0"/>
                <w:sz w:val="20"/>
                <w:szCs w:val="20"/>
                <w:lang w:val="en-US" w:eastAsia="zh-CN"/>
              </w:rPr>
              <w:t xml:space="preserve">  噪声预测计算结果   单位：dB(A)</w:t>
            </w:r>
          </w:p>
          <w:tbl>
            <w:tblPr>
              <w:tblStyle w:val="14"/>
              <w:tblW w:w="7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654"/>
              <w:gridCol w:w="1467"/>
              <w:gridCol w:w="1094"/>
              <w:gridCol w:w="933"/>
              <w:gridCol w:w="720"/>
              <w:gridCol w:w="681"/>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24"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评价点名称</w:t>
                  </w:r>
                </w:p>
              </w:tc>
              <w:tc>
                <w:tcPr>
                  <w:tcW w:w="65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源强</w:t>
                  </w:r>
                </w:p>
              </w:tc>
              <w:tc>
                <w:tcPr>
                  <w:tcW w:w="146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降噪措施及综合降噪效果</w:t>
                  </w:r>
                </w:p>
              </w:tc>
              <w:tc>
                <w:tcPr>
                  <w:tcW w:w="1094"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降噪后声级</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衰减距离</w:t>
                  </w:r>
                </w:p>
              </w:tc>
              <w:tc>
                <w:tcPr>
                  <w:tcW w:w="720"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贡献值</w:t>
                  </w:r>
                </w:p>
              </w:tc>
              <w:tc>
                <w:tcPr>
                  <w:tcW w:w="681"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标准</w:t>
                  </w:r>
                  <w:r>
                    <w:rPr>
                      <w:rFonts w:hint="default" w:ascii="Times New Roman" w:hAnsi="Times New Roman" w:cs="Times New Roman"/>
                      <w:b/>
                      <w:bCs/>
                      <w:color w:val="auto"/>
                      <w:sz w:val="18"/>
                      <w:szCs w:val="18"/>
                    </w:rPr>
                    <w:t>值</w:t>
                  </w:r>
                </w:p>
              </w:tc>
              <w:tc>
                <w:tcPr>
                  <w:tcW w:w="867"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24"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东界</w:t>
                  </w:r>
                </w:p>
              </w:tc>
              <w:tc>
                <w:tcPr>
                  <w:tcW w:w="654" w:type="dxa"/>
                  <w:vMerge w:val="restart"/>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70</w:t>
                  </w:r>
                </w:p>
              </w:tc>
              <w:tc>
                <w:tcPr>
                  <w:tcW w:w="1467" w:type="dxa"/>
                  <w:vMerge w:val="restart"/>
                  <w:noWrap w:val="0"/>
                  <w:vAlign w:val="center"/>
                </w:tcPr>
                <w:p>
                  <w:pPr>
                    <w:pStyle w:val="32"/>
                    <w:keepNext w:val="0"/>
                    <w:keepLines w:val="0"/>
                    <w:pageBreakBefore w:val="0"/>
                    <w:kinsoku/>
                    <w:wordWrap/>
                    <w:overflowPunct/>
                    <w:topLinePunct w:val="0"/>
                    <w:autoSpaceDE/>
                    <w:autoSpaceDN/>
                    <w:bidi w:val="0"/>
                    <w:adjustRightInd/>
                    <w:snapToGrid/>
                    <w:spacing w:line="280" w:lineRule="exact"/>
                    <w:ind w:left="-105" w:leftChars="-50" w:right="-105" w:rightChars="-50"/>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建筑隔声、基础减震、专用房间、厂房阻隔</w:t>
                  </w:r>
                  <w:r>
                    <w:rPr>
                      <w:rFonts w:hint="default" w:ascii="Times New Roman" w:hAnsi="Times New Roman" w:cs="Times New Roman"/>
                      <w:color w:val="auto"/>
                      <w:sz w:val="18"/>
                      <w:szCs w:val="18"/>
                    </w:rPr>
                    <w:t>，</w:t>
                  </w:r>
                  <w:r>
                    <w:rPr>
                      <w:rFonts w:hint="eastAsia" w:cs="Times New Roman"/>
                      <w:color w:val="auto"/>
                      <w:sz w:val="18"/>
                      <w:szCs w:val="18"/>
                      <w:lang w:val="en-US" w:eastAsia="zh-CN"/>
                    </w:rPr>
                    <w:t>10</w:t>
                  </w:r>
                </w:p>
              </w:tc>
              <w:tc>
                <w:tcPr>
                  <w:tcW w:w="1094" w:type="dxa"/>
                  <w:vMerge w:val="restart"/>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100</w:t>
                  </w:r>
                  <w:r>
                    <w:rPr>
                      <w:rFonts w:hint="default" w:ascii="Times New Roman" w:hAnsi="Times New Roman" w:cs="Times New Roman"/>
                      <w:color w:val="auto"/>
                      <w:sz w:val="18"/>
                      <w:szCs w:val="18"/>
                    </w:rPr>
                    <w:t>m</w:t>
                  </w:r>
                </w:p>
              </w:tc>
              <w:tc>
                <w:tcPr>
                  <w:tcW w:w="720" w:type="dxa"/>
                  <w:noWrap w:val="0"/>
                  <w:vAlign w:val="bottom"/>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20.0</w:t>
                  </w:r>
                </w:p>
              </w:tc>
              <w:tc>
                <w:tcPr>
                  <w:tcW w:w="681"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r>
                    <w:rPr>
                      <w:rFonts w:hint="eastAsia" w:cs="Times New Roman"/>
                      <w:color w:val="auto"/>
                      <w:sz w:val="18"/>
                      <w:szCs w:val="18"/>
                      <w:lang w:val="en-US" w:eastAsia="zh-CN"/>
                    </w:rPr>
                    <w:t>5</w:t>
                  </w:r>
                </w:p>
              </w:tc>
              <w:tc>
                <w:tcPr>
                  <w:tcW w:w="867"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24"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南界</w:t>
                  </w:r>
                </w:p>
              </w:tc>
              <w:tc>
                <w:tcPr>
                  <w:tcW w:w="654"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1467"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1094"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6</w:t>
                  </w:r>
                  <w:r>
                    <w:rPr>
                      <w:rFonts w:hint="default" w:ascii="Times New Roman" w:hAnsi="Times New Roman" w:cs="Times New Roman"/>
                      <w:color w:val="auto"/>
                      <w:sz w:val="18"/>
                      <w:szCs w:val="18"/>
                    </w:rPr>
                    <w:t>m</w:t>
                  </w:r>
                </w:p>
              </w:tc>
              <w:tc>
                <w:tcPr>
                  <w:tcW w:w="720" w:type="dxa"/>
                  <w:noWrap w:val="0"/>
                  <w:vAlign w:val="bottom"/>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44.4</w:t>
                  </w:r>
                </w:p>
              </w:tc>
              <w:tc>
                <w:tcPr>
                  <w:tcW w:w="681"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w:t>
                  </w:r>
                  <w:r>
                    <w:rPr>
                      <w:rFonts w:hint="eastAsia" w:cs="Times New Roman"/>
                      <w:color w:val="auto"/>
                      <w:sz w:val="18"/>
                      <w:szCs w:val="18"/>
                      <w:lang w:val="en-US" w:eastAsia="zh-CN"/>
                    </w:rPr>
                    <w:t>5</w:t>
                  </w:r>
                </w:p>
              </w:tc>
              <w:tc>
                <w:tcPr>
                  <w:tcW w:w="867"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24"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西界</w:t>
                  </w:r>
                </w:p>
              </w:tc>
              <w:tc>
                <w:tcPr>
                  <w:tcW w:w="654"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1467"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1094"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30</w:t>
                  </w:r>
                  <w:r>
                    <w:rPr>
                      <w:rFonts w:hint="default" w:ascii="Times New Roman" w:hAnsi="Times New Roman" w:cs="Times New Roman"/>
                      <w:color w:val="auto"/>
                      <w:sz w:val="18"/>
                      <w:szCs w:val="18"/>
                    </w:rPr>
                    <w:t>m</w:t>
                  </w:r>
                </w:p>
              </w:tc>
              <w:tc>
                <w:tcPr>
                  <w:tcW w:w="720" w:type="dxa"/>
                  <w:noWrap w:val="0"/>
                  <w:vAlign w:val="bottom"/>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30.5</w:t>
                  </w:r>
                </w:p>
              </w:tc>
              <w:tc>
                <w:tcPr>
                  <w:tcW w:w="681"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w:t>
                  </w:r>
                  <w:r>
                    <w:rPr>
                      <w:rFonts w:hint="eastAsia" w:cs="Times New Roman"/>
                      <w:color w:val="auto"/>
                      <w:sz w:val="18"/>
                      <w:szCs w:val="18"/>
                      <w:lang w:val="en-US" w:eastAsia="zh-CN"/>
                    </w:rPr>
                    <w:t>5</w:t>
                  </w:r>
                </w:p>
              </w:tc>
              <w:tc>
                <w:tcPr>
                  <w:tcW w:w="867"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24"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北界</w:t>
                  </w:r>
                </w:p>
              </w:tc>
              <w:tc>
                <w:tcPr>
                  <w:tcW w:w="654"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1467"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1094"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35</w:t>
                  </w:r>
                  <w:r>
                    <w:rPr>
                      <w:rFonts w:hint="default" w:ascii="Times New Roman" w:hAnsi="Times New Roman" w:cs="Times New Roman"/>
                      <w:color w:val="auto"/>
                      <w:sz w:val="18"/>
                      <w:szCs w:val="18"/>
                    </w:rPr>
                    <w:t>m</w:t>
                  </w:r>
                </w:p>
              </w:tc>
              <w:tc>
                <w:tcPr>
                  <w:tcW w:w="720" w:type="dxa"/>
                  <w:noWrap w:val="0"/>
                  <w:vAlign w:val="bottom"/>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29.1</w:t>
                  </w:r>
                </w:p>
              </w:tc>
              <w:tc>
                <w:tcPr>
                  <w:tcW w:w="681"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w:t>
                  </w:r>
                  <w:r>
                    <w:rPr>
                      <w:rFonts w:hint="eastAsia" w:cs="Times New Roman"/>
                      <w:color w:val="auto"/>
                      <w:sz w:val="18"/>
                      <w:szCs w:val="18"/>
                      <w:lang w:val="en-US" w:eastAsia="zh-CN"/>
                    </w:rPr>
                    <w:t>5</w:t>
                  </w:r>
                </w:p>
              </w:tc>
              <w:tc>
                <w:tcPr>
                  <w:tcW w:w="867" w:type="dxa"/>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达标</w:t>
                  </w:r>
                </w:p>
              </w:tc>
            </w:tr>
          </w:tbl>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由上表预测结果可知，本项目在采取</w:t>
            </w:r>
            <w:r>
              <w:rPr>
                <w:rFonts w:hint="default" w:ascii="Times New Roman" w:hAnsi="Times New Roman" w:cs="Times New Roman"/>
                <w:color w:val="auto"/>
                <w:szCs w:val="21"/>
                <w:lang w:val="en-US" w:eastAsia="zh-CN"/>
              </w:rPr>
              <w:t>优选设备、</w:t>
            </w:r>
            <w:r>
              <w:rPr>
                <w:rFonts w:hint="default" w:ascii="Times New Roman" w:hAnsi="Times New Roman" w:cs="Times New Roman"/>
                <w:color w:val="auto"/>
                <w:szCs w:val="21"/>
              </w:rPr>
              <w:t>建筑隔声、基础减振、距离衰减等措施的情况下，项目厂界四周噪声</w:t>
            </w:r>
            <w:r>
              <w:rPr>
                <w:rFonts w:hint="eastAsia" w:ascii="Times New Roman" w:hAnsi="Times New Roman" w:cs="Times New Roman"/>
                <w:color w:val="auto"/>
                <w:szCs w:val="21"/>
                <w:lang w:val="en-US" w:eastAsia="zh-CN"/>
              </w:rPr>
              <w:t>贡献值均</w:t>
            </w:r>
            <w:r>
              <w:rPr>
                <w:rFonts w:hint="default" w:ascii="Times New Roman" w:hAnsi="Times New Roman" w:cs="Times New Roman"/>
                <w:color w:val="auto"/>
                <w:szCs w:val="21"/>
              </w:rPr>
              <w:t>能够满足《工业企业厂界环境噪声排放标准》（GB12348-2008）</w:t>
            </w:r>
            <w:r>
              <w:rPr>
                <w:rFonts w:hint="eastAsia" w:cs="Times New Roman"/>
                <w:color w:val="auto"/>
                <w:szCs w:val="21"/>
                <w:lang w:val="en-US" w:eastAsia="zh-CN"/>
              </w:rPr>
              <w:t>3</w:t>
            </w:r>
            <w:r>
              <w:rPr>
                <w:rFonts w:hint="default" w:ascii="Times New Roman" w:hAnsi="Times New Roman" w:cs="Times New Roman"/>
                <w:color w:val="auto"/>
                <w:szCs w:val="21"/>
              </w:rPr>
              <w:t>类声环境功能区的排放限值要求。</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评价认为，项目建设不会改变区域声环境质量现状。</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w:t>
            </w:r>
            <w:r>
              <w:rPr>
                <w:rFonts w:hint="eastAsia"/>
                <w:b/>
                <w:bCs/>
                <w:color w:val="auto"/>
                <w:szCs w:val="21"/>
                <w:lang w:val="en-US" w:eastAsia="zh-CN"/>
              </w:rPr>
              <w:t>4</w:t>
            </w:r>
            <w:r>
              <w:rPr>
                <w:b/>
                <w:bCs/>
                <w:color w:val="auto"/>
                <w:szCs w:val="21"/>
              </w:rPr>
              <w:t>）</w:t>
            </w:r>
            <w:r>
              <w:rPr>
                <w:rFonts w:hint="eastAsia"/>
                <w:b/>
                <w:bCs/>
                <w:color w:val="auto"/>
                <w:szCs w:val="21"/>
              </w:rPr>
              <w:t>监测要求</w:t>
            </w:r>
          </w:p>
          <w:p>
            <w:pPr>
              <w:adjustRightInd w:val="0"/>
              <w:snapToGrid w:val="0"/>
              <w:spacing w:line="400" w:lineRule="exact"/>
              <w:ind w:left="-53" w:leftChars="-25" w:right="-53" w:rightChars="-25" w:firstLine="420" w:firstLineChars="200"/>
              <w:jc w:val="left"/>
              <w:rPr>
                <w:color w:val="auto"/>
                <w:szCs w:val="21"/>
              </w:rPr>
            </w:pPr>
            <w:r>
              <w:rPr>
                <w:color w:val="auto"/>
                <w:szCs w:val="21"/>
              </w:rPr>
              <w:t>根据《排污单位自行监测技术指南 总则》（HJ819-2017）文件，并结合本项目污染物的特点，制定营运期</w:t>
            </w:r>
            <w:r>
              <w:rPr>
                <w:rFonts w:hint="eastAsia"/>
                <w:color w:val="auto"/>
                <w:szCs w:val="21"/>
              </w:rPr>
              <w:t>噪声</w:t>
            </w:r>
            <w:r>
              <w:rPr>
                <w:color w:val="auto"/>
                <w:szCs w:val="21"/>
              </w:rPr>
              <w:t xml:space="preserve">监测计划见下表。 </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ascii="Times New Roman" w:hAnsi="Times New Roman" w:eastAsia="黑体" w:cs="Times New Roman"/>
                <w:color w:val="auto"/>
                <w:kern w:val="0"/>
                <w:sz w:val="20"/>
                <w:szCs w:val="20"/>
                <w:lang w:val="en-US" w:eastAsia="zh-CN"/>
              </w:rPr>
              <w:t>1</w:t>
            </w:r>
            <w:r>
              <w:rPr>
                <w:rFonts w:hint="eastAsia" w:eastAsia="黑体" w:cs="Times New Roman"/>
                <w:color w:val="auto"/>
                <w:kern w:val="0"/>
                <w:sz w:val="20"/>
                <w:szCs w:val="20"/>
                <w:lang w:val="en-US" w:eastAsia="zh-CN"/>
              </w:rPr>
              <w:t>1</w:t>
            </w:r>
            <w:r>
              <w:rPr>
                <w:rFonts w:hint="default" w:ascii="Times New Roman" w:hAnsi="Times New Roman" w:eastAsia="黑体" w:cs="Times New Roman"/>
                <w:color w:val="auto"/>
                <w:kern w:val="0"/>
                <w:sz w:val="20"/>
                <w:szCs w:val="20"/>
                <w:lang w:val="en-US" w:eastAsia="zh-CN"/>
              </w:rPr>
              <w:t xml:space="preserve">  营运期监测计划</w:t>
            </w:r>
          </w:p>
          <w:tbl>
            <w:tblPr>
              <w:tblStyle w:val="15"/>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2043"/>
              <w:gridCol w:w="1437"/>
              <w:gridCol w:w="1734"/>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25"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监测项目</w:t>
                  </w:r>
                </w:p>
              </w:tc>
              <w:tc>
                <w:tcPr>
                  <w:tcW w:w="2043"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监测点位</w:t>
                  </w:r>
                </w:p>
              </w:tc>
              <w:tc>
                <w:tcPr>
                  <w:tcW w:w="1437"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监测因子</w:t>
                  </w:r>
                </w:p>
              </w:tc>
              <w:tc>
                <w:tcPr>
                  <w:tcW w:w="1734"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监测频次</w:t>
                  </w:r>
                </w:p>
              </w:tc>
              <w:tc>
                <w:tcPr>
                  <w:tcW w:w="1419" w:type="dxa"/>
                  <w:noWrap w:val="0"/>
                  <w:vAlign w:val="center"/>
                </w:tcPr>
                <w:p>
                  <w:pPr>
                    <w:autoSpaceDE w:val="0"/>
                    <w:autoSpaceDN w:val="0"/>
                    <w:adjustRightInd w:val="0"/>
                    <w:spacing w:line="280" w:lineRule="exact"/>
                    <w:jc w:val="center"/>
                    <w:rPr>
                      <w:b/>
                      <w:color w:val="auto"/>
                      <w:sz w:val="18"/>
                      <w:szCs w:val="18"/>
                    </w:rPr>
                  </w:pPr>
                  <w:r>
                    <w:rPr>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325" w:type="dxa"/>
                  <w:noWrap w:val="0"/>
                  <w:vAlign w:val="center"/>
                </w:tcPr>
                <w:p>
                  <w:pPr>
                    <w:autoSpaceDE w:val="0"/>
                    <w:autoSpaceDN w:val="0"/>
                    <w:adjustRightInd w:val="0"/>
                    <w:spacing w:line="280" w:lineRule="exact"/>
                    <w:ind w:left="-210" w:leftChars="-100" w:right="-105" w:rightChars="-50"/>
                    <w:jc w:val="center"/>
                    <w:rPr>
                      <w:rFonts w:hint="eastAsia"/>
                      <w:bCs/>
                      <w:color w:val="auto"/>
                      <w:sz w:val="18"/>
                      <w:szCs w:val="18"/>
                    </w:rPr>
                  </w:pPr>
                  <w:r>
                    <w:rPr>
                      <w:rFonts w:hint="eastAsia"/>
                      <w:bCs/>
                      <w:color w:val="auto"/>
                      <w:sz w:val="18"/>
                      <w:szCs w:val="18"/>
                    </w:rPr>
                    <w:t>噪声</w:t>
                  </w:r>
                </w:p>
              </w:tc>
              <w:tc>
                <w:tcPr>
                  <w:tcW w:w="2043" w:type="dxa"/>
                  <w:noWrap w:val="0"/>
                  <w:vAlign w:val="center"/>
                </w:tcPr>
                <w:p>
                  <w:pPr>
                    <w:autoSpaceDE w:val="0"/>
                    <w:autoSpaceDN w:val="0"/>
                    <w:adjustRightInd w:val="0"/>
                    <w:spacing w:line="280" w:lineRule="exact"/>
                    <w:jc w:val="center"/>
                    <w:rPr>
                      <w:rFonts w:hint="eastAsia"/>
                      <w:bCs/>
                      <w:color w:val="auto"/>
                      <w:sz w:val="18"/>
                      <w:szCs w:val="18"/>
                    </w:rPr>
                  </w:pPr>
                  <w:r>
                    <w:rPr>
                      <w:bCs/>
                      <w:color w:val="auto"/>
                      <w:sz w:val="18"/>
                      <w:szCs w:val="18"/>
                    </w:rPr>
                    <w:t>厂界</w:t>
                  </w:r>
                  <w:r>
                    <w:rPr>
                      <w:rFonts w:hint="eastAsia"/>
                      <w:bCs/>
                      <w:color w:val="auto"/>
                      <w:sz w:val="18"/>
                      <w:szCs w:val="18"/>
                    </w:rPr>
                    <w:t>四周</w:t>
                  </w:r>
                </w:p>
              </w:tc>
              <w:tc>
                <w:tcPr>
                  <w:tcW w:w="1437" w:type="dxa"/>
                  <w:noWrap w:val="0"/>
                  <w:vAlign w:val="center"/>
                </w:tcPr>
                <w:p>
                  <w:pPr>
                    <w:autoSpaceDE w:val="0"/>
                    <w:autoSpaceDN w:val="0"/>
                    <w:adjustRightInd w:val="0"/>
                    <w:spacing w:line="280" w:lineRule="exact"/>
                    <w:jc w:val="center"/>
                    <w:rPr>
                      <w:bCs/>
                      <w:color w:val="auto"/>
                      <w:sz w:val="18"/>
                      <w:szCs w:val="18"/>
                      <w:lang w:val="zh-CN"/>
                    </w:rPr>
                  </w:pPr>
                  <w:r>
                    <w:rPr>
                      <w:rFonts w:hint="eastAsia"/>
                      <w:bCs/>
                      <w:color w:val="auto"/>
                      <w:sz w:val="18"/>
                      <w:szCs w:val="18"/>
                    </w:rPr>
                    <w:t>噪声</w:t>
                  </w:r>
                </w:p>
              </w:tc>
              <w:tc>
                <w:tcPr>
                  <w:tcW w:w="1734" w:type="dxa"/>
                  <w:noWrap w:val="0"/>
                  <w:vAlign w:val="center"/>
                </w:tcPr>
                <w:p>
                  <w:pPr>
                    <w:autoSpaceDE w:val="0"/>
                    <w:autoSpaceDN w:val="0"/>
                    <w:adjustRightInd w:val="0"/>
                    <w:spacing w:line="280" w:lineRule="exact"/>
                    <w:jc w:val="center"/>
                    <w:rPr>
                      <w:bCs/>
                      <w:color w:val="auto"/>
                      <w:sz w:val="18"/>
                      <w:szCs w:val="18"/>
                    </w:rPr>
                  </w:pPr>
                  <w:r>
                    <w:rPr>
                      <w:bCs/>
                      <w:color w:val="auto"/>
                      <w:sz w:val="18"/>
                      <w:szCs w:val="18"/>
                    </w:rPr>
                    <w:t>1天</w:t>
                  </w:r>
                </w:p>
              </w:tc>
              <w:tc>
                <w:tcPr>
                  <w:tcW w:w="1419" w:type="dxa"/>
                  <w:noWrap w:val="0"/>
                  <w:vAlign w:val="center"/>
                </w:tcPr>
                <w:p>
                  <w:pPr>
                    <w:autoSpaceDE w:val="0"/>
                    <w:autoSpaceDN w:val="0"/>
                    <w:adjustRightInd w:val="0"/>
                    <w:spacing w:line="280" w:lineRule="exact"/>
                    <w:jc w:val="center"/>
                    <w:rPr>
                      <w:bCs/>
                      <w:color w:val="auto"/>
                      <w:sz w:val="18"/>
                      <w:szCs w:val="18"/>
                    </w:rPr>
                  </w:pPr>
                  <w:r>
                    <w:rPr>
                      <w:bCs/>
                      <w:color w:val="auto"/>
                      <w:sz w:val="18"/>
                      <w:szCs w:val="18"/>
                    </w:rPr>
                    <w:t>每</w:t>
                  </w:r>
                  <w:r>
                    <w:rPr>
                      <w:rFonts w:hint="eastAsia"/>
                      <w:bCs/>
                      <w:color w:val="auto"/>
                      <w:sz w:val="18"/>
                      <w:szCs w:val="18"/>
                    </w:rPr>
                    <w:t>季度</w:t>
                  </w:r>
                  <w:r>
                    <w:rPr>
                      <w:bCs/>
                      <w:color w:val="auto"/>
                      <w:sz w:val="18"/>
                      <w:szCs w:val="18"/>
                    </w:rPr>
                    <w:t>1次</w:t>
                  </w:r>
                </w:p>
              </w:tc>
            </w:tr>
          </w:tbl>
          <w:p>
            <w:pPr>
              <w:autoSpaceDE w:val="0"/>
              <w:autoSpaceDN w:val="0"/>
              <w:adjustRightInd w:val="0"/>
              <w:snapToGrid w:val="0"/>
              <w:spacing w:line="400" w:lineRule="exact"/>
              <w:rPr>
                <w:rFonts w:eastAsia="黑体"/>
                <w:color w:val="auto"/>
                <w:kern w:val="0"/>
                <w:sz w:val="22"/>
                <w:szCs w:val="22"/>
                <w:lang w:val="zh-CN"/>
              </w:rPr>
            </w:pPr>
            <w:r>
              <w:rPr>
                <w:rFonts w:eastAsia="黑体"/>
                <w:color w:val="auto"/>
                <w:kern w:val="0"/>
                <w:sz w:val="22"/>
                <w:szCs w:val="22"/>
              </w:rPr>
              <w:t>4</w:t>
            </w:r>
            <w:r>
              <w:rPr>
                <w:rFonts w:eastAsia="黑体"/>
                <w:color w:val="auto"/>
                <w:kern w:val="0"/>
                <w:sz w:val="22"/>
                <w:szCs w:val="22"/>
                <w:lang w:val="zh-CN"/>
              </w:rPr>
              <w:t>、固体废物</w:t>
            </w:r>
          </w:p>
          <w:p>
            <w:pPr>
              <w:adjustRightInd w:val="0"/>
              <w:snapToGrid w:val="0"/>
              <w:spacing w:line="400" w:lineRule="exact"/>
              <w:ind w:firstLine="420" w:firstLineChars="200"/>
              <w:jc w:val="left"/>
              <w:rPr>
                <w:color w:val="auto"/>
                <w:szCs w:val="21"/>
                <w:lang w:val="zh-CN"/>
              </w:rPr>
            </w:pPr>
            <w:r>
              <w:rPr>
                <w:color w:val="auto"/>
                <w:szCs w:val="21"/>
                <w:lang w:val="zh-CN"/>
              </w:rPr>
              <w:t>项目产生的固废主要有</w:t>
            </w:r>
            <w:r>
              <w:rPr>
                <w:color w:val="auto"/>
                <w:szCs w:val="21"/>
              </w:rPr>
              <w:t>罐底油泥、</w:t>
            </w:r>
            <w:r>
              <w:rPr>
                <w:color w:val="auto"/>
                <w:szCs w:val="21"/>
                <w:lang w:val="zh-CN"/>
              </w:rPr>
              <w:t>废弃吸油棉、含油锯末，少量生活垃圾以及含油工作服、手套等劳保废品。</w:t>
            </w:r>
          </w:p>
          <w:p>
            <w:pPr>
              <w:adjustRightInd w:val="0"/>
              <w:snapToGrid w:val="0"/>
              <w:spacing w:line="400" w:lineRule="exact"/>
              <w:ind w:firstLine="422" w:firstLineChars="200"/>
              <w:jc w:val="left"/>
              <w:rPr>
                <w:b/>
                <w:bCs/>
                <w:color w:val="auto"/>
                <w:szCs w:val="21"/>
                <w:lang w:val="zh-CN"/>
              </w:rPr>
            </w:pPr>
            <w:r>
              <w:rPr>
                <w:b/>
                <w:bCs/>
                <w:color w:val="auto"/>
                <w:szCs w:val="21"/>
                <w:lang w:val="zh-CN"/>
              </w:rPr>
              <w:t>（1）固废产生</w:t>
            </w:r>
            <w:r>
              <w:rPr>
                <w:b/>
                <w:bCs/>
                <w:color w:val="auto"/>
                <w:szCs w:val="21"/>
              </w:rPr>
              <w:t>及治理</w:t>
            </w:r>
            <w:r>
              <w:rPr>
                <w:b/>
                <w:bCs/>
                <w:color w:val="auto"/>
                <w:szCs w:val="21"/>
                <w:lang w:val="zh-CN"/>
              </w:rPr>
              <w:t>情况</w:t>
            </w:r>
          </w:p>
          <w:p>
            <w:pPr>
              <w:adjustRightInd w:val="0"/>
              <w:snapToGrid w:val="0"/>
              <w:spacing w:line="400" w:lineRule="exact"/>
              <w:ind w:firstLine="420" w:firstLineChars="200"/>
              <w:jc w:val="left"/>
              <w:rPr>
                <w:rFonts w:hint="eastAsia"/>
                <w:color w:val="auto"/>
                <w:szCs w:val="21"/>
              </w:rPr>
            </w:pPr>
            <w:r>
              <w:rPr>
                <w:color w:val="auto"/>
                <w:szCs w:val="21"/>
                <w:lang w:val="zh-CN"/>
              </w:rPr>
              <w:t>①</w:t>
            </w:r>
            <w:r>
              <w:rPr>
                <w:rFonts w:hint="eastAsia"/>
                <w:color w:val="auto"/>
                <w:szCs w:val="21"/>
              </w:rPr>
              <w:t>滴漏废油</w:t>
            </w:r>
          </w:p>
          <w:p>
            <w:pPr>
              <w:adjustRightInd w:val="0"/>
              <w:snapToGrid w:val="0"/>
              <w:spacing w:line="400" w:lineRule="exact"/>
              <w:ind w:firstLine="420" w:firstLineChars="200"/>
              <w:jc w:val="left"/>
              <w:rPr>
                <w:color w:val="auto"/>
                <w:szCs w:val="21"/>
              </w:rPr>
            </w:pPr>
            <w:r>
              <w:rPr>
                <w:rFonts w:hint="eastAsia"/>
                <w:color w:val="auto"/>
                <w:szCs w:val="21"/>
              </w:rPr>
              <w:t>项目</w:t>
            </w:r>
            <w:r>
              <w:rPr>
                <w:rFonts w:hint="eastAsia"/>
                <w:color w:val="auto"/>
                <w:szCs w:val="21"/>
                <w:lang w:eastAsia="zh-CN"/>
              </w:rPr>
              <w:t>废矿物油</w:t>
            </w:r>
            <w:r>
              <w:rPr>
                <w:rFonts w:hint="eastAsia"/>
                <w:color w:val="auto"/>
                <w:szCs w:val="21"/>
              </w:rPr>
              <w:t>在装卸平台卸车和装车过程，在出油口会有少量滴漏，根据《散装液态石油产品损耗标准》（GB11085-89），润滑油卸车损耗率为0.04%。按照年收集</w:t>
            </w:r>
            <w:r>
              <w:rPr>
                <w:rFonts w:hint="eastAsia"/>
                <w:color w:val="auto"/>
                <w:szCs w:val="21"/>
                <w:lang w:eastAsia="zh-CN"/>
              </w:rPr>
              <w:t>废矿物油</w:t>
            </w:r>
            <w:r>
              <w:rPr>
                <w:rFonts w:hint="eastAsia"/>
                <w:color w:val="auto"/>
                <w:szCs w:val="21"/>
              </w:rPr>
              <w:t>2</w:t>
            </w:r>
            <w:r>
              <w:rPr>
                <w:rFonts w:hint="eastAsia"/>
                <w:color w:val="auto"/>
                <w:szCs w:val="21"/>
                <w:lang w:val="en-US" w:eastAsia="zh-CN"/>
              </w:rPr>
              <w:t>0</w:t>
            </w:r>
            <w:r>
              <w:rPr>
                <w:rFonts w:hint="eastAsia"/>
                <w:color w:val="auto"/>
                <w:szCs w:val="21"/>
              </w:rPr>
              <w:t>00吨计算，得出项目油气产生量为0.</w:t>
            </w:r>
            <w:r>
              <w:rPr>
                <w:rFonts w:hint="eastAsia"/>
                <w:color w:val="auto"/>
                <w:szCs w:val="21"/>
                <w:lang w:val="en-US" w:eastAsia="zh-CN"/>
              </w:rPr>
              <w:t>8</w:t>
            </w:r>
            <w:r>
              <w:rPr>
                <w:rFonts w:hint="eastAsia"/>
                <w:color w:val="auto"/>
                <w:szCs w:val="21"/>
              </w:rPr>
              <w:t>t/a</w:t>
            </w:r>
            <w:r>
              <w:rPr>
                <w:color w:val="auto"/>
                <w:szCs w:val="21"/>
                <w:lang w:val="zh-CN"/>
              </w:rPr>
              <w:t>。</w:t>
            </w:r>
            <w:r>
              <w:rPr>
                <w:rFonts w:hint="eastAsia"/>
                <w:color w:val="auto"/>
                <w:szCs w:val="21"/>
              </w:rPr>
              <w:t>为了减少油料滴漏，防止对环境造成影响，建设单位须将装卸平台建设成封闭的车间，装卸作业在室内进行，同时对装卸平台四周建设5cm的防溢流围堰，另外可配备移动式的接油托盘（或其他容器），装卸作业时，放置于出油口下方，收集滴漏的</w:t>
            </w:r>
            <w:r>
              <w:rPr>
                <w:rFonts w:hint="eastAsia"/>
                <w:color w:val="auto"/>
                <w:szCs w:val="21"/>
                <w:lang w:eastAsia="zh-CN"/>
              </w:rPr>
              <w:t>废矿物油</w:t>
            </w:r>
            <w:r>
              <w:rPr>
                <w:rFonts w:hint="eastAsia"/>
                <w:color w:val="auto"/>
                <w:szCs w:val="21"/>
              </w:rPr>
              <w:t>。</w:t>
            </w:r>
          </w:p>
          <w:p>
            <w:pPr>
              <w:adjustRightInd w:val="0"/>
              <w:snapToGrid w:val="0"/>
              <w:spacing w:line="400" w:lineRule="exact"/>
              <w:ind w:firstLine="420" w:firstLineChars="200"/>
              <w:jc w:val="left"/>
              <w:rPr>
                <w:color w:val="auto"/>
                <w:szCs w:val="21"/>
                <w:lang w:val="zh-CN"/>
              </w:rPr>
            </w:pPr>
            <w:r>
              <w:rPr>
                <w:color w:val="auto"/>
                <w:szCs w:val="21"/>
                <w:lang w:val="zh-CN"/>
              </w:rPr>
              <w:t>②废弃吸油棉、含油锯末</w:t>
            </w:r>
          </w:p>
          <w:p>
            <w:pPr>
              <w:adjustRightInd w:val="0"/>
              <w:snapToGrid w:val="0"/>
              <w:spacing w:line="400" w:lineRule="exact"/>
              <w:ind w:firstLine="420" w:firstLineChars="200"/>
              <w:jc w:val="left"/>
              <w:rPr>
                <w:color w:val="auto"/>
                <w:szCs w:val="21"/>
                <w:lang w:val="zh-CN"/>
              </w:rPr>
            </w:pPr>
            <w:r>
              <w:rPr>
                <w:color w:val="auto"/>
                <w:szCs w:val="21"/>
                <w:lang w:val="zh-CN"/>
              </w:rPr>
              <w:t>本项目在日产运营过程中，物流及设备清洁环节会有少量</w:t>
            </w:r>
            <w:r>
              <w:rPr>
                <w:rFonts w:hint="eastAsia"/>
                <w:color w:val="auto"/>
                <w:szCs w:val="21"/>
                <w:lang w:val="zh-CN"/>
              </w:rPr>
              <w:t>废矿物油</w:t>
            </w:r>
            <w:r>
              <w:rPr>
                <w:color w:val="auto"/>
                <w:szCs w:val="21"/>
                <w:lang w:val="zh-CN"/>
              </w:rPr>
              <w:t>滴漏。根据</w:t>
            </w:r>
            <w:r>
              <w:rPr>
                <w:rFonts w:hint="eastAsia"/>
                <w:color w:val="auto"/>
                <w:szCs w:val="21"/>
                <w:lang w:val="zh-CN"/>
              </w:rPr>
              <w:t>废矿物油</w:t>
            </w:r>
            <w:r>
              <w:rPr>
                <w:color w:val="auto"/>
                <w:szCs w:val="21"/>
                <w:lang w:val="zh-CN"/>
              </w:rPr>
              <w:t>的特性，</w:t>
            </w:r>
            <w:r>
              <w:rPr>
                <w:rFonts w:hint="eastAsia"/>
                <w:color w:val="auto"/>
                <w:szCs w:val="21"/>
                <w:lang w:val="zh-CN"/>
              </w:rPr>
              <w:t>废矿物油</w:t>
            </w:r>
            <w:r>
              <w:rPr>
                <w:color w:val="auto"/>
                <w:szCs w:val="21"/>
                <w:lang w:val="zh-CN"/>
              </w:rPr>
              <w:t>极易造成水环境二次污染，因此滴漏出来的</w:t>
            </w:r>
            <w:r>
              <w:rPr>
                <w:rFonts w:hint="eastAsia"/>
                <w:color w:val="auto"/>
                <w:szCs w:val="21"/>
                <w:lang w:val="zh-CN"/>
              </w:rPr>
              <w:t>废矿物油</w:t>
            </w:r>
            <w:r>
              <w:rPr>
                <w:color w:val="auto"/>
                <w:szCs w:val="21"/>
                <w:lang w:val="zh-CN"/>
              </w:rPr>
              <w:t>不宜使用水冲洗清除。本项目对滴漏于地面的</w:t>
            </w:r>
            <w:r>
              <w:rPr>
                <w:rFonts w:hint="eastAsia"/>
                <w:color w:val="auto"/>
                <w:szCs w:val="21"/>
                <w:lang w:val="zh-CN"/>
              </w:rPr>
              <w:t>废矿物油</w:t>
            </w:r>
            <w:r>
              <w:rPr>
                <w:color w:val="auto"/>
                <w:szCs w:val="21"/>
                <w:lang w:val="zh-CN"/>
              </w:rPr>
              <w:t>采用锯末进行吸油，对于临时收储设备的日产清洁采用吸油棉擦拭，杜绝冲洗</w:t>
            </w:r>
            <w:r>
              <w:rPr>
                <w:color w:val="auto"/>
                <w:szCs w:val="21"/>
              </w:rPr>
              <w:t>废</w:t>
            </w:r>
            <w:r>
              <w:rPr>
                <w:color w:val="auto"/>
                <w:szCs w:val="21"/>
                <w:lang w:val="zh-CN"/>
              </w:rPr>
              <w:t>水</w:t>
            </w:r>
            <w:r>
              <w:rPr>
                <w:color w:val="auto"/>
                <w:szCs w:val="21"/>
              </w:rPr>
              <w:t>产生。</w:t>
            </w:r>
            <w:r>
              <w:rPr>
                <w:color w:val="auto"/>
                <w:szCs w:val="21"/>
                <w:lang w:val="zh-CN"/>
              </w:rPr>
              <w:t>本项目在日产运营过程中，产生的废吸油棉及含油锯末约为0.</w:t>
            </w:r>
            <w:r>
              <w:rPr>
                <w:color w:val="auto"/>
                <w:szCs w:val="21"/>
              </w:rPr>
              <w:t>02</w:t>
            </w:r>
            <w:r>
              <w:rPr>
                <w:color w:val="auto"/>
                <w:szCs w:val="21"/>
                <w:lang w:val="zh-CN"/>
              </w:rPr>
              <w:t>t/a。根据《国家危险废物名录》（20</w:t>
            </w:r>
            <w:r>
              <w:rPr>
                <w:rFonts w:hint="eastAsia"/>
                <w:color w:val="auto"/>
                <w:szCs w:val="21"/>
              </w:rPr>
              <w:t>21</w:t>
            </w:r>
            <w:r>
              <w:rPr>
                <w:color w:val="auto"/>
                <w:szCs w:val="21"/>
                <w:lang w:val="zh-CN"/>
              </w:rPr>
              <w:t>年），废弃吸油棉、含油锯末属于危险废物（HW49 其他废物/900-041-49 含有或沾染毒性、感染性危险废物的废弃包装物、容器、过滤吸附介质），危险特性为T/In。</w:t>
            </w:r>
          </w:p>
          <w:p>
            <w:pPr>
              <w:adjustRightInd w:val="0"/>
              <w:snapToGrid w:val="0"/>
              <w:spacing w:line="400" w:lineRule="exact"/>
              <w:ind w:firstLine="420" w:firstLineChars="200"/>
              <w:jc w:val="left"/>
              <w:rPr>
                <w:color w:val="auto"/>
                <w:szCs w:val="21"/>
                <w:lang w:val="zh-CN"/>
              </w:rPr>
            </w:pPr>
            <w:r>
              <w:rPr>
                <w:color w:val="auto"/>
                <w:szCs w:val="21"/>
                <w:lang w:val="zh-CN"/>
              </w:rPr>
              <w:t>③含油工作服、手套</w:t>
            </w:r>
          </w:p>
          <w:p>
            <w:pPr>
              <w:adjustRightInd w:val="0"/>
              <w:snapToGrid w:val="0"/>
              <w:spacing w:line="400" w:lineRule="exact"/>
              <w:ind w:firstLine="420" w:firstLineChars="200"/>
              <w:jc w:val="left"/>
              <w:rPr>
                <w:color w:val="auto"/>
                <w:szCs w:val="21"/>
                <w:lang w:val="zh-CN"/>
              </w:rPr>
            </w:pPr>
            <w:r>
              <w:rPr>
                <w:color w:val="auto"/>
                <w:szCs w:val="21"/>
                <w:lang w:val="zh-CN"/>
              </w:rPr>
              <w:t>工作人员在操作过程中会穿戴工作服、佩戴手套等，操作时会沾染少量</w:t>
            </w:r>
            <w:r>
              <w:rPr>
                <w:rFonts w:hint="eastAsia"/>
                <w:color w:val="auto"/>
                <w:szCs w:val="21"/>
                <w:lang w:val="zh-CN"/>
              </w:rPr>
              <w:t>废矿物油</w:t>
            </w:r>
            <w:r>
              <w:rPr>
                <w:color w:val="auto"/>
                <w:szCs w:val="21"/>
                <w:lang w:val="zh-CN"/>
              </w:rPr>
              <w:t>。工作服、手套等工装不进行清洗，每半年更换一次。根据同类型项目类比调查，更换的工作服、手套产生量约0.05t/a。根据《国家危险废物名录》（20</w:t>
            </w:r>
            <w:r>
              <w:rPr>
                <w:rFonts w:hint="eastAsia"/>
                <w:color w:val="auto"/>
                <w:szCs w:val="21"/>
              </w:rPr>
              <w:t>21</w:t>
            </w:r>
            <w:r>
              <w:rPr>
                <w:color w:val="auto"/>
                <w:szCs w:val="21"/>
                <w:lang w:val="zh-CN"/>
              </w:rPr>
              <w:t>年），含油工作服、手套属于危险废物（HW49 其他废物900-041-49含有或沾染毒性、感染性危险废物的废弃包装物、容器、过滤吸附介质），危险特性为T/In。</w:t>
            </w:r>
          </w:p>
          <w:p>
            <w:pPr>
              <w:adjustRightInd w:val="0"/>
              <w:snapToGrid w:val="0"/>
              <w:spacing w:line="400" w:lineRule="exact"/>
              <w:ind w:firstLine="420" w:firstLineChars="200"/>
              <w:jc w:val="left"/>
              <w:rPr>
                <w:color w:val="auto"/>
                <w:szCs w:val="21"/>
                <w:lang w:val="zh-CN"/>
              </w:rPr>
            </w:pPr>
            <w:r>
              <w:rPr>
                <w:color w:val="auto"/>
                <w:szCs w:val="21"/>
              </w:rPr>
              <w:t>④</w:t>
            </w:r>
            <w:r>
              <w:rPr>
                <w:color w:val="auto"/>
                <w:szCs w:val="21"/>
                <w:lang w:val="zh-CN"/>
              </w:rPr>
              <w:t>本项目为</w:t>
            </w:r>
            <w:r>
              <w:rPr>
                <w:rFonts w:hint="eastAsia"/>
                <w:color w:val="auto"/>
                <w:szCs w:val="21"/>
                <w:lang w:val="zh-CN"/>
              </w:rPr>
              <w:t>废矿物油</w:t>
            </w:r>
            <w:r>
              <w:rPr>
                <w:color w:val="auto"/>
                <w:szCs w:val="21"/>
                <w:lang w:val="zh-CN"/>
              </w:rPr>
              <w:t>的回收、暂存，油罐底需进行定期清理油泥。根据业主介绍及类比相关厂家，本项目的罐底油泥每</w:t>
            </w:r>
            <w:r>
              <w:rPr>
                <w:rFonts w:hint="eastAsia"/>
                <w:color w:val="auto"/>
                <w:szCs w:val="21"/>
              </w:rPr>
              <w:t>五</w:t>
            </w:r>
            <w:r>
              <w:rPr>
                <w:color w:val="auto"/>
                <w:szCs w:val="21"/>
                <w:lang w:val="zh-CN"/>
              </w:rPr>
              <w:t>年清理一次，产生量约为</w:t>
            </w:r>
            <w:r>
              <w:rPr>
                <w:color w:val="auto"/>
                <w:szCs w:val="21"/>
              </w:rPr>
              <w:t>0.5</w:t>
            </w:r>
            <w:r>
              <w:rPr>
                <w:color w:val="auto"/>
                <w:szCs w:val="21"/>
                <w:lang w:val="zh-CN"/>
              </w:rPr>
              <w:t>t/</w:t>
            </w:r>
            <w:r>
              <w:rPr>
                <w:rFonts w:hint="eastAsia"/>
                <w:color w:val="auto"/>
                <w:szCs w:val="21"/>
              </w:rPr>
              <w:t>次（平均0.1t/a）</w:t>
            </w:r>
            <w:r>
              <w:rPr>
                <w:color w:val="auto"/>
                <w:szCs w:val="21"/>
                <w:lang w:val="zh-CN"/>
              </w:rPr>
              <w:t>，罐底油泥属于危废，清理出来后交由</w:t>
            </w:r>
            <w:r>
              <w:rPr>
                <w:rFonts w:hint="eastAsia"/>
                <w:color w:val="auto"/>
                <w:szCs w:val="21"/>
              </w:rPr>
              <w:t>有资质的单位处理</w:t>
            </w:r>
            <w:r>
              <w:rPr>
                <w:color w:val="auto"/>
                <w:szCs w:val="21"/>
                <w:lang w:val="zh-CN"/>
              </w:rPr>
              <w:t>，危险特性为T/In。</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⑤</w:t>
            </w:r>
            <w:r>
              <w:rPr>
                <w:color w:val="auto"/>
                <w:szCs w:val="21"/>
                <w:lang w:val="zh-CN"/>
              </w:rPr>
              <w:t>生活垃圾</w:t>
            </w:r>
          </w:p>
          <w:p>
            <w:pPr>
              <w:adjustRightInd w:val="0"/>
              <w:snapToGrid w:val="0"/>
              <w:spacing w:line="400" w:lineRule="exact"/>
              <w:ind w:left="-53" w:leftChars="-25" w:right="-53" w:rightChars="-25" w:firstLine="420" w:firstLineChars="200"/>
              <w:jc w:val="left"/>
              <w:rPr>
                <w:rFonts w:hint="eastAsia"/>
                <w:color w:val="auto"/>
                <w:szCs w:val="21"/>
                <w:lang w:val="zh-CN"/>
              </w:rPr>
            </w:pPr>
            <w:r>
              <w:rPr>
                <w:color w:val="auto"/>
                <w:szCs w:val="21"/>
                <w:lang w:val="zh-CN"/>
              </w:rPr>
              <w:t>项目劳动定员</w:t>
            </w:r>
            <w:r>
              <w:rPr>
                <w:rFonts w:hint="eastAsia"/>
                <w:color w:val="auto"/>
                <w:szCs w:val="21"/>
                <w:lang w:val="en-US" w:eastAsia="zh-CN"/>
              </w:rPr>
              <w:t>4</w:t>
            </w:r>
            <w:r>
              <w:rPr>
                <w:color w:val="auto"/>
                <w:szCs w:val="21"/>
                <w:lang w:val="zh-CN"/>
              </w:rPr>
              <w:t>人，按平均每人产生0.5kg/人·d计，则项目职工生活垃圾产生量</w:t>
            </w:r>
            <w:r>
              <w:rPr>
                <w:rFonts w:hint="eastAsia"/>
                <w:color w:val="auto"/>
                <w:szCs w:val="21"/>
                <w:lang w:val="en-US" w:eastAsia="zh-CN"/>
              </w:rPr>
              <w:t>2</w:t>
            </w:r>
            <w:r>
              <w:rPr>
                <w:color w:val="auto"/>
                <w:szCs w:val="21"/>
                <w:lang w:val="zh-CN"/>
              </w:rPr>
              <w:t>kg/d，年产生量0.</w:t>
            </w:r>
            <w:r>
              <w:rPr>
                <w:rFonts w:hint="eastAsia"/>
                <w:color w:val="auto"/>
                <w:szCs w:val="21"/>
                <w:lang w:val="en-US" w:eastAsia="zh-CN"/>
              </w:rPr>
              <w:t>7</w:t>
            </w:r>
            <w:r>
              <w:rPr>
                <w:color w:val="auto"/>
                <w:szCs w:val="21"/>
                <w:lang w:val="zh-CN"/>
              </w:rPr>
              <w:t>t/a；通过在办公生活区设垃圾收集桶收集，经收集后由</w:t>
            </w:r>
            <w:r>
              <w:rPr>
                <w:rFonts w:hint="eastAsia"/>
                <w:color w:val="auto"/>
                <w:szCs w:val="21"/>
                <w:lang w:val="en-US" w:eastAsia="zh-CN"/>
              </w:rPr>
              <w:t>园区</w:t>
            </w:r>
            <w:r>
              <w:rPr>
                <w:color w:val="auto"/>
                <w:szCs w:val="21"/>
                <w:lang w:val="zh-CN"/>
              </w:rPr>
              <w:t>环卫部门</w:t>
            </w:r>
            <w:r>
              <w:rPr>
                <w:rFonts w:hint="eastAsia"/>
                <w:color w:val="auto"/>
                <w:szCs w:val="21"/>
                <w:lang w:val="en-US" w:eastAsia="zh-CN"/>
              </w:rPr>
              <w:t>负责</w:t>
            </w:r>
            <w:r>
              <w:rPr>
                <w:color w:val="auto"/>
                <w:szCs w:val="21"/>
                <w:lang w:val="zh-CN"/>
              </w:rPr>
              <w:t>清运处理</w:t>
            </w:r>
            <w:r>
              <w:rPr>
                <w:rFonts w:hint="eastAsia"/>
                <w:color w:val="auto"/>
                <w:szCs w:val="21"/>
                <w:lang w:val="zh-CN"/>
              </w:rPr>
              <w:t>。</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表</w:t>
            </w:r>
            <w:r>
              <w:rPr>
                <w:rFonts w:hint="default" w:ascii="Times New Roman" w:hAnsi="Times New Roman" w:eastAsia="黑体" w:cs="Times New Roman"/>
                <w:color w:val="auto"/>
                <w:kern w:val="0"/>
                <w:sz w:val="20"/>
                <w:szCs w:val="20"/>
                <w:lang w:val="en-US" w:eastAsia="zh-CN"/>
              </w:rPr>
              <w:t>4-</w:t>
            </w:r>
            <w:r>
              <w:rPr>
                <w:rFonts w:hint="eastAsia" w:ascii="Times New Roman" w:hAnsi="Times New Roman" w:eastAsia="黑体" w:cs="Times New Roman"/>
                <w:color w:val="auto"/>
                <w:kern w:val="0"/>
                <w:sz w:val="20"/>
                <w:szCs w:val="20"/>
                <w:lang w:val="en-US" w:eastAsia="zh-CN"/>
              </w:rPr>
              <w:t>1</w:t>
            </w:r>
            <w:r>
              <w:rPr>
                <w:rFonts w:hint="eastAsia"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lang w:val="zh-CN" w:eastAsia="zh-CN"/>
              </w:rPr>
              <w:t xml:space="preserve">   </w:t>
            </w:r>
            <w:r>
              <w:rPr>
                <w:rFonts w:hint="default" w:ascii="Times New Roman" w:hAnsi="Times New Roman" w:eastAsia="黑体" w:cs="Times New Roman"/>
                <w:color w:val="auto"/>
                <w:kern w:val="0"/>
                <w:sz w:val="20"/>
                <w:szCs w:val="20"/>
                <w:lang w:val="en-US" w:eastAsia="zh-CN"/>
              </w:rPr>
              <w:t>一般</w:t>
            </w:r>
            <w:r>
              <w:rPr>
                <w:rFonts w:hint="default" w:ascii="Times New Roman" w:hAnsi="Times New Roman" w:eastAsia="黑体" w:cs="Times New Roman"/>
                <w:color w:val="auto"/>
                <w:kern w:val="0"/>
                <w:sz w:val="20"/>
                <w:szCs w:val="20"/>
                <w:lang w:val="zh-CN" w:eastAsia="zh-CN"/>
              </w:rPr>
              <w:t>固体废物产生情况表</w:t>
            </w:r>
          </w:p>
          <w:tbl>
            <w:tblPr>
              <w:tblStyle w:val="14"/>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08"/>
              <w:gridCol w:w="879"/>
              <w:gridCol w:w="518"/>
              <w:gridCol w:w="693"/>
              <w:gridCol w:w="519"/>
              <w:gridCol w:w="879"/>
              <w:gridCol w:w="894"/>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序号</w:t>
                  </w:r>
                </w:p>
              </w:tc>
              <w:tc>
                <w:tcPr>
                  <w:tcW w:w="9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名称</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产生环节</w:t>
                  </w:r>
                </w:p>
              </w:tc>
              <w:tc>
                <w:tcPr>
                  <w:tcW w:w="5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编号</w:t>
                  </w:r>
                </w:p>
              </w:tc>
              <w:tc>
                <w:tcPr>
                  <w:tcW w:w="69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产生量</w:t>
                  </w:r>
                </w:p>
              </w:tc>
              <w:tc>
                <w:tcPr>
                  <w:tcW w:w="5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b/>
                      <w:bCs/>
                      <w:color w:val="auto"/>
                      <w:sz w:val="18"/>
                      <w:szCs w:val="18"/>
                    </w:rPr>
                  </w:pPr>
                  <w:r>
                    <w:rPr>
                      <w:b/>
                      <w:bCs/>
                      <w:color w:val="auto"/>
                      <w:sz w:val="18"/>
                      <w:szCs w:val="18"/>
                    </w:rPr>
                    <w:t>性状</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主要成分</w:t>
                  </w:r>
                </w:p>
              </w:tc>
              <w:tc>
                <w:tcPr>
                  <w:tcW w:w="89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贮存方式</w:t>
                  </w:r>
                </w:p>
              </w:tc>
              <w:tc>
                <w:tcPr>
                  <w:tcW w:w="20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b/>
                      <w:color w:val="auto"/>
                      <w:sz w:val="18"/>
                      <w:szCs w:val="18"/>
                    </w:rPr>
                  </w:pPr>
                  <w:r>
                    <w:rPr>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eastAsia" w:eastAsia="宋体"/>
                      <w:bCs/>
                      <w:color w:val="auto"/>
                      <w:sz w:val="18"/>
                      <w:szCs w:val="18"/>
                      <w:lang w:val="en-US" w:eastAsia="zh-CN"/>
                    </w:rPr>
                  </w:pPr>
                  <w:r>
                    <w:rPr>
                      <w:rFonts w:hint="eastAsia"/>
                      <w:bCs/>
                      <w:color w:val="auto"/>
                      <w:sz w:val="18"/>
                      <w:szCs w:val="18"/>
                      <w:lang w:val="en-US" w:eastAsia="zh-CN"/>
                    </w:rPr>
                    <w:t>1</w:t>
                  </w:r>
                </w:p>
              </w:tc>
              <w:tc>
                <w:tcPr>
                  <w:tcW w:w="9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color w:val="auto"/>
                      <w:kern w:val="0"/>
                      <w:sz w:val="18"/>
                      <w:szCs w:val="18"/>
                    </w:rPr>
                  </w:pPr>
                  <w:r>
                    <w:rPr>
                      <w:color w:val="auto"/>
                      <w:kern w:val="0"/>
                      <w:sz w:val="18"/>
                      <w:szCs w:val="18"/>
                    </w:rPr>
                    <w:t>生活垃圾</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办公区</w:t>
                  </w:r>
                </w:p>
              </w:tc>
              <w:tc>
                <w:tcPr>
                  <w:tcW w:w="5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color w:val="auto"/>
                      <w:kern w:val="0"/>
                      <w:sz w:val="18"/>
                      <w:szCs w:val="18"/>
                    </w:rPr>
                  </w:pPr>
                  <w:r>
                    <w:rPr>
                      <w:bCs/>
                      <w:color w:val="auto"/>
                      <w:sz w:val="18"/>
                      <w:szCs w:val="18"/>
                    </w:rPr>
                    <w:t>/</w:t>
                  </w:r>
                </w:p>
              </w:tc>
              <w:tc>
                <w:tcPr>
                  <w:tcW w:w="69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0.7</w:t>
                  </w:r>
                  <w:r>
                    <w:rPr>
                      <w:rFonts w:hint="default"/>
                      <w:bCs/>
                      <w:color w:val="auto"/>
                      <w:sz w:val="18"/>
                      <w:szCs w:val="18"/>
                    </w:rPr>
                    <w:t>t/a</w:t>
                  </w:r>
                </w:p>
              </w:tc>
              <w:tc>
                <w:tcPr>
                  <w:tcW w:w="5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color w:val="auto"/>
                      <w:kern w:val="0"/>
                      <w:sz w:val="18"/>
                      <w:szCs w:val="18"/>
                    </w:rPr>
                  </w:pPr>
                  <w:r>
                    <w:rPr>
                      <w:color w:val="auto"/>
                      <w:kern w:val="0"/>
                      <w:sz w:val="18"/>
                      <w:szCs w:val="18"/>
                    </w:rPr>
                    <w:t>固态</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color w:val="auto"/>
                      <w:kern w:val="0"/>
                      <w:sz w:val="18"/>
                      <w:szCs w:val="18"/>
                    </w:rPr>
                  </w:pPr>
                  <w:r>
                    <w:rPr>
                      <w:color w:val="auto"/>
                      <w:kern w:val="0"/>
                      <w:sz w:val="18"/>
                      <w:szCs w:val="18"/>
                    </w:rPr>
                    <w:t>生活垃圾</w:t>
                  </w:r>
                </w:p>
              </w:tc>
              <w:tc>
                <w:tcPr>
                  <w:tcW w:w="89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color w:val="auto"/>
                      <w:kern w:val="0"/>
                      <w:sz w:val="18"/>
                      <w:szCs w:val="18"/>
                    </w:rPr>
                  </w:pPr>
                  <w:r>
                    <w:rPr>
                      <w:color w:val="auto"/>
                      <w:kern w:val="0"/>
                      <w:sz w:val="18"/>
                      <w:szCs w:val="18"/>
                    </w:rPr>
                    <w:t>袋装收集</w:t>
                  </w:r>
                </w:p>
              </w:tc>
              <w:tc>
                <w:tcPr>
                  <w:tcW w:w="2075" w:type="dxa"/>
                  <w:tcBorders>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园区环卫部门收集处置</w:t>
                  </w:r>
                </w:p>
              </w:tc>
            </w:tr>
          </w:tbl>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ascii="Times New Roman" w:hAnsi="Times New Roman" w:eastAsia="黑体" w:cs="Times New Roman"/>
                <w:color w:val="auto"/>
                <w:kern w:val="0"/>
                <w:sz w:val="20"/>
                <w:szCs w:val="20"/>
                <w:lang w:val="en-US" w:eastAsia="zh-CN"/>
              </w:rPr>
              <w:t>1</w:t>
            </w:r>
            <w:r>
              <w:rPr>
                <w:rFonts w:hint="eastAsia" w:eastAsia="黑体" w:cs="Times New Roman"/>
                <w:color w:val="auto"/>
                <w:kern w:val="0"/>
                <w:sz w:val="20"/>
                <w:szCs w:val="20"/>
                <w:lang w:val="en-US" w:eastAsia="zh-CN"/>
              </w:rPr>
              <w:t>3</w:t>
            </w:r>
            <w:r>
              <w:rPr>
                <w:rFonts w:hint="default" w:ascii="Times New Roman" w:hAnsi="Times New Roman" w:eastAsia="黑体" w:cs="Times New Roman"/>
                <w:color w:val="auto"/>
                <w:kern w:val="0"/>
                <w:sz w:val="20"/>
                <w:szCs w:val="20"/>
                <w:lang w:val="en-US" w:eastAsia="zh-CN"/>
              </w:rPr>
              <w:t xml:space="preserve">  危险</w:t>
            </w:r>
            <w:r>
              <w:rPr>
                <w:rFonts w:hint="default" w:ascii="Times New Roman" w:hAnsi="Times New Roman" w:eastAsia="黑体" w:cs="Times New Roman"/>
                <w:color w:val="auto"/>
                <w:kern w:val="0"/>
                <w:sz w:val="20"/>
                <w:szCs w:val="20"/>
                <w:lang w:val="zh-CN" w:eastAsia="zh-CN"/>
              </w:rPr>
              <w:t>废物产生情况表</w:t>
            </w:r>
          </w:p>
          <w:tbl>
            <w:tblPr>
              <w:tblStyle w:val="14"/>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
              <w:gridCol w:w="950"/>
              <w:gridCol w:w="463"/>
              <w:gridCol w:w="512"/>
              <w:gridCol w:w="925"/>
              <w:gridCol w:w="563"/>
              <w:gridCol w:w="450"/>
              <w:gridCol w:w="525"/>
              <w:gridCol w:w="458"/>
              <w:gridCol w:w="433"/>
              <w:gridCol w:w="450"/>
              <w:gridCol w:w="576"/>
              <w:gridCol w:w="562"/>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9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4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w:t>
                  </w:r>
                </w:p>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环节</w:t>
                  </w:r>
                </w:p>
              </w:tc>
              <w:tc>
                <w:tcPr>
                  <w:tcW w:w="512" w:type="dxa"/>
                  <w:tcBorders>
                    <w:top w:val="single" w:color="auto" w:sz="4" w:space="0"/>
                    <w:left w:val="nil"/>
                    <w:bottom w:val="single" w:color="auto" w:sz="4" w:space="0"/>
                    <w:right w:val="single" w:color="auto" w:sz="4" w:space="0"/>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before="0" w:beforeAutospacing="0" w:line="280" w:lineRule="exact"/>
                    <w:ind w:left="-105" w:leftChars="-50" w:right="-105" w:rightChars="-50" w:firstLine="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w:t>
                  </w:r>
                </w:p>
                <w:p>
                  <w:pPr>
                    <w:pStyle w:val="29"/>
                    <w:keepNext w:val="0"/>
                    <w:keepLines w:val="0"/>
                    <w:pageBreakBefore w:val="0"/>
                    <w:widowControl w:val="0"/>
                    <w:kinsoku/>
                    <w:wordWrap/>
                    <w:overflowPunct/>
                    <w:topLinePunct w:val="0"/>
                    <w:autoSpaceDE/>
                    <w:autoSpaceDN/>
                    <w:bidi w:val="0"/>
                    <w:adjustRightInd/>
                    <w:snapToGrid/>
                    <w:spacing w:before="0" w:beforeAutospacing="0" w:line="280" w:lineRule="exact"/>
                    <w:ind w:left="-105" w:leftChars="-50" w:right="-105" w:rightChars="-50" w:firstLine="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类别</w:t>
                  </w:r>
                </w:p>
              </w:tc>
              <w:tc>
                <w:tcPr>
                  <w:tcW w:w="925" w:type="dxa"/>
                  <w:tcBorders>
                    <w:top w:val="single" w:color="auto" w:sz="4" w:space="0"/>
                    <w:left w:val="nil"/>
                    <w:bottom w:val="single" w:color="auto" w:sz="4" w:space="0"/>
                    <w:right w:val="single" w:color="auto" w:sz="4" w:space="0"/>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before="0" w:beforeAutospacing="0" w:line="280" w:lineRule="exact"/>
                    <w:ind w:left="-105" w:leftChars="-50" w:right="-105" w:rightChars="-50" w:firstLine="0" w:firstLineChars="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危废代码</w:t>
                  </w:r>
                </w:p>
              </w:tc>
              <w:tc>
                <w:tcPr>
                  <w:tcW w:w="5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eastAsia="宋体" w:cs="Times New Roman"/>
                      <w:b/>
                      <w:bCs w:val="0"/>
                      <w:color w:val="auto"/>
                      <w:sz w:val="18"/>
                      <w:szCs w:val="18"/>
                      <w:lang w:eastAsia="zh-CN"/>
                    </w:rPr>
                  </w:pPr>
                  <w:r>
                    <w:rPr>
                      <w:rFonts w:hint="default" w:ascii="Times New Roman" w:hAnsi="Times New Roman" w:cs="Times New Roman"/>
                      <w:b/>
                      <w:bCs w:val="0"/>
                      <w:color w:val="auto"/>
                      <w:sz w:val="18"/>
                      <w:szCs w:val="18"/>
                    </w:rPr>
                    <w:t>产生量</w:t>
                  </w:r>
                </w:p>
              </w:tc>
              <w:tc>
                <w:tcPr>
                  <w:tcW w:w="4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105" w:leftChars="-50" w:right="-105" w:rightChars="-50"/>
                    <w:jc w:val="center"/>
                    <w:textAlignment w:val="auto"/>
                    <w:rPr>
                      <w:rFonts w:hint="default" w:ascii="Times New Roman" w:hAnsi="Times New Roman" w:eastAsia="宋体" w:cs="Times New Roman"/>
                      <w:b/>
                      <w:bCs/>
                      <w:color w:val="auto"/>
                      <w:kern w:val="2"/>
                      <w:sz w:val="16"/>
                      <w:szCs w:val="16"/>
                      <w:lang w:val="en-US" w:eastAsia="zh-CN" w:bidi="ar-SA"/>
                    </w:rPr>
                  </w:pPr>
                  <w:r>
                    <w:rPr>
                      <w:rFonts w:hint="default" w:ascii="Times New Roman" w:hAnsi="Times New Roman" w:cs="Times New Roman"/>
                      <w:b/>
                      <w:bCs/>
                      <w:color w:val="auto"/>
                      <w:sz w:val="16"/>
                      <w:szCs w:val="16"/>
                    </w:rPr>
                    <w:t>性状</w:t>
                  </w:r>
                </w:p>
              </w:tc>
              <w:tc>
                <w:tcPr>
                  <w:tcW w:w="5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主要成分</w:t>
                  </w:r>
                </w:p>
              </w:tc>
              <w:tc>
                <w:tcPr>
                  <w:tcW w:w="45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有害</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rPr>
                    <w:t>成分</w:t>
                  </w:r>
                </w:p>
              </w:tc>
              <w:tc>
                <w:tcPr>
                  <w:tcW w:w="4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产废</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rPr>
                    <w:t>周期</w:t>
                  </w:r>
                </w:p>
              </w:tc>
              <w:tc>
                <w:tcPr>
                  <w:tcW w:w="4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危险</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rPr>
                    <w:t>特性</w:t>
                  </w:r>
                </w:p>
              </w:tc>
              <w:tc>
                <w:tcPr>
                  <w:tcW w:w="5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最大储存量</w:t>
                  </w:r>
                </w:p>
              </w:tc>
              <w:tc>
                <w:tcPr>
                  <w:tcW w:w="5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贮存</w:t>
                  </w:r>
                </w:p>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方式</w:t>
                  </w:r>
                </w:p>
              </w:tc>
              <w:tc>
                <w:tcPr>
                  <w:tcW w:w="69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处置</w:t>
                  </w:r>
                </w:p>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9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滴漏的</w:t>
                  </w:r>
                  <w:r>
                    <w:rPr>
                      <w:rFonts w:hint="eastAsia" w:cs="Times New Roman"/>
                      <w:color w:val="auto"/>
                      <w:kern w:val="0"/>
                      <w:sz w:val="18"/>
                      <w:szCs w:val="18"/>
                      <w:lang w:val="en-US" w:eastAsia="zh-CN"/>
                    </w:rPr>
                    <w:t>废矿物油</w:t>
                  </w:r>
                </w:p>
              </w:tc>
              <w:tc>
                <w:tcPr>
                  <w:tcW w:w="46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装卸作业</w:t>
                  </w:r>
                </w:p>
              </w:tc>
              <w:tc>
                <w:tcPr>
                  <w:tcW w:w="51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HW08</w:t>
                  </w:r>
                </w:p>
              </w:tc>
              <w:tc>
                <w:tcPr>
                  <w:tcW w:w="9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900-214-08</w:t>
                  </w:r>
                </w:p>
              </w:tc>
              <w:tc>
                <w:tcPr>
                  <w:tcW w:w="5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0.</w:t>
                  </w:r>
                  <w:r>
                    <w:rPr>
                      <w:rFonts w:hint="eastAsia" w:ascii="Times New Roman" w:hAnsi="Times New Roman" w:eastAsia="宋体" w:cs="Times New Roman"/>
                      <w:color w:val="auto"/>
                      <w:kern w:val="0"/>
                      <w:sz w:val="18"/>
                      <w:szCs w:val="18"/>
                      <w:lang w:val="en-US" w:eastAsia="zh-CN"/>
                    </w:rPr>
                    <w:t>8</w:t>
                  </w:r>
                  <w:r>
                    <w:rPr>
                      <w:rFonts w:hint="default" w:ascii="Times New Roman" w:hAnsi="Times New Roman" w:eastAsia="宋体" w:cs="Times New Roman"/>
                      <w:color w:val="auto"/>
                      <w:kern w:val="0"/>
                      <w:sz w:val="18"/>
                      <w:szCs w:val="18"/>
                      <w:lang w:val="en-US" w:eastAsia="zh-CN"/>
                    </w:rPr>
                    <w:t>t/a</w:t>
                  </w:r>
                </w:p>
              </w:tc>
              <w:tc>
                <w:tcPr>
                  <w:tcW w:w="4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液</w:t>
                  </w:r>
                  <w:r>
                    <w:rPr>
                      <w:rFonts w:hint="default" w:ascii="Times New Roman" w:hAnsi="Times New Roman" w:eastAsia="宋体" w:cs="Times New Roman"/>
                      <w:color w:val="auto"/>
                      <w:kern w:val="0"/>
                      <w:sz w:val="18"/>
                      <w:szCs w:val="18"/>
                      <w:lang w:val="en-US" w:eastAsia="zh-CN"/>
                    </w:rPr>
                    <w:t>态</w:t>
                  </w:r>
                </w:p>
              </w:tc>
              <w:tc>
                <w:tcPr>
                  <w:tcW w:w="5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矿物</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w:t>
                  </w:r>
                </w:p>
              </w:tc>
              <w:tc>
                <w:tcPr>
                  <w:tcW w:w="458" w:type="dxa"/>
                  <w:vMerge w:val="restar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废</w:t>
                  </w:r>
                  <w:r>
                    <w:rPr>
                      <w:rFonts w:hint="default" w:ascii="Times New Roman" w:hAnsi="Times New Roman" w:eastAsia="宋体" w:cs="Times New Roman"/>
                      <w:color w:val="auto"/>
                      <w:kern w:val="0"/>
                      <w:sz w:val="18"/>
                      <w:szCs w:val="18"/>
                      <w:lang w:val="en-US" w:eastAsia="zh-CN"/>
                    </w:rPr>
                    <w:t>矿物油</w:t>
                  </w:r>
                </w:p>
              </w:tc>
              <w:tc>
                <w:tcPr>
                  <w:tcW w:w="43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间断</w:t>
                  </w:r>
                </w:p>
              </w:tc>
              <w:tc>
                <w:tcPr>
                  <w:tcW w:w="45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5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w:t>
                  </w:r>
                </w:p>
              </w:tc>
              <w:tc>
                <w:tcPr>
                  <w:tcW w:w="5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油罐</w:t>
                  </w:r>
                </w:p>
              </w:tc>
              <w:tc>
                <w:tcPr>
                  <w:tcW w:w="694"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分</w:t>
                  </w:r>
                  <w:r>
                    <w:rPr>
                      <w:rFonts w:hint="default" w:ascii="Times New Roman" w:hAnsi="Times New Roman" w:eastAsia="宋体" w:cs="Times New Roman"/>
                      <w:color w:val="auto"/>
                      <w:kern w:val="0"/>
                      <w:sz w:val="18"/>
                      <w:szCs w:val="18"/>
                      <w:lang w:val="en-US" w:eastAsia="zh-CN"/>
                    </w:rPr>
                    <w:t>类收集至危废暂存间，定期交由有资质单位处置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2</w:t>
                  </w:r>
                </w:p>
              </w:tc>
              <w:tc>
                <w:tcPr>
                  <w:tcW w:w="9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含油锯末</w:t>
                  </w:r>
                  <w:r>
                    <w:rPr>
                      <w:rFonts w:hint="eastAsia" w:ascii="Times New Roman" w:hAnsi="Times New Roman" w:cs="Times New Roman"/>
                      <w:color w:val="auto"/>
                      <w:kern w:val="0"/>
                      <w:sz w:val="18"/>
                      <w:szCs w:val="18"/>
                      <w:lang w:val="zh-CN" w:eastAsia="zh-CN"/>
                    </w:rPr>
                    <w:t>、</w:t>
                  </w:r>
                  <w:r>
                    <w:rPr>
                      <w:rFonts w:hint="default" w:ascii="Times New Roman" w:hAnsi="Times New Roman" w:eastAsia="宋体" w:cs="Times New Roman"/>
                      <w:color w:val="auto"/>
                      <w:kern w:val="0"/>
                      <w:sz w:val="18"/>
                      <w:szCs w:val="18"/>
                      <w:lang w:val="zh-CN" w:eastAsia="zh-CN"/>
                    </w:rPr>
                    <w:t>废弃吸油棉</w:t>
                  </w:r>
                </w:p>
              </w:tc>
              <w:tc>
                <w:tcPr>
                  <w:tcW w:w="46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设备清洁</w:t>
                  </w:r>
                </w:p>
              </w:tc>
              <w:tc>
                <w:tcPr>
                  <w:tcW w:w="51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HW49</w:t>
                  </w:r>
                </w:p>
              </w:tc>
              <w:tc>
                <w:tcPr>
                  <w:tcW w:w="9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900-041-49</w:t>
                  </w:r>
                </w:p>
              </w:tc>
              <w:tc>
                <w:tcPr>
                  <w:tcW w:w="5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0.02t/a</w:t>
                  </w:r>
                </w:p>
              </w:tc>
              <w:tc>
                <w:tcPr>
                  <w:tcW w:w="4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固态</w:t>
                  </w:r>
                </w:p>
              </w:tc>
              <w:tc>
                <w:tcPr>
                  <w:tcW w:w="5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棉、锯末</w:t>
                  </w:r>
                </w:p>
              </w:tc>
              <w:tc>
                <w:tcPr>
                  <w:tcW w:w="45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43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450"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5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0.</w:t>
                  </w:r>
                  <w:r>
                    <w:rPr>
                      <w:rFonts w:hint="eastAsia" w:ascii="Times New Roman" w:hAnsi="Times New Roman" w:eastAsia="宋体" w:cs="Times New Roman"/>
                      <w:color w:val="auto"/>
                      <w:kern w:val="0"/>
                      <w:sz w:val="18"/>
                      <w:szCs w:val="18"/>
                      <w:lang w:val="en-US" w:eastAsia="zh-CN"/>
                    </w:rPr>
                    <w:t>02t</w:t>
                  </w:r>
                </w:p>
              </w:tc>
              <w:tc>
                <w:tcPr>
                  <w:tcW w:w="5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收集桶</w:t>
                  </w:r>
                </w:p>
              </w:tc>
              <w:tc>
                <w:tcPr>
                  <w:tcW w:w="694"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39"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3</w:t>
                  </w:r>
                </w:p>
              </w:tc>
              <w:tc>
                <w:tcPr>
                  <w:tcW w:w="950"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含油工作服、手套</w:t>
                  </w:r>
                </w:p>
              </w:tc>
              <w:tc>
                <w:tcPr>
                  <w:tcW w:w="463"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工人防护</w:t>
                  </w:r>
                </w:p>
              </w:tc>
              <w:tc>
                <w:tcPr>
                  <w:tcW w:w="512"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HW49</w:t>
                  </w:r>
                </w:p>
              </w:tc>
              <w:tc>
                <w:tcPr>
                  <w:tcW w:w="92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900-041-49</w:t>
                  </w:r>
                </w:p>
              </w:tc>
              <w:tc>
                <w:tcPr>
                  <w:tcW w:w="563"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0.05t/a</w:t>
                  </w:r>
                </w:p>
              </w:tc>
              <w:tc>
                <w:tcPr>
                  <w:tcW w:w="450"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固态</w:t>
                  </w:r>
                </w:p>
              </w:tc>
              <w:tc>
                <w:tcPr>
                  <w:tcW w:w="52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棉麻织物</w:t>
                  </w:r>
                </w:p>
              </w:tc>
              <w:tc>
                <w:tcPr>
                  <w:tcW w:w="458"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433"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450"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576"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0.02t</w:t>
                  </w:r>
                </w:p>
              </w:tc>
              <w:tc>
                <w:tcPr>
                  <w:tcW w:w="562"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收集桶</w:t>
                  </w:r>
                </w:p>
              </w:tc>
              <w:tc>
                <w:tcPr>
                  <w:tcW w:w="694"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39"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w:t>
                  </w:r>
                </w:p>
              </w:tc>
              <w:tc>
                <w:tcPr>
                  <w:tcW w:w="950"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油泥</w:t>
                  </w:r>
                </w:p>
              </w:tc>
              <w:tc>
                <w:tcPr>
                  <w:tcW w:w="463"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油罐清理</w:t>
                  </w:r>
                </w:p>
              </w:tc>
              <w:tc>
                <w:tcPr>
                  <w:tcW w:w="512"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HW08</w:t>
                  </w:r>
                </w:p>
              </w:tc>
              <w:tc>
                <w:tcPr>
                  <w:tcW w:w="92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900-214-08</w:t>
                  </w:r>
                </w:p>
              </w:tc>
              <w:tc>
                <w:tcPr>
                  <w:tcW w:w="563"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0.5t/</w:t>
                  </w:r>
                  <w:r>
                    <w:rPr>
                      <w:rFonts w:hint="eastAsia" w:ascii="Times New Roman" w:hAnsi="Times New Roman" w:eastAsia="宋体" w:cs="Times New Roman"/>
                      <w:color w:val="auto"/>
                      <w:kern w:val="0"/>
                      <w:sz w:val="18"/>
                      <w:szCs w:val="18"/>
                      <w:lang w:val="en-US" w:eastAsia="zh-CN"/>
                    </w:rPr>
                    <w:t>次</w:t>
                  </w:r>
                </w:p>
              </w:tc>
              <w:tc>
                <w:tcPr>
                  <w:tcW w:w="450"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液</w:t>
                  </w:r>
                  <w:r>
                    <w:rPr>
                      <w:rFonts w:hint="default" w:ascii="Times New Roman" w:hAnsi="Times New Roman" w:eastAsia="宋体" w:cs="Times New Roman"/>
                      <w:color w:val="auto"/>
                      <w:kern w:val="0"/>
                      <w:sz w:val="18"/>
                      <w:szCs w:val="18"/>
                      <w:lang w:val="en-US" w:eastAsia="zh-CN"/>
                    </w:rPr>
                    <w:t>态</w:t>
                  </w:r>
                </w:p>
              </w:tc>
              <w:tc>
                <w:tcPr>
                  <w:tcW w:w="52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矿物油</w:t>
                  </w:r>
                </w:p>
              </w:tc>
              <w:tc>
                <w:tcPr>
                  <w:tcW w:w="458"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433"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450"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576"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w:t>
                  </w:r>
                </w:p>
              </w:tc>
              <w:tc>
                <w:tcPr>
                  <w:tcW w:w="562"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油罐</w:t>
                  </w:r>
                </w:p>
              </w:tc>
              <w:tc>
                <w:tcPr>
                  <w:tcW w:w="694"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r>
          </w:tbl>
          <w:p>
            <w:pPr>
              <w:adjustRightInd w:val="0"/>
              <w:snapToGrid w:val="0"/>
              <w:spacing w:line="400" w:lineRule="exact"/>
              <w:ind w:left="-53" w:leftChars="-25" w:right="-53" w:rightChars="-25" w:firstLine="422" w:firstLineChars="200"/>
              <w:jc w:val="left"/>
              <w:rPr>
                <w:b/>
                <w:bCs/>
                <w:color w:val="auto"/>
                <w:szCs w:val="21"/>
                <w:lang w:val="zh-CN"/>
              </w:rPr>
            </w:pPr>
            <w:r>
              <w:rPr>
                <w:b/>
                <w:bCs/>
                <w:color w:val="auto"/>
                <w:szCs w:val="21"/>
                <w:lang w:val="zh-CN"/>
              </w:rPr>
              <w:t>（2）固废处置措施</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建设单位拟在</w:t>
            </w:r>
            <w:r>
              <w:rPr>
                <w:color w:val="auto"/>
                <w:szCs w:val="21"/>
              </w:rPr>
              <w:t>储</w:t>
            </w:r>
            <w:r>
              <w:rPr>
                <w:rFonts w:hint="eastAsia"/>
                <w:color w:val="auto"/>
                <w:szCs w:val="21"/>
                <w:lang w:val="en-US" w:eastAsia="zh-CN"/>
              </w:rPr>
              <w:t>油车</w:t>
            </w:r>
            <w:r>
              <w:rPr>
                <w:color w:val="auto"/>
                <w:szCs w:val="21"/>
              </w:rPr>
              <w:t>间</w:t>
            </w:r>
            <w:r>
              <w:rPr>
                <w:color w:val="auto"/>
                <w:szCs w:val="21"/>
                <w:lang w:val="zh-CN"/>
              </w:rPr>
              <w:t>设置</w:t>
            </w:r>
            <w:r>
              <w:rPr>
                <w:rFonts w:hint="eastAsia"/>
                <w:color w:val="auto"/>
                <w:szCs w:val="21"/>
                <w:lang w:val="en-US" w:eastAsia="zh-CN"/>
              </w:rPr>
              <w:t>1个</w:t>
            </w:r>
            <w:r>
              <w:rPr>
                <w:color w:val="auto"/>
                <w:szCs w:val="21"/>
                <w:lang w:val="zh-CN"/>
              </w:rPr>
              <w:t>专门的危废暂存</w:t>
            </w:r>
            <w:r>
              <w:rPr>
                <w:rFonts w:hint="eastAsia"/>
                <w:color w:val="auto"/>
                <w:szCs w:val="21"/>
                <w:lang w:val="en-US" w:eastAsia="zh-CN"/>
              </w:rPr>
              <w:t>间</w:t>
            </w:r>
            <w:r>
              <w:rPr>
                <w:color w:val="auto"/>
                <w:szCs w:val="21"/>
                <w:lang w:val="zh-CN"/>
              </w:rPr>
              <w:t>，面积约</w:t>
            </w:r>
            <w:r>
              <w:rPr>
                <w:rFonts w:hint="eastAsia"/>
                <w:color w:val="auto"/>
                <w:szCs w:val="21"/>
                <w:lang w:val="en-US" w:eastAsia="zh-CN"/>
              </w:rPr>
              <w:t>4</w:t>
            </w:r>
            <w:r>
              <w:rPr>
                <w:color w:val="auto"/>
                <w:szCs w:val="21"/>
                <w:lang w:val="zh-CN"/>
              </w:rPr>
              <w:t>m</w:t>
            </w:r>
            <w:r>
              <w:rPr>
                <w:color w:val="auto"/>
                <w:szCs w:val="21"/>
                <w:vertAlign w:val="superscript"/>
                <w:lang w:val="zh-CN"/>
              </w:rPr>
              <w:t>2</w:t>
            </w:r>
            <w:r>
              <w:rPr>
                <w:color w:val="auto"/>
                <w:szCs w:val="21"/>
                <w:lang w:val="zh-CN"/>
              </w:rPr>
              <w:t>，地面采用“20cm混凝土硬化</w:t>
            </w:r>
            <w:r>
              <w:rPr>
                <w:rFonts w:hint="eastAsia"/>
                <w:color w:val="auto"/>
                <w:szCs w:val="21"/>
                <w:lang w:val="zh-CN"/>
              </w:rPr>
              <w:t>+3</w:t>
            </w:r>
            <w:r>
              <w:rPr>
                <w:color w:val="auto"/>
                <w:szCs w:val="21"/>
                <w:lang w:val="zh-CN"/>
              </w:rPr>
              <w:t>mm</w:t>
            </w:r>
            <w:r>
              <w:rPr>
                <w:rFonts w:hint="eastAsia"/>
                <w:color w:val="auto"/>
                <w:szCs w:val="21"/>
                <w:lang w:val="zh-CN"/>
              </w:rPr>
              <w:t>的SBS改性沥青卷材+2</w:t>
            </w:r>
            <w:r>
              <w:rPr>
                <w:color w:val="auto"/>
                <w:szCs w:val="21"/>
                <w:lang w:val="zh-CN"/>
              </w:rPr>
              <w:t>mm</w:t>
            </w:r>
            <w:r>
              <w:rPr>
                <w:rFonts w:hint="eastAsia"/>
                <w:color w:val="auto"/>
                <w:szCs w:val="21"/>
                <w:lang w:val="zh-CN"/>
              </w:rPr>
              <w:t>高密度聚乙烯</w:t>
            </w:r>
            <w:r>
              <w:rPr>
                <w:color w:val="auto"/>
                <w:szCs w:val="21"/>
                <w:lang w:val="zh-CN"/>
              </w:rPr>
              <w:t>地坪漆”进行重点防渗，达到等效黏土层防渗层Mb≥6.0m，防渗系数≤10</w:t>
            </w:r>
            <w:r>
              <w:rPr>
                <w:color w:val="auto"/>
                <w:szCs w:val="21"/>
                <w:vertAlign w:val="superscript"/>
                <w:lang w:val="zh-CN"/>
              </w:rPr>
              <w:t>-</w:t>
            </w:r>
            <w:r>
              <w:rPr>
                <w:color w:val="auto"/>
                <w:szCs w:val="21"/>
                <w:vertAlign w:val="superscript"/>
              </w:rPr>
              <w:t>7</w:t>
            </w:r>
            <w:r>
              <w:rPr>
                <w:color w:val="auto"/>
                <w:szCs w:val="21"/>
                <w:lang w:val="zh-CN"/>
              </w:rPr>
              <w:t>cm/s的要求。</w:t>
            </w:r>
            <w:r>
              <w:rPr>
                <w:color w:val="auto"/>
                <w:szCs w:val="21"/>
              </w:rPr>
              <w:t>暂存区内分别设置收集桶，分类收集</w:t>
            </w:r>
            <w:r>
              <w:rPr>
                <w:color w:val="auto"/>
                <w:szCs w:val="21"/>
                <w:lang w:val="zh-CN"/>
              </w:rPr>
              <w:t>废弃吸油棉、含油锯末、含油工作服、手套等危废，</w:t>
            </w:r>
            <w:r>
              <w:rPr>
                <w:color w:val="auto"/>
                <w:szCs w:val="21"/>
              </w:rPr>
              <w:t>定期</w:t>
            </w:r>
            <w:r>
              <w:rPr>
                <w:color w:val="auto"/>
                <w:szCs w:val="21"/>
                <w:lang w:val="zh-CN"/>
              </w:rPr>
              <w:t>交由危废资质单位处置。项目危废暂存间的设置以及危险废物的管理按《危险废物贮存污染控制标准》执行。</w:t>
            </w:r>
          </w:p>
          <w:p>
            <w:pPr>
              <w:adjustRightInd w:val="0"/>
              <w:snapToGrid w:val="0"/>
              <w:spacing w:line="400" w:lineRule="exact"/>
              <w:ind w:left="-53" w:leftChars="-25" w:right="-53" w:rightChars="-25" w:firstLine="422" w:firstLineChars="200"/>
              <w:jc w:val="left"/>
              <w:rPr>
                <w:b/>
                <w:bCs/>
                <w:color w:val="auto"/>
                <w:szCs w:val="21"/>
                <w:lang w:val="zh-CN"/>
              </w:rPr>
            </w:pPr>
            <w:r>
              <w:rPr>
                <w:b/>
                <w:bCs/>
                <w:color w:val="auto"/>
                <w:szCs w:val="21"/>
                <w:lang w:val="zh-CN"/>
              </w:rPr>
              <w:t>（3）危险废物管理要求</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①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②暂存间建设要求：依照《中华人民共和国固体废物污染环境防治法》的规定，建设单位必须建设危险废物单独的贮存间，并分别设置不同类别危险废物暂存间，对不同类别危废暂存间分别设置醒目的危险废物标识。根据项目平面布置，危险废物暂存间拟在原有的危废暂存间改造，此处距离危废产生点较近，可减少危险废物在场内转运距离，便于危险废物的贮存和转运。暂存间平时保持关闭状态，避免无关人员随意进出。贮存间应加强“四防”措施（防风、防雨、防晒、防渗漏），防止二次污染，加强防火等安全措施。</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③管理台账：建设单位必须单独建立危险废物管理台账，记录危废产生量、暂存量、处置量等。危险废物的转运必须按照《危险废物转移联单管理办法》实施，并委托具有危险废物处置资质的单位进行处理，并签订委托处置合同，不得擅自倾倒、堆放危险废物。在进行环保竣工验收时，建设单位必须提供与危废处置单位双方签订的回收处置协议。</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综上所述，本项目固体废物处理处置符合国家《固体废物污染环境防治法》规定的原则，符合《一般工业固体废物贮存、处置场污染控制标准》（GB18599-2020）和《危险废物贮存污染控制标准》（GB18597-2001）及其修改单规定，采取上述措施后，本工程固体废物可得到妥善的处理，对周围环境造成的影响很小，其处理措施技术可行、经济合理。</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5、地下水、土壤</w:t>
            </w:r>
          </w:p>
          <w:p>
            <w:pPr>
              <w:adjustRightInd w:val="0"/>
              <w:snapToGrid w:val="0"/>
              <w:spacing w:line="400" w:lineRule="exact"/>
              <w:ind w:left="-53" w:leftChars="-25" w:right="-53" w:rightChars="-25" w:firstLine="422" w:firstLineChars="200"/>
              <w:jc w:val="left"/>
              <w:rPr>
                <w:b/>
                <w:bCs/>
                <w:color w:val="auto"/>
                <w:szCs w:val="21"/>
                <w:lang w:val="zh-CN"/>
              </w:rPr>
            </w:pPr>
            <w:r>
              <w:rPr>
                <w:b/>
                <w:bCs/>
                <w:color w:val="auto"/>
                <w:szCs w:val="21"/>
                <w:lang w:val="zh-CN"/>
              </w:rPr>
              <w:t>（</w:t>
            </w:r>
            <w:r>
              <w:rPr>
                <w:b/>
                <w:bCs/>
                <w:color w:val="auto"/>
                <w:szCs w:val="21"/>
              </w:rPr>
              <w:t>1</w:t>
            </w:r>
            <w:r>
              <w:rPr>
                <w:b/>
                <w:bCs/>
                <w:color w:val="auto"/>
                <w:szCs w:val="21"/>
                <w:lang w:val="zh-CN"/>
              </w:rPr>
              <w:t>）污染源、污染物类型、污染途径</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本项目可能存在地下水污染的区域有</w:t>
            </w:r>
            <w:r>
              <w:rPr>
                <w:rFonts w:hint="eastAsia"/>
                <w:color w:val="auto"/>
                <w:szCs w:val="21"/>
                <w:lang w:eastAsia="zh-CN"/>
              </w:rPr>
              <w:t>废矿物油</w:t>
            </w:r>
            <w:r>
              <w:rPr>
                <w:color w:val="auto"/>
                <w:szCs w:val="21"/>
              </w:rPr>
              <w:t>暂存间及</w:t>
            </w:r>
            <w:r>
              <w:rPr>
                <w:rFonts w:hint="eastAsia"/>
                <w:color w:val="auto"/>
                <w:szCs w:val="21"/>
              </w:rPr>
              <w:t>装卸平台</w:t>
            </w:r>
            <w:r>
              <w:rPr>
                <w:color w:val="auto"/>
                <w:szCs w:val="21"/>
              </w:rPr>
              <w:t>。污染物主要为石油类，污染途径为垂直下渗、地表漫流</w:t>
            </w:r>
            <w:r>
              <w:rPr>
                <w:color w:val="auto"/>
                <w:szCs w:val="21"/>
                <w:lang w:val="zh-CN"/>
              </w:rPr>
              <w:t>。正常状况下，</w:t>
            </w:r>
            <w:r>
              <w:rPr>
                <w:color w:val="auto"/>
                <w:szCs w:val="21"/>
              </w:rPr>
              <w:t>项目</w:t>
            </w:r>
            <w:r>
              <w:rPr>
                <w:color w:val="auto"/>
                <w:szCs w:val="21"/>
                <w:lang w:val="zh-CN"/>
              </w:rPr>
              <w:t>不会造成地下水污染，仅在非正常状况下，</w:t>
            </w:r>
            <w:r>
              <w:rPr>
                <w:color w:val="auto"/>
                <w:szCs w:val="21"/>
              </w:rPr>
              <w:t>储存间罐“跑、冒、滴、漏”在地面，且</w:t>
            </w:r>
            <w:r>
              <w:rPr>
                <w:color w:val="auto"/>
                <w:szCs w:val="21"/>
                <w:lang w:val="zh-CN"/>
              </w:rPr>
              <w:t>地面出现裂缝，</w:t>
            </w:r>
            <w:r>
              <w:rPr>
                <w:color w:val="auto"/>
                <w:szCs w:val="21"/>
              </w:rPr>
              <w:t>才会导致</w:t>
            </w:r>
            <w:r>
              <w:rPr>
                <w:color w:val="auto"/>
                <w:szCs w:val="21"/>
                <w:lang w:val="zh-CN"/>
              </w:rPr>
              <w:t>油类物质下渗进入地下含水层，造成地下水、</w:t>
            </w:r>
            <w:r>
              <w:rPr>
                <w:color w:val="auto"/>
                <w:szCs w:val="21"/>
              </w:rPr>
              <w:t>土壤</w:t>
            </w:r>
            <w:r>
              <w:rPr>
                <w:color w:val="auto"/>
                <w:szCs w:val="21"/>
                <w:lang w:val="zh-CN"/>
              </w:rPr>
              <w:t>。</w:t>
            </w:r>
          </w:p>
          <w:p>
            <w:pPr>
              <w:adjustRightInd w:val="0"/>
              <w:snapToGrid w:val="0"/>
              <w:spacing w:line="400" w:lineRule="exact"/>
              <w:ind w:left="-53" w:leftChars="-25" w:right="-53" w:rightChars="-25" w:firstLine="422" w:firstLineChars="200"/>
              <w:jc w:val="left"/>
              <w:rPr>
                <w:b/>
                <w:bCs/>
                <w:color w:val="auto"/>
                <w:szCs w:val="21"/>
                <w:lang w:val="zh-CN"/>
              </w:rPr>
            </w:pPr>
            <w:r>
              <w:rPr>
                <w:b/>
                <w:bCs/>
                <w:color w:val="auto"/>
                <w:szCs w:val="21"/>
                <w:lang w:val="zh-CN"/>
              </w:rPr>
              <w:t>（</w:t>
            </w:r>
            <w:r>
              <w:rPr>
                <w:b/>
                <w:bCs/>
                <w:color w:val="auto"/>
                <w:szCs w:val="21"/>
              </w:rPr>
              <w:t>2</w:t>
            </w:r>
            <w:r>
              <w:rPr>
                <w:b/>
                <w:bCs/>
                <w:color w:val="auto"/>
                <w:szCs w:val="21"/>
                <w:lang w:val="zh-CN"/>
              </w:rPr>
              <w:t>）防控措施</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本项目对地下水、</w:t>
            </w:r>
            <w:r>
              <w:rPr>
                <w:color w:val="auto"/>
                <w:szCs w:val="21"/>
              </w:rPr>
              <w:t>土壤</w:t>
            </w:r>
            <w:r>
              <w:rPr>
                <w:color w:val="auto"/>
                <w:szCs w:val="21"/>
                <w:lang w:val="zh-CN"/>
              </w:rPr>
              <w:t>的可能影响主要是泄漏对影响。地下水、</w:t>
            </w:r>
            <w:r>
              <w:rPr>
                <w:color w:val="auto"/>
                <w:szCs w:val="21"/>
              </w:rPr>
              <w:t>土壤</w:t>
            </w:r>
            <w:r>
              <w:rPr>
                <w:color w:val="auto"/>
                <w:szCs w:val="21"/>
                <w:lang w:val="zh-CN"/>
              </w:rPr>
              <w:t>污染防治措施坚持“源头控制、末端防治、污染监控、应急响应相结合”的原则，即采取主动控制和被动控制相结合的措施。</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rPr>
              <w:t>①</w:t>
            </w:r>
            <w:r>
              <w:rPr>
                <w:color w:val="auto"/>
                <w:szCs w:val="21"/>
                <w:lang w:val="zh-CN"/>
              </w:rPr>
              <w:t>针对本工程可能造成的地下水、土壤污染，</w:t>
            </w:r>
            <w:r>
              <w:rPr>
                <w:color w:val="auto"/>
                <w:szCs w:val="21"/>
              </w:rPr>
              <w:t>其</w:t>
            </w:r>
            <w:r>
              <w:rPr>
                <w:color w:val="auto"/>
                <w:szCs w:val="21"/>
                <w:lang w:val="zh-CN"/>
              </w:rPr>
              <w:t>防治措施按照“源头控制、分区防治、污染监控、应急响应”相结合的原则，从污染物的产生、入渗、扩散、应急响应全方位进行控制。</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本</w:t>
            </w:r>
            <w:r>
              <w:rPr>
                <w:color w:val="auto"/>
                <w:szCs w:val="21"/>
              </w:rPr>
              <w:t>项目</w:t>
            </w:r>
            <w:r>
              <w:rPr>
                <w:color w:val="auto"/>
                <w:szCs w:val="21"/>
                <w:lang w:val="zh-CN"/>
              </w:rPr>
              <w:t>严格按照国家相关规范要求，对</w:t>
            </w:r>
            <w:r>
              <w:rPr>
                <w:color w:val="auto"/>
                <w:szCs w:val="21"/>
              </w:rPr>
              <w:t>储存间、</w:t>
            </w:r>
            <w:r>
              <w:rPr>
                <w:rFonts w:hint="eastAsia"/>
                <w:color w:val="auto"/>
                <w:szCs w:val="21"/>
              </w:rPr>
              <w:t>装卸平台</w:t>
            </w:r>
            <w:r>
              <w:rPr>
                <w:color w:val="auto"/>
                <w:szCs w:val="21"/>
              </w:rPr>
              <w:t>进行</w:t>
            </w:r>
            <w:r>
              <w:rPr>
                <w:color w:val="auto"/>
                <w:szCs w:val="21"/>
                <w:lang w:val="zh-CN"/>
              </w:rPr>
              <w:t>建设，防止和降低污染物的跑、冒、滴、漏，将污染物泄漏的环境风险事故降低到最低程度；优化排水系统设计，</w:t>
            </w:r>
            <w:r>
              <w:rPr>
                <w:color w:val="auto"/>
                <w:szCs w:val="21"/>
              </w:rPr>
              <w:t>场外</w:t>
            </w:r>
            <w:r>
              <w:rPr>
                <w:color w:val="auto"/>
                <w:szCs w:val="21"/>
                <w:lang w:val="zh-CN"/>
              </w:rPr>
              <w:t>水</w:t>
            </w:r>
            <w:r>
              <w:rPr>
                <w:color w:val="auto"/>
                <w:szCs w:val="21"/>
              </w:rPr>
              <w:t>不进入场内，场内地面雨水</w:t>
            </w:r>
            <w:r>
              <w:rPr>
                <w:color w:val="auto"/>
                <w:szCs w:val="21"/>
                <w:lang w:val="zh-CN"/>
              </w:rPr>
              <w:t>沟渠采用“可视化”原则，即明沟，做到污染物“早发现、早处理”，以减少泄漏而可能造成的地下水污染。</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lang w:eastAsia="zh-CN"/>
              </w:rPr>
              <w:t>废矿物油</w:t>
            </w:r>
            <w:r>
              <w:rPr>
                <w:color w:val="auto"/>
                <w:szCs w:val="21"/>
              </w:rPr>
              <w:t>暂存间</w:t>
            </w:r>
            <w:r>
              <w:rPr>
                <w:color w:val="auto"/>
                <w:szCs w:val="21"/>
                <w:lang w:val="zh-CN"/>
              </w:rPr>
              <w:t>严格执行《危险废物贮存污染控制标准》(GB18597-2001）（2013年修订)的有关要求做好防腐防渗措施，以降低渗滤液渗入地下污染地下水的环境风险。</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rPr>
              <w:t>②</w:t>
            </w:r>
            <w:r>
              <w:rPr>
                <w:color w:val="auto"/>
                <w:szCs w:val="21"/>
                <w:lang w:val="zh-CN"/>
              </w:rPr>
              <w:t>对</w:t>
            </w:r>
            <w:r>
              <w:rPr>
                <w:color w:val="auto"/>
                <w:szCs w:val="21"/>
              </w:rPr>
              <w:t>储存间、</w:t>
            </w:r>
            <w:r>
              <w:rPr>
                <w:rFonts w:hint="eastAsia"/>
                <w:color w:val="auto"/>
                <w:szCs w:val="21"/>
              </w:rPr>
              <w:t>装卸平台</w:t>
            </w:r>
            <w:r>
              <w:rPr>
                <w:color w:val="auto"/>
                <w:szCs w:val="21"/>
              </w:rPr>
              <w:t>等</w:t>
            </w:r>
            <w:r>
              <w:rPr>
                <w:color w:val="auto"/>
                <w:szCs w:val="21"/>
                <w:lang w:val="zh-CN"/>
              </w:rPr>
              <w:t>可能泄漏污染物的地面进行防渗处理，并</w:t>
            </w:r>
            <w:r>
              <w:rPr>
                <w:color w:val="auto"/>
                <w:szCs w:val="21"/>
              </w:rPr>
              <w:t>在储油罐区四周建设防溢流围堰，防止泄漏后外溢，并</w:t>
            </w:r>
            <w:r>
              <w:rPr>
                <w:color w:val="auto"/>
                <w:szCs w:val="21"/>
                <w:lang w:val="zh-CN"/>
              </w:rPr>
              <w:t>及时将泄漏/渗漏的污染物收集处理，可有效防治洒落地面的污染物渗入地下</w:t>
            </w:r>
            <w:r>
              <w:rPr>
                <w:rFonts w:hint="eastAsia"/>
                <w:color w:val="auto"/>
                <w:szCs w:val="21"/>
                <w:lang w:val="zh-CN"/>
              </w:rPr>
              <w:t>，污染土壤</w:t>
            </w:r>
            <w:r>
              <w:rPr>
                <w:color w:val="auto"/>
                <w:szCs w:val="21"/>
                <w:lang w:val="zh-CN"/>
              </w:rPr>
              <w:t>。</w:t>
            </w:r>
          </w:p>
          <w:p>
            <w:pPr>
              <w:adjustRightInd w:val="0"/>
              <w:snapToGrid w:val="0"/>
              <w:spacing w:line="400" w:lineRule="exact"/>
              <w:ind w:left="-53" w:leftChars="-25" w:right="-53" w:rightChars="-25" w:firstLine="420" w:firstLineChars="200"/>
              <w:jc w:val="left"/>
              <w:rPr>
                <w:color w:val="auto"/>
                <w:szCs w:val="21"/>
              </w:rPr>
            </w:pPr>
            <w:r>
              <w:rPr>
                <w:color w:val="auto"/>
                <w:szCs w:val="21"/>
                <w:lang w:val="zh-CN"/>
              </w:rPr>
              <w:t>根据建设项目场地天然包气带防污性能、污染物控制难易程度和污染物特性，参照《环境影响评价技术导则 地下水环境》（HJ610-2016），将本项目防渗区分为重点防渗区、一般防渗区和简单防渗区。</w:t>
            </w:r>
            <w:r>
              <w:rPr>
                <w:color w:val="auto"/>
                <w:szCs w:val="21"/>
              </w:rPr>
              <w:t xml:space="preserve"> </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ascii="Times New Roman" w:hAnsi="Times New Roman" w:eastAsia="黑体" w:cs="Times New Roman"/>
                <w:color w:val="auto"/>
                <w:kern w:val="0"/>
                <w:sz w:val="20"/>
                <w:szCs w:val="20"/>
                <w:lang w:val="en-US" w:eastAsia="zh-CN"/>
              </w:rPr>
              <w:t>1</w:t>
            </w:r>
            <w:r>
              <w:rPr>
                <w:rFonts w:hint="eastAsia" w:eastAsia="黑体" w:cs="Times New Roman"/>
                <w:color w:val="auto"/>
                <w:kern w:val="0"/>
                <w:sz w:val="20"/>
                <w:szCs w:val="20"/>
                <w:lang w:val="en-US" w:eastAsia="zh-CN"/>
              </w:rPr>
              <w:t>4</w:t>
            </w:r>
            <w:r>
              <w:rPr>
                <w:rFonts w:hint="default" w:ascii="Times New Roman" w:hAnsi="Times New Roman" w:eastAsia="黑体" w:cs="Times New Roman"/>
                <w:color w:val="auto"/>
                <w:kern w:val="0"/>
                <w:sz w:val="20"/>
                <w:szCs w:val="20"/>
                <w:lang w:val="en-US" w:eastAsia="zh-CN"/>
              </w:rPr>
              <w:t xml:space="preserve">  地下水污染防渗分区</w:t>
            </w:r>
          </w:p>
          <w:tbl>
            <w:tblPr>
              <w:tblStyle w:val="14"/>
              <w:tblW w:w="795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937"/>
              <w:gridCol w:w="1386"/>
              <w:gridCol w:w="3241"/>
              <w:gridCol w:w="239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35" w:hRule="atLeast"/>
                <w:jc w:val="center"/>
              </w:trPr>
              <w:tc>
                <w:tcPr>
                  <w:tcW w:w="937" w:type="dxa"/>
                  <w:tcBorders>
                    <w:bottom w:val="single" w:color="auto" w:sz="4" w:space="0"/>
                    <w:right w:val="single" w:color="auto" w:sz="4" w:space="0"/>
                  </w:tcBorders>
                  <w:noWrap w:val="0"/>
                  <w:vAlign w:val="center"/>
                </w:tcPr>
                <w:p>
                  <w:pPr>
                    <w:adjustRightInd w:val="0"/>
                    <w:snapToGrid w:val="0"/>
                    <w:spacing w:line="280" w:lineRule="exact"/>
                    <w:jc w:val="center"/>
                    <w:rPr>
                      <w:b/>
                      <w:bCs/>
                      <w:color w:val="auto"/>
                      <w:sz w:val="18"/>
                      <w:szCs w:val="18"/>
                    </w:rPr>
                  </w:pPr>
                  <w:r>
                    <w:rPr>
                      <w:b/>
                      <w:bCs/>
                      <w:color w:val="auto"/>
                      <w:sz w:val="18"/>
                      <w:szCs w:val="18"/>
                    </w:rPr>
                    <w:t>防渗分区</w:t>
                  </w:r>
                </w:p>
              </w:tc>
              <w:tc>
                <w:tcPr>
                  <w:tcW w:w="1386" w:type="dxa"/>
                  <w:tcBorders>
                    <w:left w:val="single" w:color="auto" w:sz="4" w:space="0"/>
                    <w:bottom w:val="single" w:color="auto" w:sz="4" w:space="0"/>
                    <w:right w:val="single" w:color="auto" w:sz="4" w:space="0"/>
                  </w:tcBorders>
                  <w:noWrap w:val="0"/>
                  <w:vAlign w:val="center"/>
                </w:tcPr>
                <w:p>
                  <w:pPr>
                    <w:adjustRightInd w:val="0"/>
                    <w:snapToGrid w:val="0"/>
                    <w:spacing w:line="280" w:lineRule="exact"/>
                    <w:jc w:val="center"/>
                    <w:rPr>
                      <w:b/>
                      <w:bCs/>
                      <w:color w:val="auto"/>
                      <w:sz w:val="18"/>
                      <w:szCs w:val="18"/>
                    </w:rPr>
                  </w:pPr>
                  <w:r>
                    <w:rPr>
                      <w:b/>
                      <w:bCs/>
                      <w:color w:val="auto"/>
                      <w:sz w:val="18"/>
                      <w:szCs w:val="18"/>
                    </w:rPr>
                    <w:t>构筑物</w:t>
                  </w:r>
                </w:p>
              </w:tc>
              <w:tc>
                <w:tcPr>
                  <w:tcW w:w="3241" w:type="dxa"/>
                  <w:tcBorders>
                    <w:left w:val="single" w:color="auto" w:sz="4" w:space="0"/>
                    <w:bottom w:val="single" w:color="auto" w:sz="4" w:space="0"/>
                    <w:right w:val="single" w:color="000000" w:sz="6" w:space="0"/>
                  </w:tcBorders>
                  <w:noWrap w:val="0"/>
                  <w:vAlign w:val="center"/>
                </w:tcPr>
                <w:p>
                  <w:pPr>
                    <w:adjustRightInd w:val="0"/>
                    <w:snapToGrid w:val="0"/>
                    <w:spacing w:line="280" w:lineRule="exact"/>
                    <w:jc w:val="center"/>
                    <w:rPr>
                      <w:b/>
                      <w:bCs/>
                      <w:color w:val="auto"/>
                      <w:sz w:val="18"/>
                      <w:szCs w:val="18"/>
                    </w:rPr>
                  </w:pPr>
                  <w:r>
                    <w:rPr>
                      <w:b/>
                      <w:bCs/>
                      <w:color w:val="auto"/>
                      <w:sz w:val="18"/>
                      <w:szCs w:val="18"/>
                    </w:rPr>
                    <w:t>防渗技术要求</w:t>
                  </w:r>
                </w:p>
              </w:tc>
              <w:tc>
                <w:tcPr>
                  <w:tcW w:w="2393" w:type="dxa"/>
                  <w:tcBorders>
                    <w:left w:val="single" w:color="000000" w:sz="6" w:space="0"/>
                    <w:bottom w:val="single" w:color="auto" w:sz="4" w:space="0"/>
                  </w:tcBorders>
                  <w:noWrap w:val="0"/>
                  <w:vAlign w:val="center"/>
                </w:tcPr>
                <w:p>
                  <w:pPr>
                    <w:adjustRightInd w:val="0"/>
                    <w:snapToGrid w:val="0"/>
                    <w:spacing w:line="280" w:lineRule="exact"/>
                    <w:jc w:val="center"/>
                    <w:rPr>
                      <w:b/>
                      <w:bCs/>
                      <w:color w:val="auto"/>
                      <w:sz w:val="18"/>
                      <w:szCs w:val="18"/>
                    </w:rPr>
                  </w:pPr>
                  <w:r>
                    <w:rPr>
                      <w:b/>
                      <w:bCs/>
                      <w:color w:val="auto"/>
                      <w:sz w:val="18"/>
                      <w:szCs w:val="18"/>
                    </w:rPr>
                    <w:t>防渗措施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25" w:hRule="atLeast"/>
                <w:jc w:val="center"/>
              </w:trPr>
              <w:tc>
                <w:tcPr>
                  <w:tcW w:w="937" w:type="dxa"/>
                  <w:vMerge w:val="restart"/>
                  <w:tcBorders>
                    <w:top w:val="single" w:color="auto" w:sz="4" w:space="0"/>
                    <w:right w:val="single" w:color="auto" w:sz="4" w:space="0"/>
                  </w:tcBorders>
                  <w:noWrap w:val="0"/>
                  <w:vAlign w:val="center"/>
                </w:tcPr>
                <w:p>
                  <w:pPr>
                    <w:adjustRightInd w:val="0"/>
                    <w:snapToGrid w:val="0"/>
                    <w:spacing w:line="280" w:lineRule="exact"/>
                    <w:jc w:val="center"/>
                    <w:rPr>
                      <w:color w:val="auto"/>
                      <w:sz w:val="18"/>
                      <w:szCs w:val="18"/>
                    </w:rPr>
                  </w:pPr>
                  <w:r>
                    <w:rPr>
                      <w:color w:val="auto"/>
                      <w:sz w:val="18"/>
                      <w:szCs w:val="18"/>
                    </w:rPr>
                    <w:t>重点</w:t>
                  </w:r>
                </w:p>
                <w:p>
                  <w:pPr>
                    <w:adjustRightInd w:val="0"/>
                    <w:snapToGrid w:val="0"/>
                    <w:spacing w:line="280" w:lineRule="exact"/>
                    <w:jc w:val="center"/>
                    <w:rPr>
                      <w:color w:val="auto"/>
                      <w:sz w:val="18"/>
                      <w:szCs w:val="18"/>
                    </w:rPr>
                  </w:pPr>
                  <w:r>
                    <w:rPr>
                      <w:color w:val="auto"/>
                      <w:sz w:val="18"/>
                      <w:szCs w:val="18"/>
                    </w:rPr>
                    <w:t>防渗区</w:t>
                  </w: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eastAsia="宋体"/>
                      <w:color w:val="auto"/>
                      <w:sz w:val="18"/>
                      <w:szCs w:val="18"/>
                      <w:lang w:eastAsia="zh-CN"/>
                    </w:rPr>
                  </w:pPr>
                  <w:r>
                    <w:rPr>
                      <w:rFonts w:hint="eastAsia"/>
                      <w:color w:val="auto"/>
                      <w:sz w:val="18"/>
                      <w:szCs w:val="18"/>
                      <w:lang w:val="en-US" w:eastAsia="zh-CN"/>
                    </w:rPr>
                    <w:t>储油罐区</w:t>
                  </w:r>
                </w:p>
              </w:tc>
              <w:tc>
                <w:tcPr>
                  <w:tcW w:w="3241" w:type="dxa"/>
                  <w:vMerge w:val="restart"/>
                  <w:tcBorders>
                    <w:top w:val="single" w:color="auto" w:sz="4" w:space="0"/>
                    <w:left w:val="single" w:color="auto" w:sz="4" w:space="0"/>
                    <w:right w:val="single" w:color="000000" w:sz="6" w:space="0"/>
                  </w:tcBorders>
                  <w:noWrap w:val="0"/>
                  <w:vAlign w:val="center"/>
                </w:tcPr>
                <w:p>
                  <w:pPr>
                    <w:adjustRightInd w:val="0"/>
                    <w:snapToGrid w:val="0"/>
                    <w:spacing w:line="280" w:lineRule="exact"/>
                    <w:jc w:val="both"/>
                    <w:rPr>
                      <w:color w:val="auto"/>
                      <w:sz w:val="18"/>
                      <w:szCs w:val="18"/>
                    </w:rPr>
                  </w:pPr>
                  <w:r>
                    <w:rPr>
                      <w:color w:val="auto"/>
                      <w:sz w:val="18"/>
                      <w:szCs w:val="18"/>
                    </w:rPr>
                    <w:t>按照《危险废物贮存污染控制标准》（GB18597-2001）及其修改单中相关要求，防渗层至少为1m厚粘土层（渗透系数≤10</w:t>
                  </w:r>
                  <w:r>
                    <w:rPr>
                      <w:color w:val="auto"/>
                      <w:sz w:val="18"/>
                      <w:szCs w:val="18"/>
                      <w:vertAlign w:val="superscript"/>
                    </w:rPr>
                    <w:t>-7</w:t>
                  </w:r>
                  <w:r>
                    <w:rPr>
                      <w:color w:val="auto"/>
                      <w:sz w:val="18"/>
                      <w:szCs w:val="18"/>
                    </w:rPr>
                    <w:t>cm/s），或2mm厚高密度聚乙烯，或至少2mm厚的其他人工材料，渗透系数≤10</w:t>
                  </w:r>
                  <w:r>
                    <w:rPr>
                      <w:color w:val="auto"/>
                      <w:sz w:val="18"/>
                      <w:szCs w:val="18"/>
                      <w:vertAlign w:val="superscript"/>
                    </w:rPr>
                    <w:t>-10</w:t>
                  </w:r>
                  <w:r>
                    <w:rPr>
                      <w:color w:val="auto"/>
                      <w:sz w:val="18"/>
                      <w:szCs w:val="18"/>
                    </w:rPr>
                    <w:t>cm/s。</w:t>
                  </w:r>
                </w:p>
              </w:tc>
              <w:tc>
                <w:tcPr>
                  <w:tcW w:w="2393" w:type="dxa"/>
                  <w:vMerge w:val="restart"/>
                  <w:tcBorders>
                    <w:top w:val="single" w:color="auto" w:sz="4" w:space="0"/>
                    <w:left w:val="single" w:color="000000" w:sz="6" w:space="0"/>
                  </w:tcBorders>
                  <w:noWrap w:val="0"/>
                  <w:vAlign w:val="center"/>
                </w:tcPr>
                <w:p>
                  <w:pPr>
                    <w:adjustRightInd w:val="0"/>
                    <w:snapToGrid w:val="0"/>
                    <w:spacing w:line="280" w:lineRule="exact"/>
                    <w:jc w:val="center"/>
                    <w:rPr>
                      <w:color w:val="auto"/>
                      <w:sz w:val="18"/>
                      <w:szCs w:val="18"/>
                    </w:rPr>
                  </w:pPr>
                  <w:r>
                    <w:rPr>
                      <w:color w:val="auto"/>
                      <w:spacing w:val="-1"/>
                      <w:sz w:val="18"/>
                      <w:szCs w:val="18"/>
                    </w:rPr>
                    <w:t>20cm混凝土硬化</w:t>
                  </w:r>
                  <w:r>
                    <w:rPr>
                      <w:rFonts w:hint="eastAsia"/>
                      <w:color w:val="auto"/>
                      <w:spacing w:val="-1"/>
                      <w:sz w:val="18"/>
                      <w:szCs w:val="18"/>
                    </w:rPr>
                    <w:t>+3</w:t>
                  </w:r>
                  <w:r>
                    <w:rPr>
                      <w:color w:val="auto"/>
                      <w:spacing w:val="-1"/>
                      <w:sz w:val="18"/>
                      <w:szCs w:val="18"/>
                    </w:rPr>
                    <w:t>mm</w:t>
                  </w:r>
                  <w:r>
                    <w:rPr>
                      <w:rFonts w:hint="eastAsia"/>
                      <w:color w:val="auto"/>
                      <w:spacing w:val="-1"/>
                      <w:sz w:val="18"/>
                      <w:szCs w:val="18"/>
                    </w:rPr>
                    <w:t>的SBS改性沥青卷材+2</w:t>
                  </w:r>
                  <w:r>
                    <w:rPr>
                      <w:color w:val="auto"/>
                      <w:spacing w:val="-1"/>
                      <w:sz w:val="18"/>
                      <w:szCs w:val="18"/>
                    </w:rPr>
                    <w:t>mm</w:t>
                  </w:r>
                  <w:r>
                    <w:rPr>
                      <w:rFonts w:hint="eastAsia"/>
                      <w:color w:val="auto"/>
                      <w:spacing w:val="-1"/>
                      <w:sz w:val="18"/>
                      <w:szCs w:val="18"/>
                      <w:lang w:eastAsia="zh-CN"/>
                    </w:rPr>
                    <w:t>高密度聚乙烯</w:t>
                  </w:r>
                  <w:r>
                    <w:rPr>
                      <w:color w:val="auto"/>
                      <w:spacing w:val="-1"/>
                      <w:sz w:val="18"/>
                      <w:szCs w:val="18"/>
                    </w:rPr>
                    <w:t>地坪漆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9" w:hRule="atLeast"/>
                <w:jc w:val="center"/>
              </w:trPr>
              <w:tc>
                <w:tcPr>
                  <w:tcW w:w="937" w:type="dxa"/>
                  <w:vMerge w:val="continue"/>
                  <w:tcBorders>
                    <w:right w:val="single" w:color="auto" w:sz="4" w:space="0"/>
                  </w:tcBorders>
                  <w:noWrap w:val="0"/>
                  <w:vAlign w:val="center"/>
                </w:tcPr>
                <w:p>
                  <w:pPr>
                    <w:adjustRightInd w:val="0"/>
                    <w:snapToGrid w:val="0"/>
                    <w:spacing w:line="280" w:lineRule="exact"/>
                    <w:jc w:val="center"/>
                    <w:rPr>
                      <w:color w:val="auto"/>
                      <w:sz w:val="18"/>
                      <w:szCs w:val="18"/>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color w:val="auto"/>
                      <w:sz w:val="18"/>
                      <w:szCs w:val="18"/>
                    </w:rPr>
                  </w:pPr>
                  <w:r>
                    <w:rPr>
                      <w:rFonts w:hint="eastAsia"/>
                      <w:color w:val="auto"/>
                      <w:sz w:val="18"/>
                      <w:szCs w:val="18"/>
                    </w:rPr>
                    <w:t>装卸平台</w:t>
                  </w:r>
                </w:p>
              </w:tc>
              <w:tc>
                <w:tcPr>
                  <w:tcW w:w="3241" w:type="dxa"/>
                  <w:vMerge w:val="continue"/>
                  <w:tcBorders>
                    <w:left w:val="single" w:color="auto" w:sz="4" w:space="0"/>
                    <w:right w:val="single" w:color="000000" w:sz="6" w:space="0"/>
                  </w:tcBorders>
                  <w:noWrap w:val="0"/>
                  <w:vAlign w:val="center"/>
                </w:tcPr>
                <w:p>
                  <w:pPr>
                    <w:adjustRightInd w:val="0"/>
                    <w:snapToGrid w:val="0"/>
                    <w:spacing w:line="280" w:lineRule="exact"/>
                    <w:jc w:val="center"/>
                    <w:rPr>
                      <w:color w:val="auto"/>
                      <w:sz w:val="18"/>
                      <w:szCs w:val="18"/>
                    </w:rPr>
                  </w:pPr>
                </w:p>
              </w:tc>
              <w:tc>
                <w:tcPr>
                  <w:tcW w:w="2393" w:type="dxa"/>
                  <w:vMerge w:val="continue"/>
                  <w:tcBorders>
                    <w:left w:val="single" w:color="000000" w:sz="6" w:space="0"/>
                  </w:tcBorders>
                  <w:noWrap w:val="0"/>
                  <w:vAlign w:val="center"/>
                </w:tcPr>
                <w:p>
                  <w:pPr>
                    <w:adjustRightInd w:val="0"/>
                    <w:snapToGrid w:val="0"/>
                    <w:spacing w:line="280" w:lineRule="exact"/>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4" w:hRule="atLeast"/>
                <w:jc w:val="center"/>
              </w:trPr>
              <w:tc>
                <w:tcPr>
                  <w:tcW w:w="937" w:type="dxa"/>
                  <w:vMerge w:val="continue"/>
                  <w:tcBorders>
                    <w:bottom w:val="single" w:color="000000" w:sz="6" w:space="0"/>
                    <w:right w:val="single" w:color="auto" w:sz="4" w:space="0"/>
                  </w:tcBorders>
                  <w:noWrap w:val="0"/>
                  <w:vAlign w:val="center"/>
                </w:tcPr>
                <w:p>
                  <w:pPr>
                    <w:adjustRightInd w:val="0"/>
                    <w:snapToGrid w:val="0"/>
                    <w:spacing w:line="280" w:lineRule="exact"/>
                    <w:jc w:val="center"/>
                    <w:rPr>
                      <w:color w:val="auto"/>
                      <w:sz w:val="18"/>
                      <w:szCs w:val="18"/>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color w:val="auto"/>
                      <w:sz w:val="18"/>
                      <w:szCs w:val="18"/>
                    </w:rPr>
                  </w:pPr>
                  <w:r>
                    <w:rPr>
                      <w:color w:val="auto"/>
                      <w:sz w:val="18"/>
                      <w:szCs w:val="18"/>
                    </w:rPr>
                    <w:t>危废暂存间</w:t>
                  </w:r>
                </w:p>
              </w:tc>
              <w:tc>
                <w:tcPr>
                  <w:tcW w:w="3241" w:type="dxa"/>
                  <w:vMerge w:val="continue"/>
                  <w:tcBorders>
                    <w:left w:val="single" w:color="auto" w:sz="4" w:space="0"/>
                    <w:bottom w:val="single" w:color="000000" w:sz="6" w:space="0"/>
                    <w:right w:val="single" w:color="000000" w:sz="6" w:space="0"/>
                  </w:tcBorders>
                  <w:noWrap w:val="0"/>
                  <w:vAlign w:val="center"/>
                </w:tcPr>
                <w:p>
                  <w:pPr>
                    <w:adjustRightInd w:val="0"/>
                    <w:snapToGrid w:val="0"/>
                    <w:spacing w:line="280" w:lineRule="exact"/>
                    <w:jc w:val="center"/>
                    <w:rPr>
                      <w:color w:val="auto"/>
                      <w:sz w:val="18"/>
                      <w:szCs w:val="18"/>
                    </w:rPr>
                  </w:pPr>
                </w:p>
              </w:tc>
              <w:tc>
                <w:tcPr>
                  <w:tcW w:w="2393" w:type="dxa"/>
                  <w:vMerge w:val="continue"/>
                  <w:tcBorders>
                    <w:left w:val="single" w:color="000000" w:sz="6" w:space="0"/>
                    <w:bottom w:val="single" w:color="000000" w:sz="6" w:space="0"/>
                  </w:tcBorders>
                  <w:noWrap w:val="0"/>
                  <w:vAlign w:val="center"/>
                </w:tcPr>
                <w:p>
                  <w:pPr>
                    <w:adjustRightInd w:val="0"/>
                    <w:snapToGrid w:val="0"/>
                    <w:spacing w:line="280" w:lineRule="exact"/>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3" w:hRule="atLeast"/>
                <w:jc w:val="center"/>
              </w:trPr>
              <w:tc>
                <w:tcPr>
                  <w:tcW w:w="937" w:type="dxa"/>
                  <w:vMerge w:val="continue"/>
                  <w:tcBorders>
                    <w:bottom w:val="single" w:color="000000" w:sz="6" w:space="0"/>
                    <w:right w:val="single" w:color="auto" w:sz="4" w:space="0"/>
                  </w:tcBorders>
                  <w:noWrap w:val="0"/>
                  <w:vAlign w:val="center"/>
                </w:tcPr>
                <w:p>
                  <w:pPr>
                    <w:adjustRightInd w:val="0"/>
                    <w:snapToGrid w:val="0"/>
                    <w:spacing w:line="280" w:lineRule="exact"/>
                    <w:jc w:val="center"/>
                    <w:rPr>
                      <w:color w:val="auto"/>
                      <w:sz w:val="18"/>
                      <w:szCs w:val="18"/>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color w:val="auto"/>
                      <w:sz w:val="18"/>
                      <w:szCs w:val="18"/>
                    </w:rPr>
                  </w:pPr>
                  <w:r>
                    <w:rPr>
                      <w:rFonts w:hint="eastAsia"/>
                      <w:color w:val="auto"/>
                      <w:sz w:val="18"/>
                      <w:szCs w:val="18"/>
                    </w:rPr>
                    <w:t>事故池</w:t>
                  </w:r>
                </w:p>
              </w:tc>
              <w:tc>
                <w:tcPr>
                  <w:tcW w:w="3241" w:type="dxa"/>
                  <w:vMerge w:val="continue"/>
                  <w:tcBorders>
                    <w:left w:val="single" w:color="auto" w:sz="4" w:space="0"/>
                    <w:bottom w:val="single" w:color="000000" w:sz="6" w:space="0"/>
                    <w:right w:val="single" w:color="000000" w:sz="6" w:space="0"/>
                  </w:tcBorders>
                  <w:noWrap w:val="0"/>
                  <w:vAlign w:val="center"/>
                </w:tcPr>
                <w:p>
                  <w:pPr>
                    <w:adjustRightInd w:val="0"/>
                    <w:snapToGrid w:val="0"/>
                    <w:spacing w:line="280" w:lineRule="exact"/>
                    <w:jc w:val="center"/>
                    <w:rPr>
                      <w:color w:val="auto"/>
                      <w:sz w:val="18"/>
                      <w:szCs w:val="18"/>
                    </w:rPr>
                  </w:pPr>
                </w:p>
              </w:tc>
              <w:tc>
                <w:tcPr>
                  <w:tcW w:w="2393" w:type="dxa"/>
                  <w:vMerge w:val="continue"/>
                  <w:tcBorders>
                    <w:left w:val="single" w:color="000000" w:sz="6" w:space="0"/>
                    <w:bottom w:val="single" w:color="000000" w:sz="6" w:space="0"/>
                  </w:tcBorders>
                  <w:noWrap w:val="0"/>
                  <w:vAlign w:val="center"/>
                </w:tcPr>
                <w:p>
                  <w:pPr>
                    <w:adjustRightInd w:val="0"/>
                    <w:snapToGrid w:val="0"/>
                    <w:spacing w:line="280" w:lineRule="exact"/>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1" w:hRule="atLeast"/>
                <w:jc w:val="center"/>
              </w:trPr>
              <w:tc>
                <w:tcPr>
                  <w:tcW w:w="937" w:type="dxa"/>
                  <w:tcBorders>
                    <w:top w:val="single" w:color="000000" w:sz="6" w:space="0"/>
                    <w:right w:val="single" w:color="auto" w:sz="4" w:space="0"/>
                  </w:tcBorders>
                  <w:noWrap w:val="0"/>
                  <w:vAlign w:val="center"/>
                </w:tcPr>
                <w:p>
                  <w:pPr>
                    <w:adjustRightInd w:val="0"/>
                    <w:snapToGrid w:val="0"/>
                    <w:spacing w:line="280" w:lineRule="exact"/>
                    <w:jc w:val="center"/>
                    <w:rPr>
                      <w:color w:val="auto"/>
                      <w:sz w:val="18"/>
                      <w:szCs w:val="18"/>
                    </w:rPr>
                  </w:pPr>
                  <w:r>
                    <w:rPr>
                      <w:color w:val="auto"/>
                      <w:sz w:val="18"/>
                      <w:szCs w:val="18"/>
                    </w:rPr>
                    <w:t>一般</w:t>
                  </w:r>
                </w:p>
                <w:p>
                  <w:pPr>
                    <w:adjustRightInd w:val="0"/>
                    <w:snapToGrid w:val="0"/>
                    <w:spacing w:line="280" w:lineRule="exact"/>
                    <w:jc w:val="center"/>
                    <w:rPr>
                      <w:color w:val="auto"/>
                      <w:sz w:val="18"/>
                      <w:szCs w:val="18"/>
                    </w:rPr>
                  </w:pPr>
                  <w:r>
                    <w:rPr>
                      <w:color w:val="auto"/>
                      <w:sz w:val="18"/>
                      <w:szCs w:val="18"/>
                    </w:rPr>
                    <w:t>防渗区</w:t>
                  </w: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eastAsia="宋体"/>
                      <w:color w:val="auto"/>
                      <w:sz w:val="18"/>
                      <w:szCs w:val="18"/>
                      <w:lang w:eastAsia="zh-CN"/>
                    </w:rPr>
                  </w:pPr>
                  <w:r>
                    <w:rPr>
                      <w:color w:val="auto"/>
                      <w:sz w:val="18"/>
                      <w:szCs w:val="18"/>
                    </w:rPr>
                    <w:t>停车</w:t>
                  </w:r>
                  <w:r>
                    <w:rPr>
                      <w:rFonts w:hint="eastAsia"/>
                      <w:color w:val="auto"/>
                      <w:sz w:val="18"/>
                      <w:szCs w:val="18"/>
                      <w:lang w:val="en-US" w:eastAsia="zh-CN"/>
                    </w:rPr>
                    <w:t>区</w:t>
                  </w:r>
                </w:p>
              </w:tc>
              <w:tc>
                <w:tcPr>
                  <w:tcW w:w="3241" w:type="dxa"/>
                  <w:tcBorders>
                    <w:top w:val="single" w:color="000000" w:sz="6" w:space="0"/>
                    <w:left w:val="single" w:color="auto" w:sz="4" w:space="0"/>
                    <w:right w:val="single" w:color="000000" w:sz="6" w:space="0"/>
                  </w:tcBorders>
                  <w:noWrap w:val="0"/>
                  <w:vAlign w:val="center"/>
                </w:tcPr>
                <w:p>
                  <w:pPr>
                    <w:adjustRightInd w:val="0"/>
                    <w:snapToGrid w:val="0"/>
                    <w:spacing w:line="280" w:lineRule="exact"/>
                    <w:jc w:val="center"/>
                    <w:rPr>
                      <w:color w:val="auto"/>
                      <w:sz w:val="18"/>
                      <w:szCs w:val="18"/>
                    </w:rPr>
                  </w:pPr>
                  <w:r>
                    <w:rPr>
                      <w:color w:val="auto"/>
                      <w:sz w:val="18"/>
                      <w:szCs w:val="18"/>
                    </w:rPr>
                    <w:t>等效黏土防渗层Mb≥1.5m，K≤1×10</w:t>
                  </w:r>
                  <w:r>
                    <w:rPr>
                      <w:color w:val="auto"/>
                      <w:sz w:val="18"/>
                      <w:szCs w:val="18"/>
                      <w:vertAlign w:val="superscript"/>
                    </w:rPr>
                    <w:t>-7</w:t>
                  </w:r>
                  <w:r>
                    <w:rPr>
                      <w:color w:val="auto"/>
                      <w:sz w:val="18"/>
                      <w:szCs w:val="18"/>
                    </w:rPr>
                    <w:t>cm/s。</w:t>
                  </w:r>
                </w:p>
              </w:tc>
              <w:tc>
                <w:tcPr>
                  <w:tcW w:w="2393" w:type="dxa"/>
                  <w:tcBorders>
                    <w:top w:val="single" w:color="000000" w:sz="6" w:space="0"/>
                    <w:left w:val="single" w:color="000000" w:sz="6" w:space="0"/>
                    <w:bottom w:val="single" w:color="000000" w:sz="6" w:space="0"/>
                  </w:tcBorders>
                  <w:noWrap w:val="0"/>
                  <w:vAlign w:val="center"/>
                </w:tcPr>
                <w:p>
                  <w:pPr>
                    <w:adjustRightInd w:val="0"/>
                    <w:snapToGrid w:val="0"/>
                    <w:spacing w:line="280" w:lineRule="exact"/>
                    <w:jc w:val="center"/>
                    <w:rPr>
                      <w:color w:val="auto"/>
                      <w:sz w:val="18"/>
                      <w:szCs w:val="18"/>
                    </w:rPr>
                  </w:pPr>
                  <w:r>
                    <w:rPr>
                      <w:color w:val="auto"/>
                      <w:sz w:val="18"/>
                      <w:szCs w:val="18"/>
                    </w:rPr>
                    <w:t>20cm混凝土硬化</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73" w:hRule="atLeast"/>
                <w:jc w:val="center"/>
              </w:trPr>
              <w:tc>
                <w:tcPr>
                  <w:tcW w:w="937" w:type="dxa"/>
                  <w:tcBorders>
                    <w:top w:val="single" w:color="auto" w:sz="4" w:space="0"/>
                    <w:right w:val="single" w:color="auto" w:sz="4" w:space="0"/>
                  </w:tcBorders>
                  <w:noWrap w:val="0"/>
                  <w:vAlign w:val="center"/>
                </w:tcPr>
                <w:p>
                  <w:pPr>
                    <w:adjustRightInd w:val="0"/>
                    <w:snapToGrid w:val="0"/>
                    <w:spacing w:line="280" w:lineRule="exact"/>
                    <w:jc w:val="center"/>
                    <w:rPr>
                      <w:color w:val="auto"/>
                      <w:sz w:val="18"/>
                      <w:szCs w:val="18"/>
                    </w:rPr>
                  </w:pPr>
                  <w:r>
                    <w:rPr>
                      <w:color w:val="auto"/>
                      <w:sz w:val="18"/>
                      <w:szCs w:val="18"/>
                    </w:rPr>
                    <w:t>简单</w:t>
                  </w:r>
                </w:p>
                <w:p>
                  <w:pPr>
                    <w:adjustRightInd w:val="0"/>
                    <w:snapToGrid w:val="0"/>
                    <w:spacing w:line="280" w:lineRule="exact"/>
                    <w:jc w:val="center"/>
                    <w:rPr>
                      <w:color w:val="auto"/>
                      <w:sz w:val="18"/>
                      <w:szCs w:val="18"/>
                    </w:rPr>
                  </w:pPr>
                  <w:r>
                    <w:rPr>
                      <w:color w:val="auto"/>
                      <w:sz w:val="18"/>
                      <w:szCs w:val="18"/>
                    </w:rPr>
                    <w:t>防渗区</w:t>
                  </w:r>
                </w:p>
              </w:tc>
              <w:tc>
                <w:tcPr>
                  <w:tcW w:w="1386" w:type="dxa"/>
                  <w:tcBorders>
                    <w:top w:val="single" w:color="auto" w:sz="4" w:space="0"/>
                    <w:left w:val="single" w:color="auto" w:sz="4" w:space="0"/>
                    <w:right w:val="single" w:color="auto" w:sz="4" w:space="0"/>
                  </w:tcBorders>
                  <w:noWrap w:val="0"/>
                  <w:vAlign w:val="center"/>
                </w:tcPr>
                <w:p>
                  <w:pPr>
                    <w:adjustRightInd w:val="0"/>
                    <w:snapToGrid w:val="0"/>
                    <w:spacing w:line="280" w:lineRule="exact"/>
                    <w:jc w:val="center"/>
                    <w:rPr>
                      <w:color w:val="auto"/>
                      <w:sz w:val="18"/>
                      <w:szCs w:val="18"/>
                    </w:rPr>
                  </w:pPr>
                  <w:r>
                    <w:rPr>
                      <w:color w:val="auto"/>
                      <w:sz w:val="18"/>
                      <w:szCs w:val="18"/>
                    </w:rPr>
                    <w:t>办公生活区</w:t>
                  </w:r>
                </w:p>
              </w:tc>
              <w:tc>
                <w:tcPr>
                  <w:tcW w:w="3241" w:type="dxa"/>
                  <w:tcBorders>
                    <w:top w:val="single" w:color="auto" w:sz="4" w:space="0"/>
                    <w:left w:val="single" w:color="auto" w:sz="4" w:space="0"/>
                    <w:right w:val="single" w:color="000000" w:sz="6" w:space="0"/>
                  </w:tcBorders>
                  <w:noWrap w:val="0"/>
                  <w:vAlign w:val="center"/>
                </w:tcPr>
                <w:p>
                  <w:pPr>
                    <w:adjustRightInd w:val="0"/>
                    <w:snapToGrid w:val="0"/>
                    <w:spacing w:line="280" w:lineRule="exact"/>
                    <w:jc w:val="center"/>
                    <w:rPr>
                      <w:color w:val="auto"/>
                      <w:sz w:val="18"/>
                      <w:szCs w:val="18"/>
                    </w:rPr>
                  </w:pPr>
                  <w:r>
                    <w:rPr>
                      <w:color w:val="auto"/>
                      <w:sz w:val="18"/>
                      <w:szCs w:val="18"/>
                    </w:rPr>
                    <w:t>一般地面硬化</w:t>
                  </w:r>
                </w:p>
              </w:tc>
              <w:tc>
                <w:tcPr>
                  <w:tcW w:w="2393" w:type="dxa"/>
                  <w:tcBorders>
                    <w:top w:val="single" w:color="auto" w:sz="4" w:space="0"/>
                    <w:left w:val="single" w:color="000000" w:sz="6" w:space="0"/>
                  </w:tcBorders>
                  <w:noWrap w:val="0"/>
                  <w:vAlign w:val="center"/>
                </w:tcPr>
                <w:p>
                  <w:pPr>
                    <w:adjustRightInd w:val="0"/>
                    <w:snapToGrid w:val="0"/>
                    <w:spacing w:line="280" w:lineRule="exact"/>
                    <w:jc w:val="center"/>
                    <w:rPr>
                      <w:color w:val="auto"/>
                      <w:sz w:val="18"/>
                      <w:szCs w:val="18"/>
                    </w:rPr>
                  </w:pPr>
                  <w:r>
                    <w:rPr>
                      <w:color w:val="auto"/>
                      <w:sz w:val="18"/>
                      <w:szCs w:val="18"/>
                    </w:rPr>
                    <w:t>20cm混凝土硬化</w:t>
                  </w:r>
                </w:p>
              </w:tc>
            </w:tr>
          </w:tbl>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采取上述措施后，</w:t>
            </w:r>
            <w:r>
              <w:rPr>
                <w:rFonts w:hint="eastAsia"/>
                <w:color w:val="auto"/>
                <w:szCs w:val="21"/>
              </w:rPr>
              <w:t>可有效预防项目运行过程对地下水、土壤造成污染。</w:t>
            </w:r>
            <w:r>
              <w:rPr>
                <w:color w:val="auto"/>
                <w:szCs w:val="21"/>
                <w:lang w:val="zh-CN"/>
              </w:rPr>
              <w:t>其处理措施技术可行、经济合理。</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6、生态</w:t>
            </w:r>
          </w:p>
          <w:p>
            <w:pPr>
              <w:adjustRightInd w:val="0"/>
              <w:snapToGrid w:val="0"/>
              <w:spacing w:line="400" w:lineRule="exact"/>
              <w:ind w:left="-53" w:leftChars="-25" w:right="-53" w:rightChars="-25" w:firstLine="420" w:firstLineChars="200"/>
              <w:jc w:val="left"/>
              <w:rPr>
                <w:color w:val="auto"/>
                <w:szCs w:val="21"/>
              </w:rPr>
            </w:pPr>
            <w:r>
              <w:rPr>
                <w:color w:val="auto"/>
                <w:szCs w:val="21"/>
              </w:rPr>
              <w:t>本项目</w:t>
            </w:r>
            <w:r>
              <w:rPr>
                <w:rFonts w:hint="eastAsia"/>
                <w:color w:val="auto"/>
                <w:szCs w:val="21"/>
                <w:lang w:val="en-US" w:eastAsia="zh-CN"/>
              </w:rPr>
              <w:t>不新增占地，不会对地表造成扰动，因此</w:t>
            </w:r>
            <w:r>
              <w:rPr>
                <w:color w:val="auto"/>
                <w:szCs w:val="21"/>
              </w:rPr>
              <w:t>对生态环境无影响。</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7、环境风险</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（1）危险物质</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lang w:val="en-US" w:eastAsia="zh-CN"/>
              </w:rPr>
              <w:t>对照</w:t>
            </w:r>
            <w:r>
              <w:rPr>
                <w:color w:val="auto"/>
                <w:szCs w:val="21"/>
              </w:rPr>
              <w:t>《建设项目环境风险评价技术导则》(HJ169-2018）附录B</w:t>
            </w:r>
            <w:r>
              <w:rPr>
                <w:rFonts w:hint="eastAsia"/>
                <w:color w:val="auto"/>
                <w:szCs w:val="21"/>
                <w:lang w:eastAsia="zh-CN"/>
              </w:rPr>
              <w:t>，</w:t>
            </w:r>
            <w:r>
              <w:rPr>
                <w:color w:val="auto"/>
                <w:szCs w:val="21"/>
              </w:rPr>
              <w:t>本项目运营期涉及的风险物质主要为</w:t>
            </w:r>
            <w:r>
              <w:rPr>
                <w:rFonts w:hint="eastAsia"/>
                <w:color w:val="auto"/>
                <w:szCs w:val="21"/>
                <w:lang w:eastAsia="zh-CN"/>
              </w:rPr>
              <w:t>废矿物油</w:t>
            </w:r>
            <w:r>
              <w:rPr>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w:t>
            </w:r>
            <w:r>
              <w:rPr>
                <w:rFonts w:hint="eastAsia" w:ascii="Times New Roman" w:hAnsi="Times New Roman" w:eastAsia="黑体" w:cs="Times New Roman"/>
                <w:color w:val="auto"/>
                <w:kern w:val="0"/>
                <w:sz w:val="20"/>
                <w:szCs w:val="20"/>
                <w:lang w:val="en-US" w:eastAsia="zh-CN"/>
              </w:rPr>
              <w:t>4-1</w:t>
            </w:r>
            <w:r>
              <w:rPr>
                <w:rFonts w:hint="eastAsia" w:eastAsia="黑体" w:cs="Times New Roman"/>
                <w:color w:val="auto"/>
                <w:kern w:val="0"/>
                <w:sz w:val="20"/>
                <w:szCs w:val="20"/>
                <w:lang w:val="en-US" w:eastAsia="zh-CN"/>
              </w:rPr>
              <w:t>5</w:t>
            </w:r>
            <w:r>
              <w:rPr>
                <w:rFonts w:hint="eastAsia" w:ascii="Times New Roman" w:hAnsi="Times New Roman"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en-US" w:eastAsia="zh-CN"/>
              </w:rPr>
              <w:t xml:space="preserve">  本项目风险物质一览表</w:t>
            </w:r>
          </w:p>
          <w:tbl>
            <w:tblPr>
              <w:tblStyle w:val="14"/>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93"/>
              <w:gridCol w:w="1294"/>
              <w:gridCol w:w="1352"/>
              <w:gridCol w:w="1211"/>
              <w:gridCol w:w="13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类别</w:t>
                  </w:r>
                </w:p>
              </w:tc>
              <w:tc>
                <w:tcPr>
                  <w:tcW w:w="1294"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形态</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储存方式</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运输方式</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收集储存罐</w:t>
                  </w:r>
                </w:p>
              </w:tc>
              <w:tc>
                <w:tcPr>
                  <w:tcW w:w="1294"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废矿物油</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液</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罐装</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汽车</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70</w:t>
                  </w:r>
                  <w:r>
                    <w:rPr>
                      <w:rFonts w:hint="default" w:ascii="Times New Roman" w:hAnsi="Times New Roman" w:eastAsia="宋体" w:cs="Times New Roman"/>
                      <w:color w:val="auto"/>
                      <w:sz w:val="18"/>
                      <w:szCs w:val="18"/>
                    </w:rPr>
                    <w:t>t</w:t>
                  </w:r>
                </w:p>
              </w:tc>
            </w:tr>
          </w:tbl>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 xml:space="preserve">15 </w:t>
            </w:r>
            <w:r>
              <w:rPr>
                <w:rFonts w:hint="default" w:ascii="Times New Roman" w:hAnsi="Times New Roman" w:eastAsia="黑体" w:cs="Times New Roman"/>
                <w:color w:val="auto"/>
                <w:kern w:val="0"/>
                <w:sz w:val="20"/>
                <w:szCs w:val="20"/>
                <w:lang w:val="en-US" w:eastAsia="zh-CN"/>
              </w:rPr>
              <w:t xml:space="preserve">  危险物质名称及临界量</w:t>
            </w:r>
          </w:p>
          <w:tbl>
            <w:tblPr>
              <w:tblStyle w:val="14"/>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46"/>
              <w:gridCol w:w="1085"/>
              <w:gridCol w:w="1099"/>
              <w:gridCol w:w="1025"/>
              <w:gridCol w:w="1132"/>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24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物质名称</w:t>
                  </w:r>
                </w:p>
              </w:tc>
              <w:tc>
                <w:tcPr>
                  <w:tcW w:w="10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临界量（t）</w:t>
                  </w:r>
                </w:p>
              </w:tc>
              <w:tc>
                <w:tcPr>
                  <w:tcW w:w="109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本项目（t）</w:t>
                  </w:r>
                </w:p>
              </w:tc>
              <w:tc>
                <w:tcPr>
                  <w:tcW w:w="10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Q值</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储存位置</w:t>
                  </w:r>
                </w:p>
              </w:tc>
              <w:tc>
                <w:tcPr>
                  <w:tcW w:w="1900" w:type="dxa"/>
                  <w:noWrap w:val="0"/>
                  <w:vAlign w:val="center"/>
                </w:tcPr>
                <w:p>
                  <w:pPr>
                    <w:pStyle w:val="11"/>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snapToGrid/>
                    <w:spacing w:line="280" w:lineRule="exact"/>
                    <w:textAlignment w:val="auto"/>
                    <w:rPr>
                      <w:rFonts w:hint="default" w:ascii="Times New Roman" w:hAnsi="Times New Roman" w:cs="Times New Roman"/>
                      <w:b/>
                      <w:bCs/>
                      <w:color w:val="auto"/>
                    </w:rPr>
                  </w:pPr>
                  <w:r>
                    <w:rPr>
                      <w:rFonts w:hint="default" w:ascii="Times New Roman" w:hAnsi="Times New Roman" w:cs="Times New Roman"/>
                      <w:b/>
                      <w:bCs/>
                      <w:color w:val="auto"/>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24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废矿物油</w:t>
                  </w:r>
                </w:p>
              </w:tc>
              <w:tc>
                <w:tcPr>
                  <w:tcW w:w="10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r>
                    <w:rPr>
                      <w:rFonts w:hint="default" w:ascii="Times New Roman" w:hAnsi="Times New Roman" w:eastAsia="宋体" w:cs="Times New Roman"/>
                      <w:color w:val="auto"/>
                      <w:sz w:val="18"/>
                      <w:szCs w:val="18"/>
                    </w:rPr>
                    <w:t>5</w:t>
                  </w:r>
                  <w:r>
                    <w:rPr>
                      <w:rFonts w:hint="eastAsia" w:cs="Times New Roman"/>
                      <w:color w:val="auto"/>
                      <w:sz w:val="18"/>
                      <w:szCs w:val="18"/>
                      <w:lang w:val="en-US" w:eastAsia="zh-CN"/>
                    </w:rPr>
                    <w:t>0</w:t>
                  </w:r>
                  <w:r>
                    <w:rPr>
                      <w:rFonts w:hint="default" w:ascii="Times New Roman" w:hAnsi="Times New Roman" w:eastAsia="宋体" w:cs="Times New Roman"/>
                      <w:color w:val="auto"/>
                      <w:sz w:val="18"/>
                      <w:szCs w:val="18"/>
                    </w:rPr>
                    <w:t>0</w:t>
                  </w:r>
                </w:p>
              </w:tc>
              <w:tc>
                <w:tcPr>
                  <w:tcW w:w="109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70</w:t>
                  </w:r>
                </w:p>
              </w:tc>
              <w:tc>
                <w:tcPr>
                  <w:tcW w:w="10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w:t>
                  </w:r>
                  <w:r>
                    <w:rPr>
                      <w:rFonts w:hint="eastAsia" w:ascii="Times New Roman" w:hAnsi="Times New Roman" w:cs="Times New Roman"/>
                      <w:color w:val="auto"/>
                      <w:sz w:val="18"/>
                      <w:szCs w:val="18"/>
                      <w:lang w:val="en-US" w:eastAsia="zh-CN"/>
                    </w:rPr>
                    <w:t>028</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储油罐区</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bl>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val="en-US" w:eastAsia="zh-CN"/>
              </w:rPr>
              <w:t>涉及的</w:t>
            </w:r>
            <w:r>
              <w:rPr>
                <w:rFonts w:hint="eastAsia" w:cs="Times New Roman"/>
                <w:color w:val="auto"/>
                <w:szCs w:val="21"/>
                <w:lang w:val="en-US" w:eastAsia="zh-CN"/>
              </w:rPr>
              <w:t>风险物质</w:t>
            </w:r>
            <w:r>
              <w:rPr>
                <w:rFonts w:hint="default" w:ascii="Times New Roman" w:hAnsi="Times New Roman" w:cs="Times New Roman"/>
                <w:color w:val="auto"/>
                <w:szCs w:val="21"/>
              </w:rPr>
              <w:t>贮存场所的最大量均远小于临界量，</w:t>
            </w:r>
            <w:r>
              <w:rPr>
                <w:rFonts w:hint="default" w:ascii="Times New Roman" w:hAnsi="Times New Roman" w:cs="Times New Roman"/>
                <w:color w:val="auto"/>
                <w:szCs w:val="21"/>
                <w:lang w:eastAsia="zh-CN"/>
              </w:rPr>
              <w:t>根据《建设项目环境风险评价技术导则》（HJ 169-2018）附录C，当Q&lt;1时，项目风险潜势为I</w:t>
            </w:r>
            <w:r>
              <w:rPr>
                <w:rFonts w:hint="eastAsia" w:cs="Times New Roman"/>
                <w:color w:val="auto"/>
                <w:szCs w:val="21"/>
                <w:lang w:eastAsia="zh-CN"/>
              </w:rPr>
              <w:t>。</w:t>
            </w:r>
            <w:r>
              <w:rPr>
                <w:rFonts w:hint="default" w:ascii="Times New Roman" w:hAnsi="Times New Roman" w:cs="Times New Roman"/>
                <w:color w:val="auto"/>
                <w:szCs w:val="21"/>
              </w:rPr>
              <w:t>因此以上危险物质不构成重大危险源。</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（2）风险源分布情况</w:t>
            </w:r>
          </w:p>
          <w:p>
            <w:pPr>
              <w:adjustRightInd w:val="0"/>
              <w:snapToGrid w:val="0"/>
              <w:spacing w:line="400" w:lineRule="exact"/>
              <w:ind w:left="-53" w:leftChars="-25" w:right="-53" w:rightChars="-25" w:firstLine="420" w:firstLineChars="200"/>
              <w:jc w:val="left"/>
              <w:rPr>
                <w:color w:val="auto"/>
                <w:szCs w:val="21"/>
              </w:rPr>
            </w:pPr>
            <w:r>
              <w:rPr>
                <w:color w:val="auto"/>
                <w:szCs w:val="21"/>
              </w:rPr>
              <w:t>本项目风险物质主要分布在</w:t>
            </w:r>
            <w:r>
              <w:rPr>
                <w:rFonts w:hint="eastAsia"/>
                <w:color w:val="auto"/>
                <w:szCs w:val="21"/>
                <w:lang w:eastAsia="zh-CN"/>
              </w:rPr>
              <w:t>废矿物油</w:t>
            </w:r>
            <w:r>
              <w:rPr>
                <w:color w:val="auto"/>
                <w:szCs w:val="21"/>
              </w:rPr>
              <w:t>暂存间</w:t>
            </w:r>
            <w:r>
              <w:rPr>
                <w:rFonts w:hint="eastAsia"/>
                <w:color w:val="auto"/>
                <w:szCs w:val="21"/>
              </w:rPr>
              <w:t>，最大储存量为</w:t>
            </w:r>
            <w:r>
              <w:rPr>
                <w:rFonts w:hint="eastAsia"/>
                <w:color w:val="auto"/>
                <w:szCs w:val="21"/>
                <w:lang w:val="en-US" w:eastAsia="zh-CN"/>
              </w:rPr>
              <w:t>70</w:t>
            </w:r>
            <w:r>
              <w:rPr>
                <w:rFonts w:hint="eastAsia"/>
                <w:color w:val="auto"/>
                <w:szCs w:val="21"/>
              </w:rPr>
              <w:t>t，机油的临界量为2500t，不构成重大危险源</w:t>
            </w:r>
            <w:r>
              <w:rPr>
                <w:color w:val="auto"/>
                <w:szCs w:val="21"/>
              </w:rPr>
              <w:t>。</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（3）可能影响途径</w:t>
            </w:r>
          </w:p>
          <w:p>
            <w:pPr>
              <w:adjustRightInd w:val="0"/>
              <w:snapToGrid w:val="0"/>
              <w:spacing w:line="400" w:lineRule="exact"/>
              <w:ind w:left="-53" w:leftChars="-25" w:right="-53" w:rightChars="-25" w:firstLine="420" w:firstLineChars="200"/>
              <w:jc w:val="left"/>
              <w:rPr>
                <w:color w:val="auto"/>
                <w:szCs w:val="21"/>
              </w:rPr>
            </w:pPr>
            <w:r>
              <w:rPr>
                <w:color w:val="auto"/>
                <w:szCs w:val="21"/>
              </w:rPr>
              <w:t>风险可能影响途径包括泄漏以及火灾、爆炸等引发的伴生/次生污染物排放。</w:t>
            </w:r>
          </w:p>
          <w:p>
            <w:pPr>
              <w:adjustRightInd w:val="0"/>
              <w:snapToGrid w:val="0"/>
              <w:spacing w:line="400" w:lineRule="exact"/>
              <w:ind w:left="-53" w:leftChars="-25" w:right="-53" w:rightChars="-25" w:firstLine="422" w:firstLineChars="200"/>
              <w:jc w:val="left"/>
              <w:rPr>
                <w:b/>
                <w:bCs/>
                <w:color w:val="auto"/>
                <w:szCs w:val="21"/>
              </w:rPr>
            </w:pPr>
            <w:r>
              <w:rPr>
                <w:b/>
                <w:bCs/>
                <w:color w:val="auto"/>
                <w:szCs w:val="21"/>
              </w:rPr>
              <w:t>（4）环境风险防范措施</w:t>
            </w:r>
          </w:p>
          <w:p>
            <w:pPr>
              <w:adjustRightInd w:val="0"/>
              <w:snapToGrid w:val="0"/>
              <w:spacing w:line="400" w:lineRule="exact"/>
              <w:ind w:left="-53" w:leftChars="-25" w:right="-53" w:rightChars="-25" w:firstLine="420" w:firstLineChars="200"/>
              <w:jc w:val="left"/>
              <w:rPr>
                <w:rFonts w:eastAsia="黑体"/>
                <w:color w:val="auto"/>
                <w:szCs w:val="21"/>
                <w:lang w:val="zh-CN"/>
              </w:rPr>
            </w:pPr>
            <w:r>
              <w:rPr>
                <w:rFonts w:eastAsia="黑体"/>
                <w:color w:val="auto"/>
                <w:szCs w:val="21"/>
                <w:lang w:val="zh-CN"/>
              </w:rPr>
              <w:t>泄漏防范措施：</w:t>
            </w:r>
          </w:p>
          <w:p>
            <w:pPr>
              <w:adjustRightInd w:val="0"/>
              <w:snapToGrid w:val="0"/>
              <w:spacing w:line="400" w:lineRule="exact"/>
              <w:ind w:left="-53" w:leftChars="-25" w:right="-53" w:rightChars="-25" w:firstLine="420" w:firstLineChars="200"/>
              <w:jc w:val="left"/>
              <w:rPr>
                <w:color w:val="auto"/>
                <w:szCs w:val="21"/>
              </w:rPr>
            </w:pPr>
            <w:r>
              <w:rPr>
                <w:color w:val="auto"/>
                <w:szCs w:val="21"/>
                <w:lang w:val="zh-CN"/>
              </w:rPr>
              <w:t>①</w:t>
            </w:r>
            <w:r>
              <w:rPr>
                <w:rFonts w:hint="eastAsia"/>
                <w:color w:val="auto"/>
                <w:szCs w:val="21"/>
                <w:lang w:val="zh-CN"/>
              </w:rPr>
              <w:t>废矿物油</w:t>
            </w:r>
            <w:r>
              <w:rPr>
                <w:color w:val="auto"/>
                <w:szCs w:val="21"/>
              </w:rPr>
              <w:t>采用卧式</w:t>
            </w:r>
            <w:r>
              <w:rPr>
                <w:rFonts w:hint="eastAsia"/>
                <w:color w:val="auto"/>
                <w:szCs w:val="21"/>
                <w:lang w:val="en-US" w:eastAsia="zh-CN"/>
              </w:rPr>
              <w:t>双层储油</w:t>
            </w:r>
            <w:r>
              <w:rPr>
                <w:color w:val="auto"/>
                <w:szCs w:val="21"/>
                <w:lang w:val="zh-CN"/>
              </w:rPr>
              <w:t>罐暂存，</w:t>
            </w:r>
            <w:r>
              <w:rPr>
                <w:color w:val="auto"/>
                <w:szCs w:val="21"/>
              </w:rPr>
              <w:t>储存间</w:t>
            </w:r>
            <w:r>
              <w:rPr>
                <w:rFonts w:hint="eastAsia"/>
                <w:color w:val="auto"/>
                <w:szCs w:val="21"/>
              </w:rPr>
              <w:t>、装卸平台</w:t>
            </w:r>
            <w:r>
              <w:rPr>
                <w:color w:val="auto"/>
                <w:szCs w:val="21"/>
              </w:rPr>
              <w:t>设置在密闭的房间内</w:t>
            </w:r>
            <w:r>
              <w:rPr>
                <w:rFonts w:hint="eastAsia"/>
                <w:color w:val="auto"/>
                <w:szCs w:val="21"/>
                <w:lang w:val="zh-CN"/>
              </w:rPr>
              <w:t>。</w:t>
            </w:r>
            <w:r>
              <w:rPr>
                <w:color w:val="auto"/>
                <w:szCs w:val="21"/>
              </w:rPr>
              <w:t>罐区</w:t>
            </w:r>
            <w:r>
              <w:rPr>
                <w:rFonts w:hint="eastAsia"/>
                <w:color w:val="auto"/>
                <w:szCs w:val="21"/>
              </w:rPr>
              <w:t>四周</w:t>
            </w:r>
            <w:r>
              <w:rPr>
                <w:color w:val="auto"/>
                <w:szCs w:val="21"/>
                <w:lang w:val="zh-CN"/>
              </w:rPr>
              <w:t>建设围堰，围堰形成的有效容积大于任何单一</w:t>
            </w:r>
            <w:r>
              <w:rPr>
                <w:color w:val="auto"/>
                <w:szCs w:val="21"/>
              </w:rPr>
              <w:t>罐的</w:t>
            </w:r>
            <w:r>
              <w:rPr>
                <w:color w:val="auto"/>
                <w:szCs w:val="21"/>
                <w:lang w:val="zh-CN"/>
              </w:rPr>
              <w:t>最大储存量，可将泄漏的油液截留在围堰内</w:t>
            </w:r>
            <w:r>
              <w:rPr>
                <w:rFonts w:hint="eastAsia"/>
                <w:color w:val="auto"/>
                <w:szCs w:val="21"/>
                <w:lang w:val="zh-CN"/>
              </w:rPr>
              <w:t>；</w:t>
            </w:r>
            <w:r>
              <w:rPr>
                <w:rFonts w:hint="eastAsia"/>
                <w:color w:val="auto"/>
                <w:szCs w:val="21"/>
              </w:rPr>
              <w:t>同时在围堰旁修建事故池，与围堰连通，</w:t>
            </w:r>
            <w:r>
              <w:rPr>
                <w:color w:val="auto"/>
                <w:szCs w:val="21"/>
                <w:lang w:val="zh-CN"/>
              </w:rPr>
              <w:t>防止进入外环境。</w:t>
            </w:r>
            <w:r>
              <w:rPr>
                <w:rFonts w:hint="eastAsia"/>
                <w:color w:val="auto"/>
                <w:szCs w:val="21"/>
              </w:rPr>
              <w:t>卸油平台四周设防溢流围堰，并配置移动式接油托盘。</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rPr>
              <w:t>②</w:t>
            </w:r>
            <w:r>
              <w:rPr>
                <w:color w:val="auto"/>
                <w:szCs w:val="21"/>
                <w:lang w:val="zh-CN"/>
              </w:rPr>
              <w:t>设置专人看管，厂区设置视频监控系统，防止危废流失进入外环境。暂存间设置警示标志，无关人员不得入内，建立危废台账，加强危险废物管理。严格控制厂区内废油液等危险废物的储存量，达到一定量时立即通知资质单位转移处置。</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③</w:t>
            </w:r>
            <w:r>
              <w:rPr>
                <w:rFonts w:hint="eastAsia"/>
                <w:color w:val="auto"/>
                <w:szCs w:val="21"/>
                <w:lang w:eastAsia="zh-CN"/>
              </w:rPr>
              <w:t>废矿物油</w:t>
            </w:r>
            <w:r>
              <w:rPr>
                <w:color w:val="auto"/>
                <w:szCs w:val="21"/>
              </w:rPr>
              <w:t>储存间</w:t>
            </w:r>
            <w:r>
              <w:rPr>
                <w:color w:val="auto"/>
                <w:szCs w:val="21"/>
                <w:lang w:val="zh-CN"/>
              </w:rPr>
              <w:t>地面及墙裙均防渗处理，</w:t>
            </w:r>
            <w:r>
              <w:rPr>
                <w:color w:val="auto"/>
                <w:szCs w:val="21"/>
              </w:rPr>
              <w:t>储存</w:t>
            </w:r>
            <w:r>
              <w:rPr>
                <w:color w:val="auto"/>
                <w:szCs w:val="21"/>
                <w:lang w:val="zh-CN"/>
              </w:rPr>
              <w:t>间</w:t>
            </w:r>
            <w:r>
              <w:rPr>
                <w:rFonts w:hint="eastAsia"/>
                <w:color w:val="auto"/>
                <w:szCs w:val="21"/>
                <w:lang w:val="zh-CN"/>
              </w:rPr>
              <w:t>、</w:t>
            </w:r>
            <w:r>
              <w:rPr>
                <w:rFonts w:hint="eastAsia"/>
                <w:color w:val="auto"/>
                <w:szCs w:val="21"/>
              </w:rPr>
              <w:t>装卸平台</w:t>
            </w:r>
            <w:r>
              <w:rPr>
                <w:color w:val="auto"/>
                <w:szCs w:val="21"/>
                <w:lang w:val="zh-CN"/>
              </w:rPr>
              <w:t>按《危险废物贮存污染控制标准》（GB18597-2001）及其</w:t>
            </w:r>
            <w:r>
              <w:rPr>
                <w:rFonts w:hint="eastAsia"/>
                <w:color w:val="auto"/>
                <w:szCs w:val="21"/>
              </w:rPr>
              <w:t>2013年</w:t>
            </w:r>
            <w:r>
              <w:rPr>
                <w:color w:val="auto"/>
                <w:szCs w:val="21"/>
                <w:lang w:val="zh-CN"/>
              </w:rPr>
              <w:t>修改单中相关要求进行建设。</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④废油液泄漏时，迅速撤离泄漏污染区人员至安全区，并进行隔离，严格限制出入，同时切断火源，避免泄漏后的废油液与明火接触。同时应急处理人员应穿戴呼吸器和消防防护服等装备，尽可能短时间内切断泄漏源。</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⑤</w:t>
            </w:r>
            <w:r>
              <w:rPr>
                <w:rFonts w:hint="eastAsia"/>
                <w:color w:val="auto"/>
                <w:szCs w:val="21"/>
                <w:lang w:val="zh-CN"/>
              </w:rPr>
              <w:t>厂界外建设雨水沟，杜绝场外雨水进入场内；场内作业区四周建雨水沟，收集排入雨水池。</w:t>
            </w:r>
          </w:p>
          <w:p>
            <w:pPr>
              <w:adjustRightInd w:val="0"/>
              <w:snapToGrid w:val="0"/>
              <w:spacing w:line="400" w:lineRule="exact"/>
              <w:ind w:left="-53" w:leftChars="-25" w:right="-53" w:rightChars="-25" w:firstLine="420" w:firstLineChars="200"/>
              <w:jc w:val="left"/>
              <w:rPr>
                <w:rFonts w:eastAsia="黑体"/>
                <w:color w:val="auto"/>
                <w:szCs w:val="21"/>
                <w:lang w:val="zh-CN"/>
              </w:rPr>
            </w:pPr>
            <w:r>
              <w:rPr>
                <w:rFonts w:eastAsia="黑体"/>
                <w:color w:val="auto"/>
                <w:szCs w:val="21"/>
                <w:lang w:val="zh-CN"/>
              </w:rPr>
              <w:t>火灾、爆炸防范措施：</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①控制与消除火源：</w:t>
            </w:r>
            <w:r>
              <w:rPr>
                <w:color w:val="auto"/>
                <w:szCs w:val="21"/>
              </w:rPr>
              <w:t>建设单位</w:t>
            </w:r>
            <w:r>
              <w:rPr>
                <w:color w:val="auto"/>
                <w:szCs w:val="21"/>
                <w:lang w:val="zh-CN"/>
              </w:rPr>
              <w:t>必须划定禁火、防爆区域，并制定影响的管理制度。严禁在易燃易爆区吸烟、携带火种、穿带钉皮鞋、穿化纤衣服等。严禁钢制工具的敲打、撞击、抛掷</w:t>
            </w:r>
            <w:r>
              <w:rPr>
                <w:color w:val="auto"/>
                <w:szCs w:val="21"/>
              </w:rPr>
              <w:t>储油罐</w:t>
            </w:r>
            <w:r>
              <w:rPr>
                <w:rFonts w:hint="eastAsia"/>
                <w:color w:val="auto"/>
                <w:szCs w:val="21"/>
              </w:rPr>
              <w:t>；储存间内尽量不拉接电线电缆</w:t>
            </w:r>
            <w:r>
              <w:rPr>
                <w:color w:val="auto"/>
                <w:szCs w:val="21"/>
                <w:lang w:val="zh-CN"/>
              </w:rPr>
              <w:t>。</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②严格控制设备质量及安装质量：罐、器、泵、管线等设备及其配套仪表选用合格产品。对设备、管线、泵等定期检查、保养、维修。</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③严格按防火、防爆设计规范的要求进行设计，按规范设置消防系统，配置相应的灭火装置和设施，如灭火器、消防砂、消防水池、消火栓等，并保持完好。设置火灾报警系统，该系统由火灾报警控制器、火灾探测器、手动报警按钮等组成，以利于自动预警和及时组织灭火扑救。对于因超温、超压可能引起火灾爆炸危险的设备，都设置自控检测仪表、报警信号及紧急泄压排放设施，以防止操作失灵和紧急事故带来的设备超压。搬运时轻装轻卸，防止包装破损。</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④加强管理：遵守各项规章制度和操作规程，严格执行岗位责任制。坚持巡回检查，发现问题及时处理，如通风、管线是否泄漏，消防通道、地沟是否通畅。</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eastAsia" w:eastAsia="黑体" w:cs="Times New Roman"/>
                <w:color w:val="auto"/>
                <w:kern w:val="0"/>
                <w:sz w:val="22"/>
                <w:szCs w:val="2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eastAsia" w:eastAsia="黑体" w:cs="Times New Roman"/>
                <w:color w:val="auto"/>
                <w:kern w:val="0"/>
                <w:sz w:val="22"/>
                <w:szCs w:val="2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eastAsia" w:eastAsia="黑体" w:cs="Times New Roman"/>
                <w:color w:val="auto"/>
                <w:kern w:val="0"/>
                <w:sz w:val="22"/>
                <w:szCs w:val="2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eastAsia" w:eastAsia="黑体" w:cs="Times New Roman"/>
                <w:color w:val="auto"/>
                <w:kern w:val="0"/>
                <w:sz w:val="22"/>
                <w:szCs w:val="2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eastAsia" w:eastAsia="黑体" w:cs="Times New Roman"/>
                <w:color w:val="auto"/>
                <w:kern w:val="0"/>
                <w:sz w:val="22"/>
                <w:szCs w:val="2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eastAsia" w:eastAsia="黑体" w:cs="Times New Roman"/>
                <w:color w:val="auto"/>
                <w:kern w:val="0"/>
                <w:sz w:val="22"/>
                <w:szCs w:val="2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textAlignment w:val="auto"/>
              <w:rPr>
                <w:rFonts w:hint="default" w:ascii="Times New Roman" w:hAnsi="Times New Roman" w:eastAsia="黑体" w:cs="Times New Roman"/>
                <w:color w:val="auto"/>
                <w:kern w:val="0"/>
                <w:sz w:val="22"/>
                <w:szCs w:val="22"/>
                <w:lang w:val="en-US" w:eastAsia="zh-CN"/>
              </w:rPr>
            </w:pPr>
            <w:r>
              <w:rPr>
                <w:rFonts w:hint="eastAsia" w:eastAsia="黑体" w:cs="Times New Roman"/>
                <w:color w:val="auto"/>
                <w:kern w:val="0"/>
                <w:sz w:val="22"/>
                <w:szCs w:val="22"/>
                <w:lang w:val="en-US" w:eastAsia="zh-CN"/>
              </w:rPr>
              <w:t>8</w:t>
            </w:r>
            <w:r>
              <w:rPr>
                <w:rFonts w:hint="default" w:ascii="Times New Roman" w:hAnsi="Times New Roman" w:eastAsia="黑体" w:cs="Times New Roman"/>
                <w:color w:val="auto"/>
                <w:kern w:val="0"/>
                <w:sz w:val="22"/>
                <w:szCs w:val="22"/>
                <w:lang w:val="en-US" w:eastAsia="zh-CN"/>
              </w:rPr>
              <w:t>、环保投资一览表</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表4-</w:t>
            </w:r>
            <w:r>
              <w:rPr>
                <w:rFonts w:hint="eastAsia" w:eastAsia="黑体" w:cs="Times New Roman"/>
                <w:color w:val="auto"/>
                <w:kern w:val="0"/>
                <w:sz w:val="20"/>
                <w:szCs w:val="20"/>
                <w:lang w:val="en-US" w:eastAsia="zh-CN"/>
              </w:rPr>
              <w:t>16</w:t>
            </w:r>
            <w:r>
              <w:rPr>
                <w:rFonts w:hint="default" w:ascii="Times New Roman" w:hAnsi="Times New Roman" w:eastAsia="黑体" w:cs="Times New Roman"/>
                <w:color w:val="auto"/>
                <w:kern w:val="0"/>
                <w:sz w:val="20"/>
                <w:szCs w:val="20"/>
                <w:lang w:val="en-US" w:eastAsia="zh-CN"/>
              </w:rPr>
              <w:t xml:space="preserve">  环保投资估算一览表</w:t>
            </w:r>
          </w:p>
          <w:tbl>
            <w:tblPr>
              <w:tblStyle w:val="14"/>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8"/>
              <w:gridCol w:w="325"/>
              <w:gridCol w:w="82"/>
              <w:gridCol w:w="1202"/>
              <w:gridCol w:w="4758"/>
              <w:gridCol w:w="624"/>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治理措施</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投资</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(万元)</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废气治理</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施工扬尘</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原建筑拆除时</w:t>
                  </w:r>
                  <w:r>
                    <w:rPr>
                      <w:rFonts w:hint="default" w:ascii="Times New Roman" w:hAnsi="Times New Roman" w:eastAsia="宋体" w:cs="Times New Roman"/>
                      <w:color w:val="auto"/>
                      <w:sz w:val="18"/>
                      <w:szCs w:val="18"/>
                      <w:lang w:val="en-US" w:eastAsia="zh-CN"/>
                    </w:rPr>
                    <w:t>采取洒水抑尘；</w:t>
                  </w:r>
                  <w:r>
                    <w:rPr>
                      <w:rFonts w:hint="eastAsia" w:ascii="Times New Roman" w:hAnsi="Times New Roman" w:cs="Times New Roman"/>
                      <w:color w:val="auto"/>
                      <w:sz w:val="18"/>
                      <w:szCs w:val="18"/>
                      <w:lang w:val="en-US" w:eastAsia="zh-CN"/>
                    </w:rPr>
                    <w:t>建渣及时清运，</w:t>
                  </w:r>
                  <w:r>
                    <w:rPr>
                      <w:rFonts w:hint="default" w:ascii="Times New Roman" w:hAnsi="Times New Roman" w:eastAsia="宋体" w:cs="Times New Roman"/>
                      <w:color w:val="auto"/>
                      <w:sz w:val="18"/>
                      <w:szCs w:val="18"/>
                      <w:lang w:val="en-US" w:eastAsia="zh-CN"/>
                    </w:rPr>
                    <w:t>运输车辆覆盖，密闭运输、限制车速</w:t>
                  </w:r>
                  <w:r>
                    <w:rPr>
                      <w:rFonts w:hint="eastAsia" w:ascii="Times New Roman" w:hAnsi="Times New Roman" w:cs="Times New Roman"/>
                      <w:color w:val="auto"/>
                      <w:sz w:val="18"/>
                      <w:szCs w:val="18"/>
                      <w:lang w:val="en-US" w:eastAsia="zh-CN"/>
                    </w:rPr>
                    <w:t>；选用环保型防渗材料，尽量选用水性防渗材料，减少装修过程中挥发性有机气体的产生量</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07"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营运期</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储罐呼吸废气</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产生量及速率均很小，通过加强通风，废气无组织排放厂界浓度很低</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0.20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07" w:type="dxa"/>
                  <w:gridSpan w:val="2"/>
                  <w:vMerge w:val="continue"/>
                  <w:tcBorders/>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装卸废气</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废气（以非甲烷总烃计）量极小，通过加强通风，规范操作，废气无组织排放厂界浓度</w:t>
                  </w:r>
                  <w:r>
                    <w:rPr>
                      <w:rFonts w:hint="eastAsia" w:ascii="Times New Roman" w:hAnsi="Times New Roman" w:cs="Times New Roman"/>
                      <w:color w:val="auto"/>
                      <w:sz w:val="18"/>
                      <w:szCs w:val="18"/>
                      <w:lang w:val="en-US" w:eastAsia="zh-CN"/>
                    </w:rPr>
                    <w:t>很低</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07" w:type="dxa"/>
                  <w:gridSpan w:val="2"/>
                  <w:vMerge w:val="continue"/>
                  <w:tcBorders/>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rPr>
                  </w:pP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汽车尾气</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加强进出车辆管理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w:t>
                  </w:r>
                </w:p>
              </w:tc>
              <w:tc>
                <w:tcPr>
                  <w:tcW w:w="1609"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施工废水</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在施工废水</w:t>
                  </w:r>
                  <w:r>
                    <w:rPr>
                      <w:rFonts w:hint="eastAsia" w:ascii="Times New Roman" w:hAnsi="Times New Roman" w:cs="Times New Roman"/>
                      <w:color w:val="auto"/>
                      <w:sz w:val="18"/>
                      <w:szCs w:val="18"/>
                      <w:lang w:val="en-US" w:eastAsia="zh-CN"/>
                    </w:rPr>
                    <w:t>设置</w:t>
                  </w:r>
                  <w:r>
                    <w:rPr>
                      <w:rFonts w:hint="default" w:ascii="Times New Roman" w:hAnsi="Times New Roman" w:eastAsia="宋体" w:cs="Times New Roman"/>
                      <w:color w:val="auto"/>
                      <w:sz w:val="18"/>
                      <w:szCs w:val="18"/>
                      <w:lang w:val="en-US" w:eastAsia="zh-CN"/>
                    </w:rPr>
                    <w:t>沉淀</w:t>
                  </w:r>
                  <w:r>
                    <w:rPr>
                      <w:rFonts w:hint="eastAsia" w:ascii="Times New Roman" w:hAnsi="Times New Roman" w:cs="Times New Roman"/>
                      <w:color w:val="auto"/>
                      <w:sz w:val="18"/>
                      <w:szCs w:val="18"/>
                      <w:lang w:val="en-US" w:eastAsia="zh-CN"/>
                    </w:rPr>
                    <w:t>池，废水收集</w:t>
                  </w:r>
                  <w:r>
                    <w:rPr>
                      <w:rFonts w:hint="default" w:ascii="Times New Roman" w:hAnsi="Times New Roman" w:eastAsia="宋体" w:cs="Times New Roman"/>
                      <w:color w:val="auto"/>
                      <w:sz w:val="18"/>
                      <w:szCs w:val="18"/>
                      <w:lang w:val="en-US" w:eastAsia="zh-CN"/>
                    </w:rPr>
                    <w:t>后全</w:t>
                  </w:r>
                  <w:bookmarkStart w:id="7" w:name="_GoBack"/>
                  <w:r>
                    <w:rPr>
                      <w:rFonts w:hint="default" w:ascii="Times New Roman" w:hAnsi="Times New Roman" w:eastAsia="宋体" w:cs="Times New Roman"/>
                      <w:color w:val="auto"/>
                      <w:sz w:val="18"/>
                      <w:szCs w:val="18"/>
                      <w:lang w:val="en-US" w:eastAsia="zh-CN"/>
                    </w:rPr>
                    <w:t>部</w:t>
                  </w:r>
                  <w:bookmarkEnd w:id="7"/>
                  <w:r>
                    <w:rPr>
                      <w:rFonts w:hint="default" w:ascii="Times New Roman" w:hAnsi="Times New Roman" w:eastAsia="宋体" w:cs="Times New Roman"/>
                      <w:color w:val="auto"/>
                      <w:sz w:val="18"/>
                      <w:szCs w:val="18"/>
                      <w:lang w:val="en-US" w:eastAsia="zh-CN"/>
                    </w:rPr>
                    <w:t>回用</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0.30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609"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少量</w:t>
                  </w:r>
                  <w:r>
                    <w:rPr>
                      <w:rFonts w:hint="eastAsia" w:cs="Times New Roman"/>
                      <w:color w:val="auto"/>
                      <w:sz w:val="18"/>
                      <w:szCs w:val="18"/>
                      <w:lang w:val="en-US" w:eastAsia="zh-CN"/>
                    </w:rPr>
                    <w:t>生活污水</w:t>
                  </w:r>
                  <w:r>
                    <w:rPr>
                      <w:rFonts w:hint="default" w:ascii="Times New Roman" w:hAnsi="Times New Roman" w:eastAsia="宋体" w:cs="Times New Roman"/>
                      <w:color w:val="auto"/>
                      <w:sz w:val="18"/>
                      <w:szCs w:val="18"/>
                    </w:rPr>
                    <w:t>依托</w:t>
                  </w:r>
                  <w:r>
                    <w:rPr>
                      <w:rFonts w:hint="eastAsia" w:cs="Times New Roman"/>
                      <w:color w:val="auto"/>
                      <w:sz w:val="18"/>
                      <w:szCs w:val="18"/>
                      <w:lang w:val="en-US" w:eastAsia="zh-CN"/>
                    </w:rPr>
                    <w:t>公司</w:t>
                  </w:r>
                  <w:r>
                    <w:rPr>
                      <w:rFonts w:hint="default" w:ascii="Times New Roman" w:hAnsi="Times New Roman" w:eastAsia="宋体" w:cs="Times New Roman"/>
                      <w:color w:val="auto"/>
                      <w:sz w:val="18"/>
                      <w:szCs w:val="18"/>
                    </w:rPr>
                    <w:t>既有设施</w:t>
                  </w:r>
                  <w:r>
                    <w:rPr>
                      <w:rFonts w:hint="eastAsia" w:cs="Times New Roman"/>
                      <w:color w:val="auto"/>
                      <w:sz w:val="18"/>
                      <w:szCs w:val="18"/>
                      <w:lang w:val="en-US" w:eastAsia="zh-CN"/>
                    </w:rPr>
                    <w:t>收集</w:t>
                  </w:r>
                  <w:r>
                    <w:rPr>
                      <w:rFonts w:hint="default" w:ascii="Times New Roman" w:hAnsi="Times New Roman" w:eastAsia="宋体" w:cs="Times New Roman"/>
                      <w:color w:val="auto"/>
                      <w:sz w:val="18"/>
                      <w:szCs w:val="18"/>
                    </w:rPr>
                    <w:t>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营运期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生活污水</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依托公司已有</w:t>
                  </w:r>
                  <w:r>
                    <w:rPr>
                      <w:rFonts w:hint="default" w:ascii="Times New Roman" w:hAnsi="Times New Roman" w:eastAsia="宋体" w:cs="Times New Roman"/>
                      <w:color w:val="auto"/>
                      <w:sz w:val="18"/>
                      <w:szCs w:val="18"/>
                    </w:rPr>
                    <w:t>化粪池</w:t>
                  </w:r>
                  <w:r>
                    <w:rPr>
                      <w:rFonts w:hint="eastAsia" w:ascii="Times New Roman" w:hAnsi="Times New Roman" w:eastAsia="宋体" w:cs="Times New Roman"/>
                      <w:color w:val="auto"/>
                      <w:sz w:val="18"/>
                      <w:szCs w:val="18"/>
                      <w:lang w:val="en-US" w:eastAsia="zh-CN"/>
                    </w:rPr>
                    <w:t>收集后</w:t>
                  </w:r>
                  <w:r>
                    <w:rPr>
                      <w:rFonts w:hint="eastAsia" w:cs="Times New Roman"/>
                      <w:color w:val="auto"/>
                      <w:sz w:val="18"/>
                      <w:szCs w:val="18"/>
                      <w:lang w:val="en-US" w:eastAsia="zh-CN"/>
                    </w:rPr>
                    <w:t>，经管网排至园区污水厂处理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施工机械噪声</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选用先进的、噪声低的环保型设备</w:t>
                  </w:r>
                  <w:r>
                    <w:rPr>
                      <w:rFonts w:hint="eastAsia" w:cs="Times New Roman"/>
                      <w:color w:val="auto"/>
                      <w:sz w:val="18"/>
                      <w:szCs w:val="18"/>
                      <w:lang w:val="en-US" w:eastAsia="zh-CN"/>
                    </w:rPr>
                    <w:t>，并加强维修管理</w:t>
                  </w:r>
                  <w:r>
                    <w:rPr>
                      <w:rFonts w:hint="default" w:ascii="Times New Roman" w:hAnsi="Times New Roman" w:eastAsia="宋体" w:cs="Times New Roman"/>
                      <w:color w:val="auto"/>
                      <w:sz w:val="18"/>
                      <w:szCs w:val="18"/>
                      <w:lang w:val="en-US" w:eastAsia="zh-CN"/>
                    </w:rPr>
                    <w:t>；合理安排工期；文明施工，合理布局施工场地；运输车辆进入施工现场应减速行驶、并禁止鸣笛</w:t>
                  </w:r>
                  <w:r>
                    <w:rPr>
                      <w:rFonts w:hint="eastAsia" w:cs="Times New Roman"/>
                      <w:color w:val="auto"/>
                      <w:sz w:val="18"/>
                      <w:szCs w:val="18"/>
                      <w:lang w:val="en-US" w:eastAsia="zh-CN"/>
                    </w:rPr>
                    <w:t>；施工场地四周</w:t>
                  </w:r>
                  <w:r>
                    <w:rPr>
                      <w:rFonts w:hint="default" w:ascii="Times New Roman" w:hAnsi="Times New Roman" w:eastAsia="宋体" w:cs="Times New Roman"/>
                      <w:color w:val="auto"/>
                      <w:sz w:val="18"/>
                      <w:szCs w:val="18"/>
                    </w:rPr>
                    <w:t>设置围挡</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0.20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营运期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卸油</w:t>
                  </w:r>
                  <w:r>
                    <w:rPr>
                      <w:rFonts w:hint="default" w:ascii="Times New Roman" w:hAnsi="Times New Roman" w:eastAsia="宋体" w:cs="Times New Roman"/>
                      <w:color w:val="auto"/>
                      <w:sz w:val="18"/>
                      <w:szCs w:val="18"/>
                    </w:rPr>
                    <w:t>设备</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运输车辆</w:t>
                  </w:r>
                  <w:r>
                    <w:rPr>
                      <w:rFonts w:hint="default" w:ascii="Times New Roman" w:hAnsi="Times New Roman" w:eastAsia="宋体" w:cs="Times New Roman"/>
                      <w:color w:val="auto"/>
                      <w:sz w:val="18"/>
                      <w:szCs w:val="18"/>
                    </w:rPr>
                    <w:t>噪声</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选用先进的、噪声低的环保型</w:t>
                  </w:r>
                  <w:r>
                    <w:rPr>
                      <w:rFonts w:hint="eastAsia" w:ascii="Times New Roman" w:hAnsi="Times New Roman" w:cs="Times New Roman"/>
                      <w:color w:val="auto"/>
                      <w:sz w:val="18"/>
                      <w:szCs w:val="18"/>
                      <w:lang w:val="en-US" w:eastAsia="zh-CN"/>
                    </w:rPr>
                    <w:t>卸油</w:t>
                  </w:r>
                  <w:r>
                    <w:rPr>
                      <w:rFonts w:hint="default" w:ascii="Times New Roman" w:hAnsi="Times New Roman" w:eastAsia="宋体" w:cs="Times New Roman"/>
                      <w:color w:val="auto"/>
                      <w:sz w:val="18"/>
                      <w:szCs w:val="18"/>
                      <w:lang w:val="en-US" w:eastAsia="zh-CN"/>
                    </w:rPr>
                    <w:t>设备，并加强维修管理；</w:t>
                  </w:r>
                  <w:r>
                    <w:rPr>
                      <w:rFonts w:hint="eastAsia" w:cs="Times New Roman"/>
                      <w:color w:val="auto"/>
                      <w:sz w:val="18"/>
                      <w:szCs w:val="18"/>
                      <w:lang w:val="en-US" w:eastAsia="zh-CN"/>
                    </w:rPr>
                    <w:t>卸油作业在封闭的</w:t>
                  </w:r>
                  <w:r>
                    <w:rPr>
                      <w:rFonts w:hint="default" w:ascii="Times New Roman" w:hAnsi="Times New Roman" w:eastAsia="宋体" w:cs="Times New Roman"/>
                      <w:color w:val="auto"/>
                      <w:sz w:val="18"/>
                      <w:szCs w:val="18"/>
                    </w:rPr>
                    <w:t>车间</w:t>
                  </w:r>
                  <w:r>
                    <w:rPr>
                      <w:rFonts w:hint="eastAsia" w:cs="Times New Roman"/>
                      <w:color w:val="auto"/>
                      <w:sz w:val="18"/>
                      <w:szCs w:val="18"/>
                      <w:lang w:val="en-US" w:eastAsia="zh-CN"/>
                    </w:rPr>
                    <w:t>内；及时更换老化设备；厂内设置减速、禁鸣等标识等</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施工期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弃渣、生活垃圾</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尽量回收可利用的材料，不能利用的和建筑</w:t>
                  </w:r>
                  <w:r>
                    <w:rPr>
                      <w:rFonts w:hint="default" w:ascii="Times New Roman" w:hAnsi="Times New Roman" w:eastAsia="宋体" w:cs="Times New Roman"/>
                      <w:color w:val="auto"/>
                      <w:sz w:val="18"/>
                      <w:szCs w:val="18"/>
                    </w:rPr>
                    <w:t>弃渣按当地有关部门要求及时清运至指定的建渣堆放场地，临时堆</w:t>
                  </w:r>
                  <w:r>
                    <w:rPr>
                      <w:rFonts w:hint="eastAsia" w:ascii="Times New Roman" w:hAnsi="Times New Roman" w:cs="Times New Roman"/>
                      <w:color w:val="auto"/>
                      <w:sz w:val="18"/>
                      <w:szCs w:val="18"/>
                      <w:lang w:val="en-US" w:eastAsia="zh-CN"/>
                    </w:rPr>
                    <w:t>放需</w:t>
                  </w:r>
                  <w:r>
                    <w:rPr>
                      <w:rFonts w:hint="default" w:ascii="Times New Roman" w:hAnsi="Times New Roman" w:eastAsia="宋体" w:cs="Times New Roman"/>
                      <w:color w:val="auto"/>
                      <w:sz w:val="18"/>
                      <w:szCs w:val="18"/>
                    </w:rPr>
                    <w:t>遮盖；生活垃圾由环卫收集清运</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0.50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营运期</w:t>
                  </w: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滴漏废油</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装卸平台四周建5cm的防溢流围堰，另外配备移动式的接油托盘（或其他容器），装卸作业时，放置于出油口下方，收集滴漏的废矿物油</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tcBorders/>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废弃吸油棉、含油锯末</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设置危废间集中收集，定期交由有资质的单位处理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tcBorders/>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eastAsia="zh-CN"/>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sz w:val="18"/>
                      <w:szCs w:val="18"/>
                      <w:lang w:val="zh-CN"/>
                    </w:rPr>
                    <w:t>含油工作服、手套</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设置危废间集中收集，定期</w:t>
                  </w:r>
                  <w:r>
                    <w:rPr>
                      <w:rFonts w:hint="default" w:ascii="Times New Roman" w:hAnsi="Times New Roman" w:eastAsia="宋体" w:cs="Times New Roman"/>
                      <w:b w:val="0"/>
                      <w:bCs w:val="0"/>
                      <w:color w:val="auto"/>
                      <w:sz w:val="18"/>
                      <w:szCs w:val="18"/>
                      <w:lang w:val="zh-CN" w:eastAsia="zh-CN"/>
                    </w:rPr>
                    <w:t>交由</w:t>
                  </w:r>
                  <w:r>
                    <w:rPr>
                      <w:rFonts w:hint="default" w:ascii="Times New Roman" w:hAnsi="Times New Roman" w:eastAsia="宋体" w:cs="Times New Roman"/>
                      <w:b w:val="0"/>
                      <w:bCs w:val="0"/>
                      <w:color w:val="auto"/>
                      <w:sz w:val="18"/>
                      <w:szCs w:val="18"/>
                      <w:lang w:eastAsia="zh-CN"/>
                    </w:rPr>
                    <w:t>有资质的单位处理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tcBorders/>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罐底油泥</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b/>
                      <w:bCs/>
                      <w:color w:val="auto"/>
                      <w:sz w:val="18"/>
                      <w:szCs w:val="18"/>
                      <w:lang w:eastAsia="zh-CN"/>
                    </w:rPr>
                  </w:pPr>
                  <w:r>
                    <w:rPr>
                      <w:rFonts w:hint="eastAsia" w:ascii="Times New Roman" w:hAnsi="Times New Roman" w:cs="Times New Roman"/>
                      <w:b w:val="0"/>
                      <w:bCs w:val="0"/>
                      <w:color w:val="auto"/>
                      <w:sz w:val="18"/>
                      <w:szCs w:val="18"/>
                      <w:lang w:val="en-US" w:eastAsia="zh-CN"/>
                    </w:rPr>
                    <w:t>定期</w:t>
                  </w:r>
                  <w:r>
                    <w:rPr>
                      <w:rFonts w:hint="default" w:ascii="Times New Roman" w:hAnsi="Times New Roman" w:eastAsia="宋体" w:cs="Times New Roman"/>
                      <w:b w:val="0"/>
                      <w:bCs w:val="0"/>
                      <w:color w:val="auto"/>
                      <w:sz w:val="18"/>
                      <w:szCs w:val="18"/>
                      <w:lang w:val="zh-CN" w:eastAsia="zh-CN"/>
                    </w:rPr>
                    <w:t>清理出来后交由</w:t>
                  </w:r>
                  <w:r>
                    <w:rPr>
                      <w:rFonts w:hint="default" w:ascii="Times New Roman" w:hAnsi="Times New Roman" w:eastAsia="宋体" w:cs="Times New Roman"/>
                      <w:b w:val="0"/>
                      <w:bCs w:val="0"/>
                      <w:color w:val="auto"/>
                      <w:sz w:val="18"/>
                      <w:szCs w:val="18"/>
                      <w:lang w:eastAsia="zh-CN"/>
                    </w:rPr>
                    <w:t>有资质的单位处理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tcBorders/>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生活垃圾</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依托已有</w:t>
                  </w:r>
                  <w:r>
                    <w:rPr>
                      <w:rFonts w:hint="eastAsia" w:cs="Times New Roman"/>
                      <w:color w:val="auto"/>
                      <w:sz w:val="18"/>
                      <w:szCs w:val="18"/>
                      <w:lang w:val="en-US" w:eastAsia="zh-CN"/>
                    </w:rPr>
                    <w:t>的</w:t>
                  </w:r>
                  <w:r>
                    <w:rPr>
                      <w:rFonts w:hint="default" w:ascii="Times New Roman" w:hAnsi="Times New Roman" w:eastAsia="宋体" w:cs="Times New Roman"/>
                      <w:color w:val="auto"/>
                      <w:sz w:val="18"/>
                      <w:szCs w:val="18"/>
                      <w:lang w:val="en-US" w:eastAsia="zh-CN"/>
                    </w:rPr>
                    <w:t>设施集中收集，由环卫部门负责清运处理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2117" w:type="dxa"/>
                  <w:gridSpan w:val="4"/>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环境管理</w:t>
                  </w: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设置环境管理人员，</w:t>
                  </w:r>
                  <w:r>
                    <w:rPr>
                      <w:rFonts w:hint="eastAsia" w:cs="Times New Roman"/>
                      <w:color w:val="auto"/>
                      <w:sz w:val="18"/>
                      <w:szCs w:val="18"/>
                      <w:lang w:val="en-US" w:eastAsia="zh-CN"/>
                    </w:rPr>
                    <w:t>建立环境保护制度、污染物设施运行制度等；厂内</w:t>
                  </w:r>
                  <w:r>
                    <w:rPr>
                      <w:rFonts w:hint="default" w:ascii="Times New Roman" w:hAnsi="Times New Roman" w:eastAsia="宋体" w:cs="Times New Roman"/>
                      <w:color w:val="auto"/>
                      <w:sz w:val="18"/>
                      <w:szCs w:val="18"/>
                    </w:rPr>
                    <w:t>设置</w:t>
                  </w:r>
                  <w:r>
                    <w:rPr>
                      <w:rFonts w:hint="eastAsia" w:cs="Times New Roman"/>
                      <w:color w:val="auto"/>
                      <w:sz w:val="18"/>
                      <w:szCs w:val="18"/>
                      <w:lang w:val="en-US" w:eastAsia="zh-CN"/>
                    </w:rPr>
                    <w:t>各类</w:t>
                  </w:r>
                  <w:r>
                    <w:rPr>
                      <w:rFonts w:hint="default" w:ascii="Times New Roman" w:hAnsi="Times New Roman" w:eastAsia="宋体" w:cs="Times New Roman"/>
                      <w:color w:val="auto"/>
                      <w:sz w:val="18"/>
                      <w:szCs w:val="18"/>
                    </w:rPr>
                    <w:t>标志牌</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117" w:type="dxa"/>
                  <w:gridSpan w:val="4"/>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7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定期</w:t>
                  </w:r>
                  <w:r>
                    <w:rPr>
                      <w:rFonts w:hint="eastAsia" w:cs="Times New Roman"/>
                      <w:color w:val="auto"/>
                      <w:sz w:val="18"/>
                      <w:szCs w:val="18"/>
                      <w:lang w:val="en-US" w:eastAsia="zh-CN"/>
                    </w:rPr>
                    <w:t>进行环境</w:t>
                  </w:r>
                  <w:r>
                    <w:rPr>
                      <w:rFonts w:hint="default" w:ascii="Times New Roman" w:hAnsi="Times New Roman" w:eastAsia="宋体" w:cs="Times New Roman"/>
                      <w:color w:val="auto"/>
                      <w:sz w:val="18"/>
                      <w:szCs w:val="18"/>
                    </w:rPr>
                    <w:t>监测</w:t>
                  </w:r>
                  <w:r>
                    <w:rPr>
                      <w:rFonts w:hint="eastAsia" w:cs="Times New Roman"/>
                      <w:color w:val="auto"/>
                      <w:sz w:val="18"/>
                      <w:szCs w:val="18"/>
                      <w:lang w:val="en-US" w:eastAsia="zh-CN"/>
                    </w:rPr>
                    <w:t>和污染物排放监测</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4</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687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w:t>
                  </w:r>
                  <w:r>
                    <w:rPr>
                      <w:rFonts w:hint="eastAsia" w:cs="Times New Roman"/>
                      <w:color w:val="auto"/>
                      <w:sz w:val="18"/>
                      <w:szCs w:val="18"/>
                      <w:lang w:val="en-US" w:eastAsia="zh-CN"/>
                    </w:rPr>
                    <w:t xml:space="preserve"> </w:t>
                  </w:r>
                  <w:r>
                    <w:rPr>
                      <w:rFonts w:hint="default" w:ascii="Times New Roman" w:hAnsi="Times New Roman" w:eastAsia="宋体" w:cs="Times New Roman"/>
                      <w:color w:val="auto"/>
                      <w:sz w:val="18"/>
                      <w:szCs w:val="18"/>
                    </w:rPr>
                    <w:t>计</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9.4</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r>
          </w:tbl>
          <w:p>
            <w:pPr>
              <w:adjustRightInd w:val="0"/>
              <w:snapToGrid w:val="0"/>
              <w:spacing w:line="400" w:lineRule="exact"/>
              <w:ind w:left="-53" w:leftChars="-25" w:right="-53" w:rightChars="-25" w:firstLine="420" w:firstLineChars="200"/>
              <w:jc w:val="left"/>
              <w:rPr>
                <w:color w:val="auto"/>
                <w:szCs w:val="21"/>
                <w:lang w:val="zh-CN"/>
              </w:rPr>
            </w:pPr>
          </w:p>
          <w:p>
            <w:pPr>
              <w:adjustRightInd w:val="0"/>
              <w:snapToGrid w:val="0"/>
              <w:spacing w:line="400" w:lineRule="exact"/>
              <w:ind w:left="-53" w:leftChars="-25" w:right="-53" w:rightChars="-25" w:firstLine="420" w:firstLineChars="200"/>
              <w:jc w:val="left"/>
              <w:rPr>
                <w:color w:val="FF0000"/>
                <w:szCs w:val="21"/>
                <w:lang w:val="zh-CN"/>
              </w:rPr>
            </w:pPr>
          </w:p>
          <w:p>
            <w:pPr>
              <w:adjustRightInd w:val="0"/>
              <w:snapToGrid w:val="0"/>
              <w:spacing w:line="400" w:lineRule="exact"/>
              <w:ind w:left="-53" w:leftChars="-25" w:right="-53" w:rightChars="-25" w:firstLine="420" w:firstLineChars="200"/>
              <w:jc w:val="left"/>
              <w:rPr>
                <w:bCs/>
                <w:color w:val="FF0000"/>
                <w:spacing w:val="-10"/>
                <w:szCs w:val="21"/>
              </w:rPr>
            </w:pPr>
            <w:r>
              <w:rPr>
                <w:color w:val="FF0000"/>
                <w:szCs w:val="21"/>
              </w:rPr>
              <w:t xml:space="preserve"> </w:t>
            </w:r>
          </w:p>
          <w:p>
            <w:pPr>
              <w:adjustRightInd w:val="0"/>
              <w:snapToGrid w:val="0"/>
              <w:ind w:firstLine="380" w:firstLineChars="200"/>
              <w:rPr>
                <w:bCs/>
                <w:color w:val="FF0000"/>
                <w:spacing w:val="-10"/>
                <w:szCs w:val="21"/>
                <w:lang w:val="zh-CN"/>
              </w:rPr>
            </w:pPr>
          </w:p>
          <w:p>
            <w:pPr>
              <w:adjustRightInd w:val="0"/>
              <w:snapToGrid w:val="0"/>
              <w:rPr>
                <w:bCs/>
                <w:color w:val="FF0000"/>
                <w:spacing w:val="-10"/>
                <w:szCs w:val="21"/>
              </w:rPr>
            </w:pPr>
          </w:p>
        </w:tc>
      </w:tr>
    </w:tbl>
    <w:p>
      <w:pPr>
        <w:adjustRightInd w:val="0"/>
        <w:snapToGrid w:val="0"/>
        <w:spacing w:line="360" w:lineRule="auto"/>
        <w:rPr>
          <w:b/>
          <w:color w:val="FF0000"/>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numberInDash"/>
          <w:cols w:space="720" w:num="1"/>
          <w:formProt w:val="1"/>
          <w:docGrid w:linePitch="312" w:charSpace="0"/>
        </w:sectPr>
      </w:pPr>
    </w:p>
    <w:p>
      <w:pPr>
        <w:widowControl/>
        <w:spacing w:before="100" w:beforeAutospacing="1" w:after="100" w:afterAutospacing="1"/>
        <w:jc w:val="center"/>
        <w:outlineLvl w:val="0"/>
        <w:rPr>
          <w:rFonts w:eastAsia="黑体"/>
          <w:snapToGrid w:val="0"/>
          <w:color w:val="auto"/>
          <w:kern w:val="0"/>
          <w:sz w:val="30"/>
          <w:szCs w:val="30"/>
        </w:rPr>
      </w:pPr>
      <w:r>
        <w:rPr>
          <w:rFonts w:eastAsia="黑体"/>
          <w:snapToGrid w:val="0"/>
          <w:color w:val="auto"/>
          <w:kern w:val="0"/>
          <w:sz w:val="30"/>
          <w:szCs w:val="30"/>
        </w:rPr>
        <w:t>五、</w:t>
      </w:r>
      <w:bookmarkStart w:id="6" w:name="_Hlk54167917"/>
      <w:r>
        <w:rPr>
          <w:rFonts w:eastAsia="黑体"/>
          <w:snapToGrid w:val="0"/>
          <w:color w:val="auto"/>
          <w:kern w:val="0"/>
          <w:sz w:val="30"/>
          <w:szCs w:val="30"/>
        </w:rPr>
        <w:t>环境保护措施监督检查清单</w:t>
      </w:r>
      <w:bookmarkEnd w:id="6"/>
    </w:p>
    <w:tbl>
      <w:tblPr>
        <w:tblStyle w:val="1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347"/>
        <w:gridCol w:w="1278"/>
        <w:gridCol w:w="2652"/>
        <w:gridCol w:w="24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tcBorders>
              <w:tl2br w:val="single" w:color="auto" w:sz="4" w:space="0"/>
            </w:tcBorders>
            <w:noWrap w:val="0"/>
            <w:vAlign w:val="top"/>
          </w:tcPr>
          <w:p>
            <w:pPr>
              <w:adjustRightInd w:val="0"/>
              <w:snapToGrid w:val="0"/>
              <w:spacing w:line="280" w:lineRule="exact"/>
              <w:ind w:left="-53" w:leftChars="-25" w:right="-53" w:rightChars="-25"/>
              <w:jc w:val="right"/>
              <w:rPr>
                <w:b/>
                <w:bCs/>
                <w:color w:val="auto"/>
                <w:szCs w:val="21"/>
              </w:rPr>
            </w:pPr>
            <w:r>
              <w:rPr>
                <w:b/>
                <w:bCs/>
                <w:color w:val="auto"/>
                <w:szCs w:val="21"/>
              </w:rPr>
              <w:t>内容</w:t>
            </w:r>
          </w:p>
          <w:p>
            <w:pPr>
              <w:adjustRightInd w:val="0"/>
              <w:snapToGrid w:val="0"/>
              <w:spacing w:line="280" w:lineRule="exact"/>
              <w:ind w:left="-53" w:leftChars="-25" w:right="-53" w:rightChars="-25"/>
              <w:rPr>
                <w:b/>
                <w:bCs/>
                <w:color w:val="auto"/>
                <w:szCs w:val="21"/>
              </w:rPr>
            </w:pPr>
            <w:r>
              <w:rPr>
                <w:b/>
                <w:bCs/>
                <w:color w:val="auto"/>
                <w:szCs w:val="21"/>
              </w:rPr>
              <w:t>要素</w:t>
            </w:r>
          </w:p>
        </w:tc>
        <w:tc>
          <w:tcPr>
            <w:tcW w:w="1347" w:type="dxa"/>
            <w:noWrap w:val="0"/>
            <w:vAlign w:val="center"/>
          </w:tcPr>
          <w:p>
            <w:pPr>
              <w:adjustRightInd w:val="0"/>
              <w:snapToGrid w:val="0"/>
              <w:spacing w:line="280" w:lineRule="exact"/>
              <w:ind w:left="-53" w:leftChars="-25" w:right="-53" w:rightChars="-25"/>
              <w:jc w:val="center"/>
              <w:rPr>
                <w:b/>
                <w:bCs/>
                <w:color w:val="auto"/>
                <w:szCs w:val="21"/>
              </w:rPr>
            </w:pPr>
            <w:r>
              <w:rPr>
                <w:b/>
                <w:bCs/>
                <w:color w:val="auto"/>
                <w:szCs w:val="21"/>
              </w:rPr>
              <w:t>排放口</w:t>
            </w:r>
            <w:r>
              <w:rPr>
                <w:rFonts w:hint="eastAsia"/>
                <w:b/>
                <w:bCs/>
                <w:color w:val="auto"/>
                <w:szCs w:val="21"/>
              </w:rPr>
              <w:t>（</w:t>
            </w:r>
            <w:r>
              <w:rPr>
                <w:b/>
                <w:bCs/>
                <w:color w:val="auto"/>
                <w:szCs w:val="21"/>
              </w:rPr>
              <w:t>编号、名称</w:t>
            </w:r>
            <w:r>
              <w:rPr>
                <w:rFonts w:hint="eastAsia"/>
                <w:b/>
                <w:bCs/>
                <w:color w:val="auto"/>
                <w:szCs w:val="21"/>
              </w:rPr>
              <w:t>）</w:t>
            </w:r>
            <w:r>
              <w:rPr>
                <w:b/>
                <w:bCs/>
                <w:color w:val="auto"/>
                <w:szCs w:val="21"/>
              </w:rPr>
              <w:t>/污染源</w:t>
            </w:r>
          </w:p>
        </w:tc>
        <w:tc>
          <w:tcPr>
            <w:tcW w:w="1278" w:type="dxa"/>
            <w:noWrap w:val="0"/>
            <w:vAlign w:val="center"/>
          </w:tcPr>
          <w:p>
            <w:pPr>
              <w:adjustRightInd w:val="0"/>
              <w:snapToGrid w:val="0"/>
              <w:spacing w:line="280" w:lineRule="exact"/>
              <w:ind w:left="-53" w:leftChars="-25" w:right="-53" w:rightChars="-25"/>
              <w:jc w:val="center"/>
              <w:rPr>
                <w:b/>
                <w:bCs/>
                <w:color w:val="auto"/>
                <w:szCs w:val="21"/>
              </w:rPr>
            </w:pPr>
            <w:r>
              <w:rPr>
                <w:b/>
                <w:bCs/>
                <w:color w:val="auto"/>
                <w:szCs w:val="21"/>
              </w:rPr>
              <w:t>污染物项目</w:t>
            </w:r>
          </w:p>
        </w:tc>
        <w:tc>
          <w:tcPr>
            <w:tcW w:w="2652" w:type="dxa"/>
            <w:noWrap w:val="0"/>
            <w:vAlign w:val="center"/>
          </w:tcPr>
          <w:p>
            <w:pPr>
              <w:adjustRightInd w:val="0"/>
              <w:snapToGrid w:val="0"/>
              <w:spacing w:line="280" w:lineRule="exact"/>
              <w:ind w:left="-53" w:leftChars="-25" w:right="-53" w:rightChars="-25"/>
              <w:jc w:val="center"/>
              <w:rPr>
                <w:b/>
                <w:bCs/>
                <w:color w:val="auto"/>
                <w:szCs w:val="21"/>
              </w:rPr>
            </w:pPr>
            <w:r>
              <w:rPr>
                <w:b/>
                <w:bCs/>
                <w:color w:val="auto"/>
                <w:szCs w:val="21"/>
              </w:rPr>
              <w:t>环境保护措施</w:t>
            </w:r>
          </w:p>
        </w:tc>
        <w:tc>
          <w:tcPr>
            <w:tcW w:w="2486" w:type="dxa"/>
            <w:noWrap w:val="0"/>
            <w:vAlign w:val="center"/>
          </w:tcPr>
          <w:p>
            <w:pPr>
              <w:adjustRightInd w:val="0"/>
              <w:snapToGrid w:val="0"/>
              <w:spacing w:line="280" w:lineRule="exact"/>
              <w:ind w:left="-53" w:leftChars="-25" w:right="-53" w:rightChars="-25"/>
              <w:jc w:val="center"/>
              <w:rPr>
                <w:b/>
                <w:bCs/>
                <w:color w:val="auto"/>
                <w:szCs w:val="21"/>
              </w:rPr>
            </w:pPr>
            <w:r>
              <w:rPr>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37" w:type="dxa"/>
            <w:vMerge w:val="restart"/>
            <w:noWrap w:val="0"/>
            <w:vAlign w:val="center"/>
          </w:tcPr>
          <w:p>
            <w:pPr>
              <w:adjustRightInd w:val="0"/>
              <w:snapToGrid w:val="0"/>
              <w:spacing w:line="280" w:lineRule="exact"/>
              <w:ind w:left="-71" w:leftChars="-34" w:right="-71" w:rightChars="-34"/>
              <w:jc w:val="center"/>
              <w:rPr>
                <w:color w:val="auto"/>
                <w:sz w:val="20"/>
                <w:szCs w:val="20"/>
              </w:rPr>
            </w:pPr>
            <w:r>
              <w:rPr>
                <w:color w:val="auto"/>
                <w:sz w:val="20"/>
                <w:szCs w:val="20"/>
              </w:rPr>
              <w:t>大气环境</w:t>
            </w:r>
          </w:p>
        </w:tc>
        <w:tc>
          <w:tcPr>
            <w:tcW w:w="1347" w:type="dxa"/>
            <w:vMerge w:val="restart"/>
            <w:noWrap w:val="0"/>
            <w:vAlign w:val="center"/>
          </w:tcPr>
          <w:p>
            <w:pPr>
              <w:adjustRightInd w:val="0"/>
              <w:snapToGrid w:val="0"/>
              <w:spacing w:line="300" w:lineRule="exact"/>
              <w:ind w:left="-71" w:leftChars="-34" w:right="-71" w:rightChars="-34"/>
              <w:jc w:val="center"/>
              <w:rPr>
                <w:rFonts w:hint="eastAsia"/>
                <w:color w:val="auto"/>
                <w:sz w:val="18"/>
                <w:szCs w:val="18"/>
              </w:rPr>
            </w:pPr>
            <w:r>
              <w:rPr>
                <w:color w:val="auto"/>
                <w:sz w:val="18"/>
                <w:szCs w:val="18"/>
              </w:rPr>
              <w:t>施工</w:t>
            </w:r>
            <w:r>
              <w:rPr>
                <w:rFonts w:hint="eastAsia"/>
                <w:color w:val="auto"/>
                <w:sz w:val="18"/>
                <w:szCs w:val="18"/>
              </w:rPr>
              <w:t>期</w:t>
            </w:r>
          </w:p>
          <w:p>
            <w:pPr>
              <w:adjustRightInd w:val="0"/>
              <w:snapToGrid w:val="0"/>
              <w:spacing w:line="300" w:lineRule="exact"/>
              <w:ind w:left="-71" w:leftChars="-34" w:right="-71" w:rightChars="-34"/>
              <w:jc w:val="center"/>
              <w:rPr>
                <w:color w:val="auto"/>
                <w:sz w:val="18"/>
                <w:szCs w:val="18"/>
              </w:rPr>
            </w:pPr>
            <w:r>
              <w:rPr>
                <w:rFonts w:hint="eastAsia"/>
                <w:color w:val="auto"/>
                <w:sz w:val="18"/>
                <w:szCs w:val="18"/>
              </w:rPr>
              <w:t>项目</w:t>
            </w:r>
            <w:r>
              <w:rPr>
                <w:color w:val="auto"/>
                <w:sz w:val="18"/>
                <w:szCs w:val="18"/>
              </w:rPr>
              <w:t>区域</w:t>
            </w:r>
          </w:p>
        </w:tc>
        <w:tc>
          <w:tcPr>
            <w:tcW w:w="1278"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尾气、扬尘</w:t>
            </w:r>
          </w:p>
        </w:tc>
        <w:tc>
          <w:tcPr>
            <w:tcW w:w="2652" w:type="dxa"/>
            <w:noWrap w:val="0"/>
            <w:vAlign w:val="center"/>
          </w:tcPr>
          <w:p>
            <w:pPr>
              <w:adjustRightInd w:val="0"/>
              <w:snapToGrid w:val="0"/>
              <w:spacing w:line="300" w:lineRule="exact"/>
              <w:ind w:left="-71" w:leftChars="-34" w:right="-71" w:rightChars="-34"/>
              <w:rPr>
                <w:color w:val="auto"/>
                <w:sz w:val="18"/>
                <w:szCs w:val="18"/>
              </w:rPr>
            </w:pPr>
            <w:r>
              <w:rPr>
                <w:color w:val="auto"/>
                <w:sz w:val="18"/>
                <w:szCs w:val="18"/>
              </w:rPr>
              <w:t>洒水保湿，及时清扫、限制车速</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pacing w:val="1"/>
                <w:sz w:val="18"/>
                <w:szCs w:val="21"/>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37" w:type="dxa"/>
            <w:vMerge w:val="continue"/>
            <w:noWrap w:val="0"/>
            <w:vAlign w:val="center"/>
          </w:tcPr>
          <w:p>
            <w:pPr>
              <w:adjustRightInd w:val="0"/>
              <w:snapToGrid w:val="0"/>
              <w:spacing w:line="280" w:lineRule="exact"/>
              <w:ind w:left="-71" w:leftChars="-34" w:right="-71" w:rightChars="-34"/>
              <w:jc w:val="center"/>
              <w:rPr>
                <w:color w:val="auto"/>
                <w:sz w:val="20"/>
                <w:szCs w:val="20"/>
              </w:rPr>
            </w:pPr>
          </w:p>
        </w:tc>
        <w:tc>
          <w:tcPr>
            <w:tcW w:w="1347" w:type="dxa"/>
            <w:vMerge w:val="continue"/>
            <w:noWrap w:val="0"/>
            <w:vAlign w:val="center"/>
          </w:tcPr>
          <w:p>
            <w:pPr>
              <w:adjustRightInd w:val="0"/>
              <w:snapToGrid w:val="0"/>
              <w:spacing w:line="300" w:lineRule="exact"/>
              <w:ind w:left="-71" w:leftChars="-34" w:right="-71" w:rightChars="-34"/>
              <w:jc w:val="center"/>
              <w:rPr>
                <w:color w:val="auto"/>
                <w:sz w:val="18"/>
                <w:szCs w:val="18"/>
              </w:rPr>
            </w:pPr>
          </w:p>
        </w:tc>
        <w:tc>
          <w:tcPr>
            <w:tcW w:w="1278" w:type="dxa"/>
            <w:noWrap w:val="0"/>
            <w:vAlign w:val="center"/>
          </w:tcPr>
          <w:p>
            <w:pPr>
              <w:spacing w:line="300" w:lineRule="exact"/>
              <w:ind w:left="-71" w:leftChars="-34" w:right="-71" w:rightChars="-34"/>
              <w:jc w:val="center"/>
              <w:rPr>
                <w:color w:val="auto"/>
                <w:sz w:val="18"/>
                <w:szCs w:val="18"/>
              </w:rPr>
            </w:pPr>
            <w:r>
              <w:rPr>
                <w:color w:val="auto"/>
                <w:sz w:val="18"/>
                <w:szCs w:val="18"/>
              </w:rPr>
              <w:t>有机废气</w:t>
            </w:r>
          </w:p>
        </w:tc>
        <w:tc>
          <w:tcPr>
            <w:tcW w:w="2652" w:type="dxa"/>
            <w:noWrap w:val="0"/>
            <w:vAlign w:val="center"/>
          </w:tcPr>
          <w:p>
            <w:pPr>
              <w:spacing w:line="300" w:lineRule="exact"/>
              <w:ind w:left="-71" w:leftChars="-34" w:right="-71" w:rightChars="-34"/>
              <w:jc w:val="center"/>
              <w:rPr>
                <w:color w:val="auto"/>
                <w:sz w:val="18"/>
                <w:szCs w:val="18"/>
              </w:rPr>
            </w:pPr>
            <w:r>
              <w:rPr>
                <w:color w:val="auto"/>
                <w:sz w:val="18"/>
                <w:szCs w:val="18"/>
              </w:rPr>
              <w:t>加强通风换气</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pacing w:val="1"/>
                <w:sz w:val="18"/>
                <w:szCs w:val="21"/>
              </w:rPr>
              <w:t>《大气污染物综合排放标准》（</w:t>
            </w:r>
            <w:r>
              <w:rPr>
                <w:rFonts w:eastAsia="Times New Roman"/>
                <w:color w:val="auto"/>
                <w:spacing w:val="1"/>
                <w:sz w:val="18"/>
                <w:szCs w:val="21"/>
              </w:rPr>
              <w:t>GB16297-1996</w:t>
            </w:r>
            <w:r>
              <w:rPr>
                <w:color w:val="auto"/>
                <w:spacing w:val="1"/>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noWrap w:val="0"/>
            <w:vAlign w:val="center"/>
          </w:tcPr>
          <w:p>
            <w:pPr>
              <w:adjustRightInd w:val="0"/>
              <w:snapToGrid w:val="0"/>
              <w:spacing w:line="280" w:lineRule="exact"/>
              <w:ind w:left="-71" w:leftChars="-34" w:right="-71" w:rightChars="-34"/>
              <w:jc w:val="center"/>
              <w:rPr>
                <w:color w:val="auto"/>
                <w:sz w:val="20"/>
                <w:szCs w:val="20"/>
              </w:rPr>
            </w:pPr>
          </w:p>
        </w:tc>
        <w:tc>
          <w:tcPr>
            <w:tcW w:w="1347"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储油罐区、</w:t>
            </w:r>
            <w:r>
              <w:rPr>
                <w:rFonts w:hint="eastAsia"/>
                <w:color w:val="auto"/>
                <w:sz w:val="18"/>
                <w:szCs w:val="18"/>
              </w:rPr>
              <w:t>装卸平台SCX001</w:t>
            </w:r>
          </w:p>
        </w:tc>
        <w:tc>
          <w:tcPr>
            <w:tcW w:w="1278" w:type="dxa"/>
            <w:noWrap w:val="0"/>
            <w:vAlign w:val="center"/>
          </w:tcPr>
          <w:p>
            <w:pPr>
              <w:adjustRightInd w:val="0"/>
              <w:snapToGrid w:val="0"/>
              <w:spacing w:line="300" w:lineRule="exact"/>
              <w:ind w:left="-71" w:leftChars="-34" w:right="-71" w:rightChars="-34"/>
              <w:jc w:val="center"/>
              <w:rPr>
                <w:color w:val="auto"/>
                <w:sz w:val="18"/>
                <w:szCs w:val="18"/>
              </w:rPr>
            </w:pPr>
            <w:r>
              <w:rPr>
                <w:rFonts w:hint="eastAsia"/>
                <w:color w:val="auto"/>
                <w:sz w:val="18"/>
                <w:szCs w:val="18"/>
              </w:rPr>
              <w:t>VOCs（</w:t>
            </w:r>
            <w:r>
              <w:rPr>
                <w:color w:val="auto"/>
                <w:sz w:val="18"/>
                <w:szCs w:val="18"/>
              </w:rPr>
              <w:t>非甲烷总烃</w:t>
            </w:r>
            <w:r>
              <w:rPr>
                <w:rFonts w:hint="eastAsia"/>
                <w:color w:val="auto"/>
                <w:sz w:val="18"/>
                <w:szCs w:val="18"/>
              </w:rPr>
              <w:t>）</w:t>
            </w:r>
          </w:p>
        </w:tc>
        <w:tc>
          <w:tcPr>
            <w:tcW w:w="2652"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加强通风换气</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restart"/>
            <w:noWrap w:val="0"/>
            <w:vAlign w:val="center"/>
          </w:tcPr>
          <w:p>
            <w:pPr>
              <w:adjustRightInd w:val="0"/>
              <w:snapToGrid w:val="0"/>
              <w:spacing w:line="280" w:lineRule="exact"/>
              <w:ind w:left="-71" w:leftChars="-34" w:right="-71" w:rightChars="-34"/>
              <w:jc w:val="center"/>
              <w:rPr>
                <w:color w:val="auto"/>
                <w:sz w:val="20"/>
                <w:szCs w:val="20"/>
              </w:rPr>
            </w:pPr>
            <w:r>
              <w:rPr>
                <w:color w:val="auto"/>
                <w:sz w:val="20"/>
                <w:szCs w:val="20"/>
              </w:rPr>
              <w:t>地表水环境</w:t>
            </w:r>
          </w:p>
        </w:tc>
        <w:tc>
          <w:tcPr>
            <w:tcW w:w="1347"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施工期生活</w:t>
            </w:r>
          </w:p>
        </w:tc>
        <w:tc>
          <w:tcPr>
            <w:tcW w:w="1278"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COD、NH</w:t>
            </w:r>
            <w:r>
              <w:rPr>
                <w:color w:val="auto"/>
                <w:sz w:val="18"/>
                <w:szCs w:val="18"/>
                <w:vertAlign w:val="subscript"/>
              </w:rPr>
              <w:t>3</w:t>
            </w:r>
            <w:r>
              <w:rPr>
                <w:color w:val="auto"/>
                <w:sz w:val="18"/>
                <w:szCs w:val="18"/>
              </w:rPr>
              <w:t>-N</w:t>
            </w:r>
          </w:p>
        </w:tc>
        <w:tc>
          <w:tcPr>
            <w:tcW w:w="2652"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化粪池收集</w:t>
            </w:r>
            <w:r>
              <w:rPr>
                <w:rFonts w:hint="eastAsia"/>
                <w:color w:val="auto"/>
                <w:sz w:val="18"/>
                <w:szCs w:val="18"/>
              </w:rPr>
              <w:t>后</w:t>
            </w:r>
            <w:r>
              <w:rPr>
                <w:rFonts w:hint="eastAsia"/>
                <w:color w:val="auto"/>
                <w:sz w:val="18"/>
                <w:szCs w:val="18"/>
                <w:lang w:val="en-US" w:eastAsia="zh-CN"/>
              </w:rPr>
              <w:t>排入园区污水管网</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037" w:type="dxa"/>
            <w:vMerge w:val="continue"/>
            <w:noWrap w:val="0"/>
            <w:vAlign w:val="center"/>
          </w:tcPr>
          <w:p>
            <w:pPr>
              <w:adjustRightInd w:val="0"/>
              <w:snapToGrid w:val="0"/>
              <w:spacing w:line="280" w:lineRule="exact"/>
              <w:ind w:left="-71" w:leftChars="-34" w:right="-71" w:rightChars="-34"/>
              <w:jc w:val="center"/>
              <w:rPr>
                <w:color w:val="auto"/>
                <w:sz w:val="20"/>
                <w:szCs w:val="20"/>
              </w:rPr>
            </w:pPr>
          </w:p>
        </w:tc>
        <w:tc>
          <w:tcPr>
            <w:tcW w:w="1347"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办公生活区</w:t>
            </w:r>
            <w:r>
              <w:rPr>
                <w:rFonts w:hint="eastAsia"/>
                <w:color w:val="auto"/>
                <w:sz w:val="18"/>
                <w:szCs w:val="18"/>
              </w:rPr>
              <w:t>TW001</w:t>
            </w:r>
          </w:p>
        </w:tc>
        <w:tc>
          <w:tcPr>
            <w:tcW w:w="1278"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COD、NH</w:t>
            </w:r>
            <w:r>
              <w:rPr>
                <w:color w:val="auto"/>
                <w:sz w:val="18"/>
                <w:szCs w:val="18"/>
                <w:vertAlign w:val="subscript"/>
              </w:rPr>
              <w:t>3</w:t>
            </w:r>
            <w:r>
              <w:rPr>
                <w:color w:val="auto"/>
                <w:sz w:val="18"/>
                <w:szCs w:val="18"/>
              </w:rPr>
              <w:t>-N</w:t>
            </w:r>
          </w:p>
        </w:tc>
        <w:tc>
          <w:tcPr>
            <w:tcW w:w="2652" w:type="dxa"/>
            <w:noWrap w:val="0"/>
            <w:vAlign w:val="center"/>
          </w:tcPr>
          <w:p>
            <w:pPr>
              <w:adjustRightInd w:val="0"/>
              <w:snapToGrid w:val="0"/>
              <w:spacing w:line="300" w:lineRule="exact"/>
              <w:ind w:left="-71" w:leftChars="-34" w:right="-71" w:rightChars="-34"/>
              <w:jc w:val="center"/>
              <w:rPr>
                <w:rFonts w:hint="default" w:eastAsia="宋体"/>
                <w:color w:val="auto"/>
                <w:sz w:val="18"/>
                <w:szCs w:val="18"/>
                <w:lang w:val="en-US" w:eastAsia="zh-CN"/>
              </w:rPr>
            </w:pPr>
            <w:r>
              <w:rPr>
                <w:color w:val="auto"/>
                <w:sz w:val="18"/>
                <w:szCs w:val="18"/>
              </w:rPr>
              <w:t>化粪池收集</w:t>
            </w:r>
            <w:r>
              <w:rPr>
                <w:rFonts w:hint="eastAsia"/>
                <w:color w:val="auto"/>
                <w:sz w:val="18"/>
                <w:szCs w:val="18"/>
              </w:rPr>
              <w:t>后</w:t>
            </w:r>
            <w:r>
              <w:rPr>
                <w:rFonts w:hint="eastAsia"/>
                <w:color w:val="auto"/>
                <w:sz w:val="18"/>
                <w:szCs w:val="18"/>
                <w:lang w:val="en-US" w:eastAsia="zh-CN"/>
              </w:rPr>
              <w:t>排入园区污水管网</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37" w:type="dxa"/>
            <w:vMerge w:val="restart"/>
            <w:noWrap w:val="0"/>
            <w:vAlign w:val="center"/>
          </w:tcPr>
          <w:p>
            <w:pPr>
              <w:adjustRightInd w:val="0"/>
              <w:snapToGrid w:val="0"/>
              <w:spacing w:line="280" w:lineRule="exact"/>
              <w:ind w:left="-71" w:leftChars="-34" w:right="-71" w:rightChars="-34"/>
              <w:jc w:val="center"/>
              <w:rPr>
                <w:color w:val="auto"/>
                <w:sz w:val="20"/>
                <w:szCs w:val="20"/>
              </w:rPr>
            </w:pPr>
            <w:r>
              <w:rPr>
                <w:color w:val="auto"/>
                <w:sz w:val="20"/>
                <w:szCs w:val="20"/>
              </w:rPr>
              <w:t>声环境</w:t>
            </w:r>
          </w:p>
        </w:tc>
        <w:tc>
          <w:tcPr>
            <w:tcW w:w="1347"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施工期项目区</w:t>
            </w:r>
          </w:p>
        </w:tc>
        <w:tc>
          <w:tcPr>
            <w:tcW w:w="1278"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施工噪声</w:t>
            </w:r>
          </w:p>
        </w:tc>
        <w:tc>
          <w:tcPr>
            <w:tcW w:w="2652" w:type="dxa"/>
            <w:noWrap w:val="0"/>
            <w:vAlign w:val="center"/>
          </w:tcPr>
          <w:p>
            <w:pPr>
              <w:adjustRightInd w:val="0"/>
              <w:snapToGrid w:val="0"/>
              <w:spacing w:line="300" w:lineRule="exact"/>
              <w:ind w:left="-71" w:leftChars="-34" w:right="-71" w:rightChars="-34"/>
              <w:rPr>
                <w:color w:val="auto"/>
                <w:sz w:val="18"/>
                <w:szCs w:val="18"/>
              </w:rPr>
            </w:pPr>
            <w:r>
              <w:rPr>
                <w:color w:val="auto"/>
                <w:sz w:val="18"/>
                <w:szCs w:val="18"/>
              </w:rPr>
              <w:t>优选施工设备、加强管理、合理安排施工时间</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《建筑施工场界环境噪声排放标准》（GB12523-2011）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037" w:type="dxa"/>
            <w:vMerge w:val="continue"/>
            <w:noWrap w:val="0"/>
            <w:vAlign w:val="center"/>
          </w:tcPr>
          <w:p>
            <w:pPr>
              <w:adjustRightInd w:val="0"/>
              <w:snapToGrid w:val="0"/>
              <w:spacing w:line="280" w:lineRule="exact"/>
              <w:ind w:left="-71" w:leftChars="-34" w:right="-71" w:rightChars="-34"/>
              <w:jc w:val="center"/>
              <w:rPr>
                <w:color w:val="auto"/>
                <w:sz w:val="20"/>
                <w:szCs w:val="20"/>
              </w:rPr>
            </w:pPr>
          </w:p>
        </w:tc>
        <w:tc>
          <w:tcPr>
            <w:tcW w:w="1347" w:type="dxa"/>
            <w:noWrap w:val="0"/>
            <w:vAlign w:val="center"/>
          </w:tcPr>
          <w:p>
            <w:pPr>
              <w:adjustRightInd w:val="0"/>
              <w:snapToGrid w:val="0"/>
              <w:spacing w:line="300" w:lineRule="exact"/>
              <w:ind w:left="-71" w:leftChars="-34" w:right="-71" w:rightChars="-34"/>
              <w:jc w:val="center"/>
              <w:rPr>
                <w:color w:val="auto"/>
                <w:sz w:val="18"/>
                <w:szCs w:val="18"/>
              </w:rPr>
            </w:pPr>
            <w:r>
              <w:rPr>
                <w:rFonts w:hint="eastAsia"/>
                <w:color w:val="auto"/>
                <w:sz w:val="18"/>
                <w:szCs w:val="18"/>
              </w:rPr>
              <w:t>装卸平台S001</w:t>
            </w:r>
          </w:p>
        </w:tc>
        <w:tc>
          <w:tcPr>
            <w:tcW w:w="1278"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装卸噪声</w:t>
            </w:r>
          </w:p>
        </w:tc>
        <w:tc>
          <w:tcPr>
            <w:tcW w:w="2652"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合理选型、优化布局</w:t>
            </w:r>
            <w:r>
              <w:rPr>
                <w:rFonts w:hint="eastAsia"/>
                <w:color w:val="auto"/>
                <w:sz w:val="18"/>
                <w:szCs w:val="18"/>
              </w:rPr>
              <w:t>、建筑隔声</w:t>
            </w:r>
            <w:r>
              <w:rPr>
                <w:color w:val="auto"/>
                <w:sz w:val="18"/>
                <w:szCs w:val="18"/>
              </w:rPr>
              <w:t>；禁鸣措施</w:t>
            </w:r>
          </w:p>
        </w:tc>
        <w:tc>
          <w:tcPr>
            <w:tcW w:w="2486" w:type="dxa"/>
            <w:noWrap w:val="0"/>
            <w:vAlign w:val="center"/>
          </w:tcPr>
          <w:p>
            <w:pPr>
              <w:adjustRightInd w:val="0"/>
              <w:snapToGrid w:val="0"/>
              <w:spacing w:line="300" w:lineRule="exact"/>
              <w:ind w:left="-71" w:leftChars="-34" w:right="-71" w:rightChars="-34"/>
              <w:jc w:val="center"/>
              <w:rPr>
                <w:color w:val="auto"/>
                <w:sz w:val="18"/>
                <w:szCs w:val="18"/>
              </w:rPr>
            </w:pPr>
            <w:r>
              <w:rPr>
                <w:color w:val="auto"/>
                <w:sz w:val="18"/>
                <w:szCs w:val="18"/>
              </w:rPr>
              <w:t>《工业企业厂界环境噪声排放标准》(GBl2348-2008)2类标准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37" w:type="dxa"/>
            <w:noWrap w:val="0"/>
            <w:vAlign w:val="center"/>
          </w:tcPr>
          <w:p>
            <w:pPr>
              <w:adjustRightInd w:val="0"/>
              <w:snapToGrid w:val="0"/>
              <w:spacing w:line="280" w:lineRule="exact"/>
              <w:ind w:left="-53" w:leftChars="-25" w:right="-53" w:rightChars="-25"/>
              <w:jc w:val="center"/>
              <w:rPr>
                <w:color w:val="auto"/>
                <w:sz w:val="20"/>
                <w:szCs w:val="20"/>
              </w:rPr>
            </w:pPr>
            <w:r>
              <w:rPr>
                <w:color w:val="auto"/>
                <w:sz w:val="20"/>
                <w:szCs w:val="20"/>
              </w:rPr>
              <w:t>电磁辐射</w:t>
            </w:r>
          </w:p>
        </w:tc>
        <w:tc>
          <w:tcPr>
            <w:tcW w:w="1347" w:type="dxa"/>
            <w:noWrap w:val="0"/>
            <w:vAlign w:val="center"/>
          </w:tcPr>
          <w:p>
            <w:pPr>
              <w:adjustRightInd w:val="0"/>
              <w:snapToGrid w:val="0"/>
              <w:spacing w:line="300" w:lineRule="exact"/>
              <w:ind w:left="-53" w:leftChars="-25" w:right="-53" w:rightChars="-25"/>
              <w:jc w:val="center"/>
              <w:rPr>
                <w:color w:val="auto"/>
                <w:sz w:val="18"/>
                <w:szCs w:val="18"/>
              </w:rPr>
            </w:pPr>
            <w:r>
              <w:rPr>
                <w:color w:val="auto"/>
                <w:sz w:val="18"/>
                <w:szCs w:val="18"/>
              </w:rPr>
              <w:t>/</w:t>
            </w:r>
          </w:p>
        </w:tc>
        <w:tc>
          <w:tcPr>
            <w:tcW w:w="1278" w:type="dxa"/>
            <w:noWrap w:val="0"/>
            <w:vAlign w:val="center"/>
          </w:tcPr>
          <w:p>
            <w:pPr>
              <w:adjustRightInd w:val="0"/>
              <w:snapToGrid w:val="0"/>
              <w:spacing w:line="300" w:lineRule="exact"/>
              <w:ind w:left="-53" w:leftChars="-25" w:right="-53" w:rightChars="-25"/>
              <w:jc w:val="center"/>
              <w:rPr>
                <w:color w:val="auto"/>
                <w:sz w:val="18"/>
                <w:szCs w:val="18"/>
              </w:rPr>
            </w:pPr>
            <w:r>
              <w:rPr>
                <w:color w:val="auto"/>
                <w:sz w:val="18"/>
                <w:szCs w:val="18"/>
              </w:rPr>
              <w:t>/</w:t>
            </w:r>
          </w:p>
        </w:tc>
        <w:tc>
          <w:tcPr>
            <w:tcW w:w="2652" w:type="dxa"/>
            <w:noWrap w:val="0"/>
            <w:vAlign w:val="center"/>
          </w:tcPr>
          <w:p>
            <w:pPr>
              <w:adjustRightInd w:val="0"/>
              <w:snapToGrid w:val="0"/>
              <w:spacing w:line="300" w:lineRule="exact"/>
              <w:ind w:left="-53" w:leftChars="-25" w:right="-53" w:rightChars="-25"/>
              <w:jc w:val="center"/>
              <w:rPr>
                <w:color w:val="auto"/>
                <w:sz w:val="18"/>
                <w:szCs w:val="18"/>
              </w:rPr>
            </w:pPr>
            <w:r>
              <w:rPr>
                <w:color w:val="auto"/>
                <w:sz w:val="18"/>
                <w:szCs w:val="18"/>
              </w:rPr>
              <w:t>/</w:t>
            </w:r>
          </w:p>
        </w:tc>
        <w:tc>
          <w:tcPr>
            <w:tcW w:w="2486" w:type="dxa"/>
            <w:noWrap w:val="0"/>
            <w:vAlign w:val="center"/>
          </w:tcPr>
          <w:p>
            <w:pPr>
              <w:adjustRightInd w:val="0"/>
              <w:snapToGrid w:val="0"/>
              <w:spacing w:line="300" w:lineRule="exact"/>
              <w:ind w:left="-53" w:leftChars="-25" w:right="-53" w:rightChars="-25"/>
              <w:jc w:val="center"/>
              <w:rPr>
                <w:color w:val="auto"/>
                <w:sz w:val="18"/>
                <w:szCs w:val="18"/>
              </w:rPr>
            </w:pPr>
            <w:r>
              <w:rPr>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noWrap w:val="0"/>
            <w:vAlign w:val="center"/>
          </w:tcPr>
          <w:p>
            <w:pPr>
              <w:adjustRightInd w:val="0"/>
              <w:snapToGrid w:val="0"/>
              <w:spacing w:line="280" w:lineRule="exact"/>
              <w:ind w:left="-53" w:leftChars="-25" w:right="-53" w:rightChars="-25"/>
              <w:jc w:val="center"/>
              <w:rPr>
                <w:color w:val="auto"/>
                <w:szCs w:val="21"/>
              </w:rPr>
            </w:pPr>
            <w:r>
              <w:rPr>
                <w:color w:val="auto"/>
                <w:szCs w:val="21"/>
              </w:rPr>
              <w:t>固体废物</w:t>
            </w:r>
          </w:p>
        </w:tc>
        <w:tc>
          <w:tcPr>
            <w:tcW w:w="7763" w:type="dxa"/>
            <w:gridSpan w:val="4"/>
            <w:noWrap w:val="0"/>
            <w:vAlign w:val="center"/>
          </w:tcPr>
          <w:p>
            <w:pPr>
              <w:adjustRightInd w:val="0"/>
              <w:snapToGrid w:val="0"/>
              <w:spacing w:line="400" w:lineRule="exact"/>
              <w:ind w:left="-53" w:leftChars="-25" w:right="-53" w:rightChars="-25" w:firstLine="420" w:firstLineChars="200"/>
              <w:jc w:val="both"/>
              <w:rPr>
                <w:color w:val="auto"/>
                <w:szCs w:val="21"/>
                <w:lang w:val="zh-CN"/>
              </w:rPr>
            </w:pPr>
            <w:r>
              <w:rPr>
                <w:color w:val="auto"/>
                <w:szCs w:val="21"/>
              </w:rPr>
              <w:t>①</w:t>
            </w:r>
            <w:r>
              <w:rPr>
                <w:color w:val="auto"/>
                <w:szCs w:val="21"/>
                <w:lang w:val="zh-CN"/>
              </w:rPr>
              <w:t>施工期</w:t>
            </w:r>
            <w:r>
              <w:rPr>
                <w:color w:val="auto"/>
                <w:szCs w:val="21"/>
              </w:rPr>
              <w:t>可回收的废钢材、包装材料</w:t>
            </w:r>
            <w:r>
              <w:rPr>
                <w:color w:val="auto"/>
                <w:szCs w:val="21"/>
                <w:lang w:val="zh-CN"/>
              </w:rPr>
              <w:t>，应尽量集中收集外售至废品回收站；建筑垃圾</w:t>
            </w:r>
            <w:r>
              <w:rPr>
                <w:color w:val="auto"/>
                <w:szCs w:val="21"/>
              </w:rPr>
              <w:t>及时外运至政府指定的地点处置；少量生活垃圾集中收集后，</w:t>
            </w:r>
            <w:r>
              <w:rPr>
                <w:rFonts w:hint="eastAsia"/>
                <w:color w:val="auto"/>
                <w:szCs w:val="21"/>
                <w:lang w:val="en-US" w:eastAsia="zh-CN"/>
              </w:rPr>
              <w:t>交由园区的</w:t>
            </w:r>
            <w:r>
              <w:rPr>
                <w:color w:val="auto"/>
                <w:szCs w:val="21"/>
                <w:lang w:val="zh-CN"/>
              </w:rPr>
              <w:t>环卫清运。固体废物处置执行《一般工业固体废物贮存、处置场污染控制标准》（GB18599-20</w:t>
            </w:r>
            <w:r>
              <w:rPr>
                <w:rFonts w:hint="eastAsia"/>
                <w:color w:val="auto"/>
                <w:szCs w:val="21"/>
              </w:rPr>
              <w:t>20</w:t>
            </w:r>
            <w:r>
              <w:rPr>
                <w:color w:val="auto"/>
                <w:szCs w:val="21"/>
                <w:lang w:val="zh-CN"/>
              </w:rPr>
              <w:t>）的有关规定。</w:t>
            </w:r>
          </w:p>
          <w:p>
            <w:pPr>
              <w:adjustRightInd w:val="0"/>
              <w:snapToGrid w:val="0"/>
              <w:spacing w:line="400" w:lineRule="exact"/>
              <w:ind w:left="-53" w:leftChars="-25" w:right="-53" w:rightChars="-25" w:firstLine="420" w:firstLineChars="200"/>
              <w:jc w:val="left"/>
              <w:rPr>
                <w:color w:val="auto"/>
                <w:szCs w:val="21"/>
              </w:rPr>
            </w:pPr>
            <w:r>
              <w:rPr>
                <w:color w:val="auto"/>
                <w:szCs w:val="21"/>
              </w:rPr>
              <w:t>②</w:t>
            </w:r>
            <w:r>
              <w:rPr>
                <w:rFonts w:hint="eastAsia"/>
                <w:color w:val="auto"/>
                <w:szCs w:val="21"/>
              </w:rPr>
              <w:t>装卸平台卸车和装车过程出油口滴漏废油：配备移动式的接油托盘（或其他容器），装卸作业时放置于出油口下方收集后，与废油一起交有资质单位处置。</w:t>
            </w:r>
          </w:p>
          <w:p>
            <w:pPr>
              <w:adjustRightInd w:val="0"/>
              <w:snapToGrid w:val="0"/>
              <w:spacing w:line="400" w:lineRule="exact"/>
              <w:ind w:left="-53" w:leftChars="-25" w:right="-53" w:rightChars="-25" w:firstLine="420" w:firstLineChars="200"/>
              <w:jc w:val="left"/>
              <w:rPr>
                <w:color w:val="auto"/>
                <w:szCs w:val="21"/>
              </w:rPr>
            </w:pPr>
            <w:r>
              <w:rPr>
                <w:color w:val="auto"/>
                <w:szCs w:val="21"/>
              </w:rPr>
              <w:t>③废弃吸油棉、含油锯末，含油工作服、手套等劳保废品等含油废物属于危险废物（HW49），在</w:t>
            </w:r>
            <w:r>
              <w:rPr>
                <w:rFonts w:hint="eastAsia"/>
                <w:color w:val="auto"/>
                <w:szCs w:val="21"/>
                <w:lang w:eastAsia="zh-CN"/>
              </w:rPr>
              <w:t>废矿物油</w:t>
            </w:r>
            <w:r>
              <w:rPr>
                <w:color w:val="auto"/>
                <w:szCs w:val="21"/>
              </w:rPr>
              <w:t>暂存间内划定专门的区域，设置收集桶单独收集，定期交由有资质单位处理；加强管理，严格执行危险废物转移联单制度。</w:t>
            </w:r>
          </w:p>
          <w:p>
            <w:pPr>
              <w:adjustRightInd w:val="0"/>
              <w:snapToGrid w:val="0"/>
              <w:spacing w:line="400" w:lineRule="exact"/>
              <w:ind w:left="-53" w:leftChars="-25" w:right="-53" w:rightChars="-25" w:firstLine="420" w:firstLineChars="200"/>
              <w:jc w:val="left"/>
              <w:rPr>
                <w:color w:val="auto"/>
                <w:szCs w:val="21"/>
              </w:rPr>
            </w:pPr>
            <w:r>
              <w:rPr>
                <w:color w:val="auto"/>
                <w:szCs w:val="21"/>
              </w:rPr>
              <w:t>④油罐底泥定期由下游</w:t>
            </w:r>
            <w:r>
              <w:rPr>
                <w:rFonts w:hint="eastAsia"/>
                <w:color w:val="auto"/>
                <w:szCs w:val="21"/>
                <w:lang w:eastAsia="zh-CN"/>
              </w:rPr>
              <w:t>废矿物油</w:t>
            </w:r>
            <w:r>
              <w:rPr>
                <w:color w:val="auto"/>
                <w:szCs w:val="21"/>
              </w:rPr>
              <w:t>处理厂家清理带走。</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⑤</w:t>
            </w:r>
            <w:r>
              <w:rPr>
                <w:color w:val="auto"/>
                <w:szCs w:val="21"/>
                <w:lang w:val="zh-CN"/>
              </w:rPr>
              <w:t>生活垃圾，设垃圾桶袋装方式收集，定期外运至附近场镇的生活垃圾集中收集点，由环卫负责清运。</w:t>
            </w:r>
          </w:p>
          <w:p>
            <w:pPr>
              <w:adjustRightInd w:val="0"/>
              <w:snapToGrid w:val="0"/>
              <w:spacing w:line="400" w:lineRule="exact"/>
              <w:ind w:left="-53" w:leftChars="-25" w:right="-53" w:rightChars="-25" w:firstLine="420" w:firstLineChars="200"/>
              <w:rPr>
                <w:color w:val="auto"/>
                <w:szCs w:val="21"/>
                <w:lang w:val="zh-CN"/>
              </w:rPr>
            </w:pPr>
            <w:r>
              <w:rPr>
                <w:color w:val="auto"/>
                <w:szCs w:val="21"/>
                <w:lang w:val="zh-CN"/>
              </w:rPr>
              <w:t>固体废物处置执行《一般工业固体废物贮存、处置场污染控制标准》（GB18599-20</w:t>
            </w:r>
            <w:r>
              <w:rPr>
                <w:rFonts w:hint="eastAsia"/>
                <w:color w:val="auto"/>
                <w:szCs w:val="21"/>
              </w:rPr>
              <w:t>20</w:t>
            </w:r>
            <w:r>
              <w:rPr>
                <w:color w:val="auto"/>
                <w:szCs w:val="21"/>
                <w:lang w:val="zh-CN"/>
              </w:rPr>
              <w:t>）的有关规定；危险废物执行《危险废物贮存污染控制标准》（GB18597-2001）及2013年修改单的要求。</w:t>
            </w:r>
          </w:p>
          <w:p>
            <w:pPr>
              <w:adjustRightInd w:val="0"/>
              <w:snapToGrid w:val="0"/>
              <w:spacing w:line="400" w:lineRule="exact"/>
              <w:ind w:left="-53" w:leftChars="-25" w:right="-53" w:rightChars="-25" w:firstLine="420" w:firstLineChars="200"/>
              <w:rPr>
                <w:rFonts w:hint="eastAsia" w:eastAsia="宋体"/>
                <w:color w:val="auto"/>
                <w:szCs w:val="21"/>
                <w:lang w:val="en-US" w:eastAsia="zh-CN"/>
              </w:rPr>
            </w:pPr>
            <w:r>
              <w:rPr>
                <w:rFonts w:hint="eastAsia"/>
                <w:color w:val="auto"/>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037" w:type="dxa"/>
            <w:noWrap w:val="0"/>
            <w:vAlign w:val="center"/>
          </w:tcPr>
          <w:p>
            <w:pPr>
              <w:adjustRightInd w:val="0"/>
              <w:snapToGrid w:val="0"/>
              <w:spacing w:line="280" w:lineRule="exact"/>
              <w:ind w:left="-53" w:leftChars="-25" w:right="-53" w:rightChars="-25"/>
              <w:jc w:val="center"/>
              <w:rPr>
                <w:color w:val="auto"/>
                <w:szCs w:val="21"/>
              </w:rPr>
            </w:pPr>
            <w:r>
              <w:rPr>
                <w:color w:val="auto"/>
                <w:szCs w:val="21"/>
              </w:rPr>
              <w:t>土壤及地下水污染防治措施</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lang w:eastAsia="zh-CN"/>
              </w:rPr>
              <w:t>废矿物油</w:t>
            </w:r>
            <w:r>
              <w:rPr>
                <w:color w:val="auto"/>
                <w:szCs w:val="21"/>
              </w:rPr>
              <w:t>储存间、</w:t>
            </w:r>
            <w:r>
              <w:rPr>
                <w:rFonts w:hint="eastAsia"/>
                <w:color w:val="auto"/>
                <w:szCs w:val="21"/>
              </w:rPr>
              <w:t>装卸平台</w:t>
            </w:r>
            <w:r>
              <w:rPr>
                <w:color w:val="auto"/>
                <w:szCs w:val="21"/>
              </w:rPr>
              <w:t>、危废暂存间按重点防渗要求建设（20cm防渗混凝土+</w:t>
            </w:r>
            <w:r>
              <w:rPr>
                <w:rFonts w:hint="eastAsia"/>
                <w:color w:val="auto"/>
                <w:szCs w:val="21"/>
              </w:rPr>
              <w:t>3</w:t>
            </w:r>
            <w:r>
              <w:rPr>
                <w:color w:val="auto"/>
                <w:szCs w:val="21"/>
              </w:rPr>
              <w:t>mm</w:t>
            </w:r>
            <w:r>
              <w:rPr>
                <w:rFonts w:hint="eastAsia"/>
                <w:color w:val="auto"/>
                <w:szCs w:val="21"/>
              </w:rPr>
              <w:t>的SBS改性沥青卷材+</w:t>
            </w:r>
            <w:r>
              <w:rPr>
                <w:color w:val="auto"/>
                <w:szCs w:val="21"/>
              </w:rPr>
              <w:t>2mm</w:t>
            </w:r>
            <w:r>
              <w:rPr>
                <w:rFonts w:hint="eastAsia"/>
                <w:color w:val="auto"/>
                <w:szCs w:val="21"/>
                <w:lang w:eastAsia="zh-CN"/>
              </w:rPr>
              <w:t>高密度聚乙烯</w:t>
            </w:r>
            <w:r>
              <w:rPr>
                <w:color w:val="auto"/>
                <w:szCs w:val="21"/>
              </w:rPr>
              <w:t>地坪漆防渗），采取防风、防雨、防晒、防渗漏的“四防”措施；</w:t>
            </w:r>
            <w:r>
              <w:rPr>
                <w:rFonts w:hint="eastAsia"/>
                <w:color w:val="auto"/>
                <w:szCs w:val="21"/>
                <w:lang w:val="en-US" w:eastAsia="zh-CN"/>
              </w:rPr>
              <w:t>储</w:t>
            </w:r>
            <w:r>
              <w:rPr>
                <w:color w:val="auto"/>
                <w:szCs w:val="21"/>
              </w:rPr>
              <w:t>罐区四周建40cm高的防溢流围堰</w:t>
            </w:r>
            <w:r>
              <w:rPr>
                <w:rFonts w:hint="eastAsia"/>
                <w:color w:val="auto"/>
                <w:szCs w:val="21"/>
                <w:lang w:eastAsia="zh-CN"/>
              </w:rPr>
              <w:t>、</w:t>
            </w:r>
            <w:r>
              <w:rPr>
                <w:rFonts w:hint="eastAsia"/>
                <w:color w:val="auto"/>
                <w:szCs w:val="21"/>
                <w:lang w:val="en-US" w:eastAsia="zh-CN"/>
              </w:rPr>
              <w:t>装卸区四周</w:t>
            </w:r>
            <w:r>
              <w:rPr>
                <w:color w:val="auto"/>
                <w:szCs w:val="21"/>
              </w:rPr>
              <w:t>建</w:t>
            </w:r>
            <w:r>
              <w:rPr>
                <w:rFonts w:hint="eastAsia"/>
                <w:color w:val="auto"/>
                <w:szCs w:val="21"/>
                <w:lang w:val="en-US" w:eastAsia="zh-CN"/>
              </w:rPr>
              <w:t>5</w:t>
            </w:r>
            <w:r>
              <w:rPr>
                <w:color w:val="auto"/>
                <w:szCs w:val="21"/>
              </w:rPr>
              <w:t>cm高的防溢流围堰；储存区域分别设立标识。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37" w:type="dxa"/>
            <w:noWrap w:val="0"/>
            <w:vAlign w:val="center"/>
          </w:tcPr>
          <w:p>
            <w:pPr>
              <w:adjustRightInd w:val="0"/>
              <w:snapToGrid w:val="0"/>
              <w:spacing w:line="280" w:lineRule="exact"/>
              <w:ind w:left="-53" w:leftChars="-25" w:right="-53" w:rightChars="-25"/>
              <w:jc w:val="center"/>
              <w:rPr>
                <w:color w:val="auto"/>
                <w:szCs w:val="21"/>
              </w:rPr>
            </w:pPr>
            <w:r>
              <w:rPr>
                <w:color w:val="auto"/>
                <w:szCs w:val="21"/>
              </w:rPr>
              <w:t>生态保护措施</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1037" w:type="dxa"/>
            <w:noWrap w:val="0"/>
            <w:vAlign w:val="center"/>
          </w:tcPr>
          <w:p>
            <w:pPr>
              <w:adjustRightInd w:val="0"/>
              <w:snapToGrid w:val="0"/>
              <w:spacing w:line="280" w:lineRule="exact"/>
              <w:ind w:left="-53" w:leftChars="-25" w:right="-53" w:rightChars="-25"/>
              <w:jc w:val="center"/>
              <w:rPr>
                <w:color w:val="auto"/>
                <w:spacing w:val="-8"/>
                <w:szCs w:val="21"/>
              </w:rPr>
            </w:pPr>
            <w:r>
              <w:rPr>
                <w:color w:val="auto"/>
                <w:spacing w:val="-8"/>
                <w:szCs w:val="21"/>
              </w:rPr>
              <w:t>环境风险</w:t>
            </w:r>
          </w:p>
          <w:p>
            <w:pPr>
              <w:adjustRightInd w:val="0"/>
              <w:snapToGrid w:val="0"/>
              <w:spacing w:line="280" w:lineRule="exact"/>
              <w:ind w:left="-53" w:leftChars="-25" w:right="-53" w:rightChars="-25"/>
              <w:jc w:val="center"/>
              <w:rPr>
                <w:color w:val="auto"/>
                <w:spacing w:val="-8"/>
                <w:szCs w:val="21"/>
              </w:rPr>
            </w:pPr>
            <w:r>
              <w:rPr>
                <w:color w:val="auto"/>
                <w:spacing w:val="-8"/>
                <w:szCs w:val="21"/>
              </w:rPr>
              <w:t>防范措施</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color w:val="auto"/>
                <w:szCs w:val="21"/>
              </w:rPr>
            </w:pPr>
            <w:r>
              <w:rPr>
                <w:color w:val="auto"/>
                <w:szCs w:val="21"/>
                <w:lang w:val="zh-CN"/>
              </w:rPr>
              <w:t>①</w:t>
            </w:r>
            <w:r>
              <w:rPr>
                <w:rFonts w:hint="eastAsia"/>
                <w:color w:val="auto"/>
                <w:szCs w:val="21"/>
                <w:lang w:eastAsia="zh-CN"/>
              </w:rPr>
              <w:t>废矿物油</w:t>
            </w:r>
            <w:r>
              <w:rPr>
                <w:color w:val="auto"/>
                <w:szCs w:val="21"/>
              </w:rPr>
              <w:t>储存间</w:t>
            </w:r>
            <w:r>
              <w:rPr>
                <w:color w:val="auto"/>
                <w:szCs w:val="21"/>
                <w:lang w:val="zh-CN"/>
              </w:rPr>
              <w:t>地面及墙裙均防渗处理，</w:t>
            </w:r>
            <w:r>
              <w:rPr>
                <w:color w:val="auto"/>
                <w:szCs w:val="21"/>
              </w:rPr>
              <w:t>储油罐设置在密闭的房间内</w:t>
            </w:r>
            <w:r>
              <w:rPr>
                <w:color w:val="auto"/>
                <w:szCs w:val="21"/>
                <w:lang w:val="zh-CN"/>
              </w:rPr>
              <w:t>，</w:t>
            </w:r>
            <w:r>
              <w:rPr>
                <w:color w:val="auto"/>
                <w:szCs w:val="21"/>
              </w:rPr>
              <w:t>罐区</w:t>
            </w:r>
            <w:r>
              <w:rPr>
                <w:color w:val="auto"/>
                <w:szCs w:val="21"/>
                <w:lang w:val="zh-CN"/>
              </w:rPr>
              <w:t>周围建设围堰，</w:t>
            </w:r>
            <w:r>
              <w:rPr>
                <w:rFonts w:hint="eastAsia"/>
                <w:color w:val="auto"/>
                <w:szCs w:val="21"/>
              </w:rPr>
              <w:t>围堰外设事故池。装卸平台采取防渗措施，四周设防溢流堰，配置移动式接油托盘。</w:t>
            </w:r>
          </w:p>
          <w:p>
            <w:pPr>
              <w:adjustRightInd w:val="0"/>
              <w:snapToGrid w:val="0"/>
              <w:spacing w:line="400" w:lineRule="exact"/>
              <w:ind w:left="-53" w:leftChars="-25" w:right="-53" w:rightChars="-25" w:firstLine="420" w:firstLineChars="200"/>
              <w:jc w:val="left"/>
              <w:rPr>
                <w:color w:val="auto"/>
                <w:szCs w:val="21"/>
              </w:rPr>
            </w:pPr>
            <w:r>
              <w:rPr>
                <w:color w:val="auto"/>
                <w:szCs w:val="21"/>
                <w:lang w:val="zh-CN"/>
              </w:rPr>
              <w:t>②划定禁火、防爆区域，并制定管理制度。严禁在易燃易爆区吸烟、携带火种等。严禁钢制工具的敲打、撞击、抛掷</w:t>
            </w:r>
            <w:r>
              <w:rPr>
                <w:color w:val="auto"/>
                <w:szCs w:val="21"/>
              </w:rPr>
              <w:t>储油罐</w:t>
            </w:r>
            <w:r>
              <w:rPr>
                <w:color w:val="auto"/>
                <w:szCs w:val="21"/>
                <w:lang w:val="zh-CN"/>
              </w:rPr>
              <w:t>。</w:t>
            </w:r>
            <w:r>
              <w:rPr>
                <w:rFonts w:hint="eastAsia"/>
                <w:color w:val="auto"/>
                <w:szCs w:val="21"/>
              </w:rPr>
              <w:t>储存间尽量不拉接电线。</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rPr>
              <w:t>③</w:t>
            </w:r>
            <w:r>
              <w:rPr>
                <w:color w:val="auto"/>
                <w:szCs w:val="21"/>
                <w:lang w:val="zh-CN"/>
              </w:rPr>
              <w:t>按规范设置消防系统，配置相应的灭火装置和设施，如灭火器、消防</w:t>
            </w:r>
            <w:r>
              <w:rPr>
                <w:rFonts w:hint="eastAsia"/>
                <w:color w:val="auto"/>
                <w:szCs w:val="21"/>
              </w:rPr>
              <w:t>沙</w:t>
            </w:r>
            <w:r>
              <w:rPr>
                <w:color w:val="auto"/>
                <w:szCs w:val="21"/>
                <w:lang w:val="zh-CN"/>
              </w:rPr>
              <w:t>、消防水池、消火栓等，并保持完好。</w:t>
            </w:r>
          </w:p>
          <w:p>
            <w:pPr>
              <w:adjustRightInd w:val="0"/>
              <w:snapToGrid w:val="0"/>
              <w:spacing w:line="400" w:lineRule="exact"/>
              <w:ind w:left="-53" w:leftChars="-25" w:right="-53" w:rightChars="-25" w:firstLine="420" w:firstLineChars="200"/>
              <w:jc w:val="left"/>
              <w:rPr>
                <w:color w:val="auto"/>
                <w:szCs w:val="21"/>
                <w:lang w:val="zh-CN"/>
              </w:rPr>
            </w:pPr>
            <w:r>
              <w:rPr>
                <w:color w:val="auto"/>
                <w:szCs w:val="21"/>
                <w:lang w:val="zh-CN"/>
              </w:rPr>
              <w:t>④加强管理：遵守各项规章制度和操作规程，严格执行岗位责任制。坚持巡回检查，发现问题及时处理，如通风、管线是否泄漏，消防通道、地沟是否通畅。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1" w:hRule="atLeast"/>
          <w:jc w:val="center"/>
        </w:trPr>
        <w:tc>
          <w:tcPr>
            <w:tcW w:w="1037" w:type="dxa"/>
            <w:noWrap w:val="0"/>
            <w:vAlign w:val="center"/>
          </w:tcPr>
          <w:p>
            <w:pPr>
              <w:adjustRightInd w:val="0"/>
              <w:snapToGrid w:val="0"/>
              <w:spacing w:line="280" w:lineRule="exact"/>
              <w:ind w:left="-53" w:leftChars="-25" w:right="-53" w:rightChars="-25"/>
              <w:jc w:val="center"/>
              <w:rPr>
                <w:color w:val="auto"/>
                <w:spacing w:val="-8"/>
                <w:szCs w:val="21"/>
              </w:rPr>
            </w:pPr>
            <w:r>
              <w:rPr>
                <w:color w:val="auto"/>
                <w:spacing w:val="-8"/>
                <w:szCs w:val="21"/>
              </w:rPr>
              <w:t>其他环境</w:t>
            </w:r>
          </w:p>
          <w:p>
            <w:pPr>
              <w:adjustRightInd w:val="0"/>
              <w:snapToGrid w:val="0"/>
              <w:spacing w:line="280" w:lineRule="exact"/>
              <w:ind w:left="-53" w:leftChars="-25" w:right="-53" w:rightChars="-25"/>
              <w:jc w:val="center"/>
              <w:rPr>
                <w:color w:val="auto"/>
                <w:spacing w:val="-8"/>
                <w:szCs w:val="21"/>
              </w:rPr>
            </w:pPr>
            <w:r>
              <w:rPr>
                <w:color w:val="auto"/>
                <w:spacing w:val="-8"/>
                <w:szCs w:val="21"/>
              </w:rPr>
              <w:t>管理要求</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1、</w:t>
            </w:r>
            <w:r>
              <w:rPr>
                <w:rFonts w:hint="eastAsia"/>
                <w:color w:val="auto"/>
                <w:lang w:eastAsia="zh-CN"/>
              </w:rPr>
              <w:t>废矿物油</w:t>
            </w:r>
            <w:r>
              <w:rPr>
                <w:rFonts w:hint="eastAsia"/>
                <w:color w:val="auto"/>
              </w:rPr>
              <w:t>的收集应制定详细的操作规程，内容至少应包括适用范围、操作程序和方法、专用设备和工具、转移和交接、安全保障和应急防护等。</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2、</w:t>
            </w:r>
            <w:r>
              <w:rPr>
                <w:rFonts w:hint="eastAsia"/>
                <w:color w:val="auto"/>
                <w:lang w:eastAsia="zh-CN"/>
              </w:rPr>
              <w:t>废矿物油</w:t>
            </w:r>
            <w:r>
              <w:rPr>
                <w:rFonts w:hint="eastAsia"/>
                <w:color w:val="auto"/>
              </w:rPr>
              <w:t>收集和转运作业人员应根据工作需要配备必要的个人防护装备，如手套、防护服、口罩等。</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3、</w:t>
            </w:r>
            <w:r>
              <w:rPr>
                <w:rFonts w:hint="eastAsia"/>
                <w:color w:val="auto"/>
                <w:lang w:eastAsia="zh-CN"/>
              </w:rPr>
              <w:t>废矿物油</w:t>
            </w:r>
            <w:r>
              <w:rPr>
                <w:rFonts w:hint="eastAsia"/>
                <w:color w:val="auto"/>
              </w:rPr>
              <w:t>在收集和转运过程中，应采取相应的安全防护和污染防治措施，包括防爆、防火、防泄露、防飞扬、防雨或其它防止污染环境的措施。</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4、危险废物的收集作业应满足如下要求：</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(1)应根据收集设备、转运车辆以及现场人员等实际情况确定相应作业区域，同时要设置作业界限标志和警示牌。</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(2)收集时应配备必要的收集工具和包装物，以及必要的应急装备。</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(3)危险废物收集时应填写记录表，并将记录表存档妥善保存。</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(4)收集结束后应清理和恢复收集作业区域，确保作业区域环境整洁安全。</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5、</w:t>
            </w:r>
            <w:r>
              <w:rPr>
                <w:rFonts w:hint="eastAsia"/>
                <w:color w:val="auto"/>
                <w:lang w:eastAsia="zh-CN"/>
              </w:rPr>
              <w:t>废矿物油</w:t>
            </w:r>
            <w:r>
              <w:rPr>
                <w:rFonts w:hint="eastAsia"/>
                <w:color w:val="auto"/>
              </w:rPr>
              <w:t>转运作业应满足如下要求：</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(1）</w:t>
            </w:r>
            <w:r>
              <w:rPr>
                <w:rFonts w:hint="eastAsia"/>
                <w:color w:val="auto"/>
                <w:lang w:eastAsia="zh-CN"/>
              </w:rPr>
              <w:t>废矿物油</w:t>
            </w:r>
            <w:r>
              <w:rPr>
                <w:rFonts w:hint="eastAsia"/>
                <w:color w:val="auto"/>
              </w:rPr>
              <w:t>转运应综合考虑转运路线，尽量避开办公室和生活区。</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(2）</w:t>
            </w:r>
            <w:r>
              <w:rPr>
                <w:rFonts w:hint="eastAsia"/>
                <w:color w:val="auto"/>
                <w:lang w:eastAsia="zh-CN"/>
              </w:rPr>
              <w:t>废矿物油</w:t>
            </w:r>
            <w:r>
              <w:rPr>
                <w:rFonts w:hint="eastAsia"/>
                <w:color w:val="auto"/>
              </w:rPr>
              <w:t>转运作业应采用专用的工具。转运结束后，应对转运路线进行检查和清理，确保无危险废物遗失在转运路线上，并对转运工具进行清洗。</w:t>
            </w:r>
          </w:p>
          <w:p>
            <w:pPr>
              <w:adjustRightInd w:val="0"/>
              <w:snapToGrid w:val="0"/>
              <w:spacing w:line="400" w:lineRule="exact"/>
              <w:ind w:left="-53" w:leftChars="-25" w:right="-53" w:rightChars="-25" w:firstLine="420" w:firstLineChars="200"/>
              <w:jc w:val="left"/>
              <w:rPr>
                <w:rFonts w:hint="eastAsia"/>
                <w:color w:val="auto"/>
              </w:rPr>
            </w:pPr>
            <w:r>
              <w:rPr>
                <w:rFonts w:hint="eastAsia"/>
                <w:color w:val="auto"/>
              </w:rPr>
              <w:t>6、贮存</w:t>
            </w:r>
            <w:r>
              <w:rPr>
                <w:rFonts w:hint="eastAsia"/>
                <w:color w:val="auto"/>
                <w:lang w:eastAsia="zh-CN"/>
              </w:rPr>
              <w:t>废矿物油</w:t>
            </w:r>
            <w:r>
              <w:rPr>
                <w:rFonts w:hint="eastAsia"/>
                <w:color w:val="auto"/>
              </w:rPr>
              <w:t>时应按危险废物的种类和特性进行贮存，储存间单独设置，与其它区域分开，并设置防雨、防火、防雷、防扬尘装置。</w:t>
            </w:r>
          </w:p>
          <w:p>
            <w:pPr>
              <w:adjustRightInd w:val="0"/>
              <w:snapToGrid w:val="0"/>
              <w:spacing w:line="400" w:lineRule="exact"/>
              <w:ind w:left="-53" w:leftChars="-25" w:right="-53" w:rightChars="-25" w:firstLine="420" w:firstLineChars="200"/>
              <w:jc w:val="left"/>
              <w:rPr>
                <w:color w:val="auto"/>
              </w:rPr>
            </w:pPr>
            <w:r>
              <w:rPr>
                <w:rFonts w:hint="eastAsia"/>
                <w:color w:val="auto"/>
              </w:rPr>
              <w:t>7、危险废物贮存单位应建立危险废物台账制度。</w:t>
            </w:r>
          </w:p>
        </w:tc>
      </w:tr>
    </w:tbl>
    <w:p>
      <w:pPr>
        <w:widowControl/>
        <w:spacing w:before="100" w:beforeAutospacing="1" w:after="100" w:afterAutospacing="1"/>
        <w:jc w:val="center"/>
        <w:outlineLvl w:val="0"/>
        <w:rPr>
          <w:rFonts w:eastAsia="黑体"/>
          <w:snapToGrid w:val="0"/>
          <w:color w:val="auto"/>
          <w:kern w:val="0"/>
          <w:sz w:val="30"/>
          <w:szCs w:val="30"/>
        </w:rPr>
      </w:pPr>
      <w:r>
        <w:rPr>
          <w:snapToGrid w:val="0"/>
          <w:color w:val="FF0000"/>
          <w:kern w:val="0"/>
          <w:sz w:val="24"/>
          <w:szCs w:val="20"/>
        </w:rPr>
        <w:br w:type="page"/>
      </w:r>
      <w:r>
        <w:rPr>
          <w:rFonts w:eastAsia="黑体"/>
          <w:snapToGrid w:val="0"/>
          <w:color w:val="auto"/>
          <w:kern w:val="0"/>
          <w:sz w:val="30"/>
          <w:szCs w:val="30"/>
        </w:rPr>
        <w:t>六、结论</w:t>
      </w:r>
    </w:p>
    <w:tbl>
      <w:tblPr>
        <w:tblStyle w:val="1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7" w:hRule="atLeast"/>
          <w:jc w:val="center"/>
        </w:trPr>
        <w:tc>
          <w:tcPr>
            <w:tcW w:w="8865" w:type="dxa"/>
            <w:noWrap w:val="0"/>
            <w:vAlign w:val="top"/>
          </w:tcPr>
          <w:p>
            <w:pPr>
              <w:spacing w:line="400" w:lineRule="exact"/>
              <w:ind w:firstLine="420" w:firstLineChars="200"/>
              <w:rPr>
                <w:rFonts w:hint="eastAsia" w:eastAsia="黑体"/>
                <w:color w:val="auto"/>
                <w:szCs w:val="21"/>
                <w:lang w:eastAsia="zh-CN"/>
              </w:rPr>
            </w:pPr>
          </w:p>
          <w:p>
            <w:pPr>
              <w:spacing w:line="400" w:lineRule="exact"/>
              <w:ind w:firstLine="420" w:firstLineChars="200"/>
              <w:rPr>
                <w:rFonts w:eastAsia="黑体"/>
                <w:color w:val="auto"/>
                <w:szCs w:val="21"/>
              </w:rPr>
            </w:pPr>
            <w:r>
              <w:rPr>
                <w:rFonts w:hint="eastAsia" w:eastAsia="黑体"/>
                <w:color w:val="auto"/>
                <w:szCs w:val="21"/>
                <w:lang w:eastAsia="zh-CN"/>
              </w:rPr>
              <w:t>达州市闽通环保科技有限公司</w:t>
            </w:r>
            <w:r>
              <w:rPr>
                <w:rFonts w:eastAsia="黑体"/>
                <w:color w:val="auto"/>
                <w:szCs w:val="21"/>
              </w:rPr>
              <w:t>“</w:t>
            </w:r>
            <w:r>
              <w:rPr>
                <w:rFonts w:hint="eastAsia" w:eastAsia="黑体"/>
                <w:color w:val="auto"/>
                <w:szCs w:val="21"/>
                <w:lang w:eastAsia="zh-CN"/>
              </w:rPr>
              <w:t>宣汉闽通再生资源回收储存项目</w:t>
            </w:r>
            <w:r>
              <w:rPr>
                <w:rFonts w:eastAsia="黑体"/>
                <w:color w:val="auto"/>
                <w:szCs w:val="21"/>
              </w:rPr>
              <w:t>”符合符合国家产业政策，周围无明显的环境制约因素，项目平面布置总体可行。本项目拟采取的污染物防治措施经济技术可行、措施有效，建设单位只要严格落实本报告提出的各项环保措施，严格执行“三同时”制度，能够最大限度地减轻项目建设对周围环境造成的影响，</w:t>
            </w:r>
            <w:r>
              <w:rPr>
                <w:rFonts w:hint="eastAsia" w:eastAsia="黑体"/>
                <w:color w:val="auto"/>
                <w:szCs w:val="21"/>
              </w:rPr>
              <w:t>项目的环境影响为可接受程度，</w:t>
            </w:r>
            <w:r>
              <w:rPr>
                <w:rFonts w:eastAsia="黑体"/>
                <w:color w:val="auto"/>
                <w:szCs w:val="21"/>
              </w:rPr>
              <w:t>环境风险可控，污染物排放符合总量控制要求。</w:t>
            </w:r>
          </w:p>
          <w:p>
            <w:pPr>
              <w:spacing w:line="400" w:lineRule="exact"/>
              <w:ind w:firstLine="420" w:firstLineChars="200"/>
              <w:rPr>
                <w:rFonts w:eastAsia="黑体"/>
                <w:color w:val="auto"/>
                <w:szCs w:val="21"/>
              </w:rPr>
            </w:pPr>
            <w:r>
              <w:rPr>
                <w:rFonts w:eastAsia="黑体"/>
                <w:color w:val="auto"/>
                <w:szCs w:val="21"/>
              </w:rPr>
              <w:t>因此，</w:t>
            </w:r>
            <w:r>
              <w:rPr>
                <w:rFonts w:hint="eastAsia" w:eastAsia="黑体"/>
                <w:color w:val="auto"/>
                <w:szCs w:val="21"/>
              </w:rPr>
              <w:t>从环境保护角度</w:t>
            </w:r>
            <w:r>
              <w:rPr>
                <w:rFonts w:eastAsia="黑体"/>
                <w:color w:val="auto"/>
                <w:szCs w:val="21"/>
              </w:rPr>
              <w:t>分析，</w:t>
            </w:r>
            <w:r>
              <w:rPr>
                <w:rFonts w:hint="eastAsia" w:eastAsia="黑体"/>
                <w:color w:val="auto"/>
                <w:szCs w:val="21"/>
              </w:rPr>
              <w:t>其</w:t>
            </w:r>
            <w:r>
              <w:rPr>
                <w:rFonts w:eastAsia="黑体"/>
                <w:color w:val="auto"/>
                <w:szCs w:val="21"/>
              </w:rPr>
              <w:t>在所选地址建设是可行的。</w:t>
            </w:r>
          </w:p>
          <w:p>
            <w:pPr>
              <w:autoSpaceDE w:val="0"/>
              <w:autoSpaceDN w:val="0"/>
              <w:adjustRightInd w:val="0"/>
              <w:snapToGrid w:val="0"/>
              <w:spacing w:line="400" w:lineRule="exact"/>
              <w:ind w:firstLine="422" w:firstLineChars="200"/>
              <w:jc w:val="left"/>
              <w:rPr>
                <w:rFonts w:hint="eastAsia" w:ascii="Times New Roman" w:hAnsi="Times New Roman" w:cs="Times New Roman"/>
                <w:b/>
                <w:color w:val="auto"/>
                <w:kern w:val="0"/>
                <w:szCs w:val="21"/>
                <w:lang w:eastAsia="zh-CN"/>
              </w:rPr>
            </w:pPr>
          </w:p>
          <w:p>
            <w:pPr>
              <w:spacing w:line="360" w:lineRule="auto"/>
              <w:rPr>
                <w:color w:val="auto"/>
                <w:sz w:val="24"/>
              </w:rPr>
            </w:pPr>
          </w:p>
        </w:tc>
      </w:tr>
    </w:tbl>
    <w:p>
      <w:pPr>
        <w:rPr>
          <w:color w:val="FF0000"/>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formProt w:val="1"/>
          <w:docGrid w:linePitch="312" w:charSpace="0"/>
        </w:sectPr>
      </w:pPr>
    </w:p>
    <w:p>
      <w:pPr>
        <w:widowControl/>
        <w:adjustRightInd w:val="0"/>
        <w:snapToGrid w:val="0"/>
        <w:spacing w:line="648" w:lineRule="auto"/>
        <w:jc w:val="left"/>
        <w:outlineLvl w:val="0"/>
        <w:rPr>
          <w:rFonts w:eastAsia="黑体"/>
          <w:snapToGrid w:val="0"/>
          <w:color w:val="auto"/>
          <w:kern w:val="0"/>
          <w:sz w:val="32"/>
          <w:szCs w:val="32"/>
        </w:rPr>
      </w:pPr>
      <w:r>
        <w:rPr>
          <w:rFonts w:eastAsia="黑体"/>
          <w:snapToGrid w:val="0"/>
          <w:color w:val="auto"/>
          <w:kern w:val="0"/>
          <w:sz w:val="32"/>
          <w:szCs w:val="32"/>
        </w:rPr>
        <w:t>附表</w:t>
      </w:r>
    </w:p>
    <w:p>
      <w:pPr>
        <w:widowControl/>
        <w:adjustRightInd w:val="0"/>
        <w:snapToGrid w:val="0"/>
        <w:spacing w:line="552" w:lineRule="auto"/>
        <w:jc w:val="center"/>
        <w:outlineLvl w:val="0"/>
        <w:rPr>
          <w:rFonts w:eastAsia="方正小标宋_GBK"/>
          <w:snapToGrid w:val="0"/>
          <w:color w:val="auto"/>
          <w:kern w:val="0"/>
          <w:sz w:val="38"/>
          <w:szCs w:val="38"/>
        </w:rPr>
      </w:pPr>
      <w:r>
        <w:rPr>
          <w:rFonts w:eastAsia="方正小标宋_GBK"/>
          <w:snapToGrid w:val="0"/>
          <w:color w:val="auto"/>
          <w:kern w:val="0"/>
          <w:sz w:val="38"/>
          <w:szCs w:val="38"/>
        </w:rPr>
        <w:t>建设项目污染物排放量汇总表</w:t>
      </w:r>
    </w:p>
    <w:tbl>
      <w:tblPr>
        <w:tblStyle w:val="1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70"/>
        <w:gridCol w:w="1905"/>
        <w:gridCol w:w="1140"/>
        <w:gridCol w:w="1784"/>
        <w:gridCol w:w="1816"/>
        <w:gridCol w:w="1504"/>
        <w:gridCol w:w="2051"/>
        <w:gridCol w:w="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84" w:type="dxa"/>
            <w:tcBorders>
              <w:tl2br w:val="single" w:color="auto" w:sz="4" w:space="0"/>
            </w:tcBorders>
            <w:noWrap w:val="0"/>
            <w:tcMar>
              <w:left w:w="28" w:type="dxa"/>
              <w:right w:w="28" w:type="dxa"/>
            </w:tcMar>
            <w:vAlign w:val="center"/>
          </w:tcPr>
          <w:p>
            <w:pPr>
              <w:adjustRightInd w:val="0"/>
              <w:snapToGrid w:val="0"/>
              <w:jc w:val="right"/>
              <w:rPr>
                <w:rFonts w:eastAsia="黑体"/>
                <w:snapToGrid w:val="0"/>
                <w:color w:val="auto"/>
                <w:spacing w:val="-6"/>
                <w:kern w:val="21"/>
                <w:szCs w:val="21"/>
              </w:rPr>
            </w:pPr>
            <w:r>
              <w:rPr>
                <w:rFonts w:eastAsia="黑体"/>
                <w:snapToGrid w:val="0"/>
                <w:color w:val="auto"/>
                <w:spacing w:val="-6"/>
                <w:kern w:val="21"/>
                <w:szCs w:val="21"/>
              </w:rPr>
              <w:t>项目</w:t>
            </w:r>
          </w:p>
          <w:p>
            <w:pPr>
              <w:adjustRightInd w:val="0"/>
              <w:snapToGrid w:val="0"/>
              <w:jc w:val="left"/>
              <w:rPr>
                <w:rFonts w:eastAsia="黑体"/>
                <w:snapToGrid w:val="0"/>
                <w:color w:val="auto"/>
                <w:spacing w:val="-6"/>
                <w:kern w:val="21"/>
                <w:szCs w:val="21"/>
              </w:rPr>
            </w:pPr>
            <w:r>
              <w:rPr>
                <w:rFonts w:eastAsia="黑体"/>
                <w:snapToGrid w:val="0"/>
                <w:color w:val="auto"/>
                <w:spacing w:val="-6"/>
                <w:kern w:val="21"/>
                <w:szCs w:val="21"/>
              </w:rPr>
              <w:t>分类</w:t>
            </w:r>
          </w:p>
        </w:tc>
        <w:tc>
          <w:tcPr>
            <w:tcW w:w="1470" w:type="dxa"/>
            <w:noWrap w:val="0"/>
            <w:tcMar>
              <w:left w:w="28" w:type="dxa"/>
              <w:right w:w="28" w:type="dxa"/>
            </w:tcMar>
            <w:vAlign w:val="center"/>
          </w:tcPr>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污染物名称</w:t>
            </w:r>
          </w:p>
        </w:tc>
        <w:tc>
          <w:tcPr>
            <w:tcW w:w="1905" w:type="dxa"/>
            <w:noWrap w:val="0"/>
            <w:tcMar>
              <w:left w:w="28" w:type="dxa"/>
              <w:right w:w="28" w:type="dxa"/>
            </w:tcMar>
            <w:vAlign w:val="center"/>
          </w:tcPr>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现有工程排放量</w:t>
            </w:r>
          </w:p>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1 \* GB3 \* MERGEFORMAT </w:instrText>
            </w:r>
            <w:r>
              <w:rPr>
                <w:rFonts w:eastAsia="黑体"/>
                <w:snapToGrid w:val="0"/>
                <w:color w:val="auto"/>
                <w:spacing w:val="-6"/>
                <w:kern w:val="21"/>
                <w:szCs w:val="21"/>
              </w:rPr>
              <w:fldChar w:fldCharType="separate"/>
            </w:r>
            <w:r>
              <w:rPr>
                <w:rFonts w:eastAsia="黑体"/>
                <w:color w:val="auto"/>
                <w:szCs w:val="21"/>
              </w:rPr>
              <w:t>①</w:t>
            </w:r>
            <w:r>
              <w:rPr>
                <w:rFonts w:eastAsia="黑体"/>
                <w:snapToGrid w:val="0"/>
                <w:color w:val="auto"/>
                <w:spacing w:val="-6"/>
                <w:kern w:val="21"/>
                <w:szCs w:val="21"/>
              </w:rPr>
              <w:fldChar w:fldCharType="end"/>
            </w:r>
          </w:p>
        </w:tc>
        <w:tc>
          <w:tcPr>
            <w:tcW w:w="1140" w:type="dxa"/>
            <w:noWrap w:val="0"/>
            <w:tcMar>
              <w:left w:w="28" w:type="dxa"/>
              <w:right w:w="28" w:type="dxa"/>
            </w:tcMar>
            <w:vAlign w:val="center"/>
          </w:tcPr>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现有工程</w:t>
            </w:r>
          </w:p>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许可排放量</w:t>
            </w:r>
          </w:p>
          <w:p>
            <w:pPr>
              <w:adjustRightInd w:val="0"/>
              <w:snapToGrid w:val="0"/>
              <w:spacing w:line="259" w:lineRule="auto"/>
              <w:jc w:val="center"/>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2 \* GB3 \* MERGEFORMAT </w:instrText>
            </w:r>
            <w:r>
              <w:rPr>
                <w:rFonts w:eastAsia="黑体"/>
                <w:snapToGrid w:val="0"/>
                <w:color w:val="auto"/>
                <w:spacing w:val="-6"/>
                <w:kern w:val="21"/>
                <w:szCs w:val="21"/>
              </w:rPr>
              <w:fldChar w:fldCharType="separate"/>
            </w:r>
            <w:r>
              <w:rPr>
                <w:rFonts w:eastAsia="黑体"/>
                <w:snapToGrid w:val="0"/>
                <w:color w:val="auto"/>
                <w:spacing w:val="-6"/>
                <w:kern w:val="21"/>
                <w:szCs w:val="21"/>
              </w:rPr>
              <w:t>②</w:t>
            </w:r>
            <w:r>
              <w:rPr>
                <w:rFonts w:eastAsia="黑体"/>
                <w:snapToGrid w:val="0"/>
                <w:color w:val="auto"/>
                <w:spacing w:val="-6"/>
                <w:kern w:val="21"/>
                <w:szCs w:val="21"/>
              </w:rPr>
              <w:fldChar w:fldCharType="end"/>
            </w:r>
          </w:p>
        </w:tc>
        <w:tc>
          <w:tcPr>
            <w:tcW w:w="1784" w:type="dxa"/>
            <w:noWrap w:val="0"/>
            <w:tcMar>
              <w:left w:w="28" w:type="dxa"/>
              <w:right w:w="28" w:type="dxa"/>
            </w:tcMar>
            <w:vAlign w:val="center"/>
          </w:tcPr>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在建工程排放量</w:t>
            </w:r>
          </w:p>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3 \* GB3 \* MERGEFORMAT </w:instrText>
            </w:r>
            <w:r>
              <w:rPr>
                <w:rFonts w:eastAsia="黑体"/>
                <w:snapToGrid w:val="0"/>
                <w:color w:val="auto"/>
                <w:spacing w:val="-6"/>
                <w:kern w:val="21"/>
                <w:szCs w:val="21"/>
              </w:rPr>
              <w:fldChar w:fldCharType="separate"/>
            </w:r>
            <w:r>
              <w:rPr>
                <w:rFonts w:eastAsia="黑体"/>
                <w:color w:val="auto"/>
                <w:szCs w:val="21"/>
              </w:rPr>
              <w:t>③</w:t>
            </w:r>
            <w:r>
              <w:rPr>
                <w:rFonts w:eastAsia="黑体"/>
                <w:snapToGrid w:val="0"/>
                <w:color w:val="auto"/>
                <w:spacing w:val="-6"/>
                <w:kern w:val="21"/>
                <w:szCs w:val="21"/>
              </w:rPr>
              <w:fldChar w:fldCharType="end"/>
            </w:r>
          </w:p>
        </w:tc>
        <w:tc>
          <w:tcPr>
            <w:tcW w:w="1816" w:type="dxa"/>
            <w:noWrap w:val="0"/>
            <w:tcMar>
              <w:left w:w="28" w:type="dxa"/>
              <w:right w:w="28" w:type="dxa"/>
            </w:tcMar>
            <w:vAlign w:val="center"/>
          </w:tcPr>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本项目排放量</w:t>
            </w:r>
          </w:p>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4 \* GB3 \* MERGEFORMAT </w:instrText>
            </w:r>
            <w:r>
              <w:rPr>
                <w:rFonts w:eastAsia="黑体"/>
                <w:snapToGrid w:val="0"/>
                <w:color w:val="auto"/>
                <w:spacing w:val="-6"/>
                <w:kern w:val="21"/>
                <w:szCs w:val="21"/>
              </w:rPr>
              <w:fldChar w:fldCharType="separate"/>
            </w:r>
            <w:r>
              <w:rPr>
                <w:rFonts w:eastAsia="黑体"/>
                <w:color w:val="auto"/>
                <w:szCs w:val="21"/>
              </w:rPr>
              <w:t>④</w:t>
            </w:r>
            <w:r>
              <w:rPr>
                <w:rFonts w:eastAsia="黑体"/>
                <w:snapToGrid w:val="0"/>
                <w:color w:val="auto"/>
                <w:spacing w:val="-6"/>
                <w:kern w:val="21"/>
                <w:szCs w:val="21"/>
              </w:rPr>
              <w:fldChar w:fldCharType="end"/>
            </w:r>
          </w:p>
        </w:tc>
        <w:tc>
          <w:tcPr>
            <w:tcW w:w="1504" w:type="dxa"/>
            <w:noWrap w:val="0"/>
            <w:tcMar>
              <w:left w:w="28" w:type="dxa"/>
              <w:right w:w="28" w:type="dxa"/>
            </w:tcMar>
            <w:vAlign w:val="center"/>
          </w:tcPr>
          <w:p>
            <w:pPr>
              <w:adjustRightInd w:val="0"/>
              <w:snapToGrid w:val="0"/>
              <w:jc w:val="center"/>
              <w:rPr>
                <w:rFonts w:eastAsia="黑体"/>
                <w:snapToGrid w:val="0"/>
                <w:color w:val="auto"/>
                <w:spacing w:val="-16"/>
                <w:kern w:val="21"/>
                <w:szCs w:val="21"/>
              </w:rPr>
            </w:pPr>
            <w:r>
              <w:rPr>
                <w:rFonts w:eastAsia="黑体"/>
                <w:snapToGrid w:val="0"/>
                <w:color w:val="auto"/>
                <w:spacing w:val="-16"/>
                <w:kern w:val="21"/>
                <w:szCs w:val="21"/>
              </w:rPr>
              <w:t>以新带老削减量</w:t>
            </w:r>
          </w:p>
          <w:p>
            <w:pPr>
              <w:adjustRightInd w:val="0"/>
              <w:snapToGrid w:val="0"/>
              <w:jc w:val="center"/>
              <w:rPr>
                <w:rFonts w:eastAsia="黑体"/>
                <w:snapToGrid w:val="0"/>
                <w:color w:val="auto"/>
                <w:spacing w:val="-16"/>
                <w:kern w:val="21"/>
                <w:szCs w:val="21"/>
              </w:rPr>
            </w:pPr>
            <w:r>
              <w:rPr>
                <w:rFonts w:eastAsia="黑体"/>
                <w:snapToGrid w:val="0"/>
                <w:color w:val="auto"/>
                <w:spacing w:val="-16"/>
                <w:kern w:val="21"/>
                <w:szCs w:val="21"/>
              </w:rPr>
              <w:t>（新建项目不填）</w:t>
            </w: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5 \* GB3 \* MERGEFORMAT </w:instrText>
            </w:r>
            <w:r>
              <w:rPr>
                <w:rFonts w:eastAsia="黑体"/>
                <w:snapToGrid w:val="0"/>
                <w:color w:val="auto"/>
                <w:spacing w:val="-16"/>
                <w:kern w:val="21"/>
                <w:szCs w:val="21"/>
              </w:rPr>
              <w:fldChar w:fldCharType="separate"/>
            </w:r>
            <w:r>
              <w:rPr>
                <w:rFonts w:eastAsia="黑体"/>
                <w:color w:val="auto"/>
                <w:szCs w:val="21"/>
              </w:rPr>
              <w:t>⑤</w:t>
            </w:r>
            <w:r>
              <w:rPr>
                <w:rFonts w:eastAsia="黑体"/>
                <w:snapToGrid w:val="0"/>
                <w:color w:val="auto"/>
                <w:spacing w:val="-16"/>
                <w:kern w:val="21"/>
                <w:szCs w:val="21"/>
              </w:rPr>
              <w:fldChar w:fldCharType="end"/>
            </w:r>
          </w:p>
        </w:tc>
        <w:tc>
          <w:tcPr>
            <w:tcW w:w="2051" w:type="dxa"/>
            <w:noWrap w:val="0"/>
            <w:tcMar>
              <w:left w:w="28" w:type="dxa"/>
              <w:right w:w="28" w:type="dxa"/>
            </w:tcMar>
            <w:vAlign w:val="center"/>
          </w:tcPr>
          <w:p>
            <w:pPr>
              <w:adjustRightInd w:val="0"/>
              <w:snapToGrid w:val="0"/>
              <w:jc w:val="center"/>
              <w:rPr>
                <w:rFonts w:eastAsia="黑体"/>
                <w:snapToGrid w:val="0"/>
                <w:color w:val="auto"/>
                <w:spacing w:val="-16"/>
                <w:kern w:val="21"/>
                <w:szCs w:val="21"/>
              </w:rPr>
            </w:pPr>
            <w:r>
              <w:rPr>
                <w:rFonts w:eastAsia="黑体"/>
                <w:snapToGrid w:val="0"/>
                <w:color w:val="auto"/>
                <w:spacing w:val="-16"/>
                <w:kern w:val="21"/>
                <w:szCs w:val="21"/>
              </w:rPr>
              <w:t>本项目建成后全厂排放量</w:t>
            </w:r>
          </w:p>
          <w:p>
            <w:pPr>
              <w:adjustRightInd w:val="0"/>
              <w:snapToGrid w:val="0"/>
              <w:jc w:val="center"/>
              <w:rPr>
                <w:rFonts w:eastAsia="黑体"/>
                <w:snapToGrid w:val="0"/>
                <w:color w:val="auto"/>
                <w:spacing w:val="-16"/>
                <w:kern w:val="21"/>
                <w:szCs w:val="21"/>
              </w:rPr>
            </w:pPr>
            <w:r>
              <w:rPr>
                <w:rFonts w:eastAsia="黑体"/>
                <w:snapToGrid w:val="0"/>
                <w:color w:val="auto"/>
                <w:spacing w:val="-16"/>
                <w:kern w:val="21"/>
                <w:szCs w:val="21"/>
              </w:rPr>
              <w:t>（固体废物产生量）</w:t>
            </w:r>
          </w:p>
          <w:p>
            <w:pPr>
              <w:adjustRightInd w:val="0"/>
              <w:snapToGrid w:val="0"/>
              <w:jc w:val="center"/>
              <w:rPr>
                <w:rFonts w:eastAsia="黑体"/>
                <w:snapToGrid w:val="0"/>
                <w:color w:val="auto"/>
                <w:spacing w:val="-16"/>
                <w:kern w:val="21"/>
                <w:szCs w:val="21"/>
              </w:rPr>
            </w:pP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6 \* GB3 \* MERGEFORMAT </w:instrText>
            </w:r>
            <w:r>
              <w:rPr>
                <w:rFonts w:eastAsia="黑体"/>
                <w:snapToGrid w:val="0"/>
                <w:color w:val="auto"/>
                <w:spacing w:val="-16"/>
                <w:kern w:val="21"/>
                <w:szCs w:val="21"/>
              </w:rPr>
              <w:fldChar w:fldCharType="separate"/>
            </w:r>
            <w:r>
              <w:rPr>
                <w:rFonts w:eastAsia="黑体"/>
                <w:color w:val="auto"/>
                <w:szCs w:val="21"/>
              </w:rPr>
              <w:t>⑥</w:t>
            </w:r>
            <w:r>
              <w:rPr>
                <w:rFonts w:eastAsia="黑体"/>
                <w:snapToGrid w:val="0"/>
                <w:color w:val="auto"/>
                <w:spacing w:val="-16"/>
                <w:kern w:val="21"/>
                <w:szCs w:val="21"/>
              </w:rPr>
              <w:fldChar w:fldCharType="end"/>
            </w:r>
          </w:p>
        </w:tc>
        <w:tc>
          <w:tcPr>
            <w:tcW w:w="734" w:type="dxa"/>
            <w:noWrap w:val="0"/>
            <w:tcMar>
              <w:left w:w="28" w:type="dxa"/>
              <w:right w:w="28" w:type="dxa"/>
            </w:tcMar>
            <w:vAlign w:val="center"/>
          </w:tcPr>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t>变化量</w:t>
            </w:r>
          </w:p>
          <w:p>
            <w:pPr>
              <w:adjustRightInd w:val="0"/>
              <w:snapToGrid w:val="0"/>
              <w:jc w:val="center"/>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7 \* GB3 \* MERGEFORMAT </w:instrText>
            </w:r>
            <w:r>
              <w:rPr>
                <w:rFonts w:eastAsia="黑体"/>
                <w:snapToGrid w:val="0"/>
                <w:color w:val="auto"/>
                <w:spacing w:val="-6"/>
                <w:kern w:val="21"/>
                <w:szCs w:val="21"/>
              </w:rPr>
              <w:fldChar w:fldCharType="separate"/>
            </w:r>
            <w:r>
              <w:rPr>
                <w:rFonts w:eastAsia="黑体"/>
                <w:color w:val="auto"/>
                <w:szCs w:val="21"/>
              </w:rPr>
              <w:t>⑦</w:t>
            </w:r>
            <w:r>
              <w:rPr>
                <w:rFonts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snapToGrid w:val="0"/>
                <w:color w:val="auto"/>
                <w:kern w:val="21"/>
                <w:szCs w:val="21"/>
              </w:rPr>
            </w:pPr>
            <w:r>
              <w:rPr>
                <w:snapToGrid w:val="0"/>
                <w:color w:val="auto"/>
                <w:kern w:val="21"/>
                <w:szCs w:val="21"/>
              </w:rPr>
              <w:t>废气</w:t>
            </w:r>
          </w:p>
        </w:tc>
        <w:tc>
          <w:tcPr>
            <w:tcW w:w="1470" w:type="dxa"/>
            <w:noWrap w:val="0"/>
            <w:vAlign w:val="center"/>
          </w:tcPr>
          <w:p>
            <w:pPr>
              <w:adjustRightInd w:val="0"/>
              <w:snapToGrid w:val="0"/>
              <w:jc w:val="center"/>
              <w:rPr>
                <w:snapToGrid w:val="0"/>
                <w:color w:val="auto"/>
                <w:kern w:val="21"/>
                <w:szCs w:val="21"/>
              </w:rPr>
            </w:pPr>
            <w:r>
              <w:rPr>
                <w:rFonts w:hint="eastAsia"/>
                <w:snapToGrid w:val="0"/>
                <w:color w:val="auto"/>
                <w:kern w:val="21"/>
                <w:szCs w:val="21"/>
              </w:rPr>
              <w:t>非甲烷总烃</w:t>
            </w: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rFonts w:hint="eastAsia"/>
                <w:snapToGrid w:val="0"/>
                <w:color w:val="auto"/>
                <w:kern w:val="21"/>
                <w:szCs w:val="21"/>
              </w:rPr>
            </w:pPr>
            <w:r>
              <w:rPr>
                <w:rFonts w:hint="eastAsia"/>
                <w:snapToGrid w:val="0"/>
                <w:color w:val="auto"/>
                <w:kern w:val="21"/>
                <w:szCs w:val="21"/>
              </w:rPr>
              <w:t>0.2t/a</w:t>
            </w: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r>
              <w:rPr>
                <w:rFonts w:hint="eastAsia"/>
                <w:snapToGrid w:val="0"/>
                <w:color w:val="auto"/>
                <w:kern w:val="21"/>
                <w:szCs w:val="21"/>
              </w:rPr>
              <w:t>0.2t/a</w:t>
            </w: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snapToGrid w:val="0"/>
                <w:color w:val="auto"/>
                <w:kern w:val="21"/>
                <w:szCs w:val="21"/>
              </w:rPr>
            </w:pPr>
          </w:p>
        </w:tc>
        <w:tc>
          <w:tcPr>
            <w:tcW w:w="1470" w:type="dxa"/>
            <w:noWrap w:val="0"/>
            <w:vAlign w:val="center"/>
          </w:tcPr>
          <w:p>
            <w:pPr>
              <w:adjustRightInd w:val="0"/>
              <w:snapToGrid w:val="0"/>
              <w:jc w:val="center"/>
              <w:rPr>
                <w:snapToGrid w:val="0"/>
                <w:color w:val="auto"/>
                <w:kern w:val="21"/>
                <w:szCs w:val="21"/>
              </w:rPr>
            </w:pP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snapToGrid w:val="0"/>
                <w:color w:val="auto"/>
                <w:kern w:val="21"/>
                <w:szCs w:val="21"/>
              </w:rPr>
            </w:pPr>
            <w:r>
              <w:rPr>
                <w:snapToGrid w:val="0"/>
                <w:color w:val="auto"/>
                <w:kern w:val="21"/>
                <w:szCs w:val="21"/>
              </w:rPr>
              <w:t>废水</w:t>
            </w:r>
          </w:p>
        </w:tc>
        <w:tc>
          <w:tcPr>
            <w:tcW w:w="1470" w:type="dxa"/>
            <w:noWrap w:val="0"/>
            <w:vAlign w:val="center"/>
          </w:tcPr>
          <w:p>
            <w:pPr>
              <w:adjustRightInd w:val="0"/>
              <w:snapToGrid w:val="0"/>
              <w:jc w:val="center"/>
              <w:rPr>
                <w:snapToGrid w:val="0"/>
                <w:color w:val="auto"/>
                <w:kern w:val="21"/>
                <w:szCs w:val="21"/>
              </w:rPr>
            </w:pP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snapToGrid w:val="0"/>
                <w:color w:val="auto"/>
                <w:kern w:val="21"/>
                <w:szCs w:val="21"/>
              </w:rPr>
            </w:pPr>
          </w:p>
        </w:tc>
        <w:tc>
          <w:tcPr>
            <w:tcW w:w="1470" w:type="dxa"/>
            <w:noWrap w:val="0"/>
            <w:vAlign w:val="center"/>
          </w:tcPr>
          <w:p>
            <w:pPr>
              <w:adjustRightInd w:val="0"/>
              <w:snapToGrid w:val="0"/>
              <w:jc w:val="center"/>
              <w:rPr>
                <w:snapToGrid w:val="0"/>
                <w:color w:val="auto"/>
                <w:kern w:val="21"/>
                <w:szCs w:val="21"/>
              </w:rPr>
            </w:pP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snapToGrid w:val="0"/>
                <w:color w:val="auto"/>
                <w:kern w:val="21"/>
                <w:szCs w:val="21"/>
              </w:rPr>
            </w:pPr>
            <w:r>
              <w:rPr>
                <w:snapToGrid w:val="0"/>
                <w:color w:val="auto"/>
                <w:kern w:val="21"/>
                <w:szCs w:val="21"/>
              </w:rPr>
              <w:t>一般工业</w:t>
            </w:r>
          </w:p>
          <w:p>
            <w:pPr>
              <w:adjustRightInd w:val="0"/>
              <w:snapToGrid w:val="0"/>
              <w:jc w:val="center"/>
              <w:rPr>
                <w:snapToGrid w:val="0"/>
                <w:color w:val="auto"/>
                <w:kern w:val="21"/>
                <w:szCs w:val="21"/>
              </w:rPr>
            </w:pPr>
            <w:r>
              <w:rPr>
                <w:snapToGrid w:val="0"/>
                <w:color w:val="auto"/>
                <w:kern w:val="21"/>
                <w:szCs w:val="21"/>
              </w:rPr>
              <w:t>固体废物</w:t>
            </w:r>
          </w:p>
        </w:tc>
        <w:tc>
          <w:tcPr>
            <w:tcW w:w="1470" w:type="dxa"/>
            <w:noWrap w:val="0"/>
            <w:vAlign w:val="center"/>
          </w:tcPr>
          <w:p>
            <w:pPr>
              <w:adjustRightInd w:val="0"/>
              <w:snapToGrid w:val="0"/>
              <w:jc w:val="center"/>
              <w:rPr>
                <w:snapToGrid w:val="0"/>
                <w:color w:val="auto"/>
                <w:kern w:val="21"/>
                <w:szCs w:val="21"/>
              </w:rPr>
            </w:pPr>
            <w:r>
              <w:rPr>
                <w:snapToGrid w:val="0"/>
                <w:color w:val="auto"/>
                <w:kern w:val="21"/>
                <w:szCs w:val="21"/>
              </w:rPr>
              <w:t>生活垃圾</w:t>
            </w: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r>
              <w:rPr>
                <w:snapToGrid w:val="0"/>
                <w:color w:val="auto"/>
                <w:kern w:val="21"/>
                <w:szCs w:val="21"/>
              </w:rPr>
              <w:t>0.</w:t>
            </w:r>
            <w:r>
              <w:rPr>
                <w:rFonts w:hint="eastAsia"/>
                <w:snapToGrid w:val="0"/>
                <w:color w:val="auto"/>
                <w:kern w:val="21"/>
                <w:szCs w:val="21"/>
                <w:lang w:val="en-US" w:eastAsia="zh-CN"/>
              </w:rPr>
              <w:t>7</w:t>
            </w:r>
            <w:r>
              <w:rPr>
                <w:rFonts w:hint="eastAsia"/>
                <w:snapToGrid w:val="0"/>
                <w:color w:val="auto"/>
                <w:kern w:val="21"/>
                <w:szCs w:val="21"/>
              </w:rPr>
              <w:t>t/a</w:t>
            </w: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r>
              <w:rPr>
                <w:snapToGrid w:val="0"/>
                <w:color w:val="auto"/>
                <w:kern w:val="21"/>
                <w:szCs w:val="21"/>
              </w:rPr>
              <w:t>0.</w:t>
            </w:r>
            <w:r>
              <w:rPr>
                <w:rFonts w:hint="eastAsia"/>
                <w:snapToGrid w:val="0"/>
                <w:color w:val="auto"/>
                <w:kern w:val="21"/>
                <w:szCs w:val="21"/>
                <w:lang w:val="en-US" w:eastAsia="zh-CN"/>
              </w:rPr>
              <w:t>7</w:t>
            </w:r>
            <w:r>
              <w:rPr>
                <w:rFonts w:hint="eastAsia"/>
                <w:snapToGrid w:val="0"/>
                <w:color w:val="auto"/>
                <w:kern w:val="21"/>
                <w:szCs w:val="21"/>
              </w:rPr>
              <w:t>t/a</w:t>
            </w: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snapToGrid w:val="0"/>
                <w:color w:val="auto"/>
                <w:kern w:val="21"/>
                <w:szCs w:val="21"/>
              </w:rPr>
            </w:pPr>
          </w:p>
        </w:tc>
        <w:tc>
          <w:tcPr>
            <w:tcW w:w="1470" w:type="dxa"/>
            <w:noWrap w:val="0"/>
            <w:vAlign w:val="center"/>
          </w:tcPr>
          <w:p>
            <w:pPr>
              <w:adjustRightInd w:val="0"/>
              <w:snapToGrid w:val="0"/>
              <w:jc w:val="center"/>
              <w:rPr>
                <w:snapToGrid w:val="0"/>
                <w:color w:val="auto"/>
                <w:kern w:val="21"/>
                <w:szCs w:val="21"/>
              </w:rPr>
            </w:pP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snapToGrid w:val="0"/>
                <w:color w:val="auto"/>
                <w:kern w:val="21"/>
                <w:szCs w:val="21"/>
              </w:rPr>
            </w:pPr>
            <w:r>
              <w:rPr>
                <w:snapToGrid w:val="0"/>
                <w:color w:val="auto"/>
                <w:kern w:val="21"/>
                <w:szCs w:val="21"/>
              </w:rPr>
              <w:t>危险废物</w:t>
            </w:r>
          </w:p>
        </w:tc>
        <w:tc>
          <w:tcPr>
            <w:tcW w:w="1470" w:type="dxa"/>
            <w:noWrap w:val="0"/>
            <w:vAlign w:val="center"/>
          </w:tcPr>
          <w:p>
            <w:pPr>
              <w:adjustRightInd w:val="0"/>
              <w:snapToGrid w:val="0"/>
              <w:jc w:val="center"/>
              <w:rPr>
                <w:snapToGrid w:val="0"/>
                <w:color w:val="auto"/>
                <w:kern w:val="21"/>
                <w:szCs w:val="21"/>
              </w:rPr>
            </w:pPr>
            <w:r>
              <w:rPr>
                <w:snapToGrid w:val="0"/>
                <w:color w:val="auto"/>
                <w:kern w:val="21"/>
                <w:szCs w:val="21"/>
              </w:rPr>
              <w:t>废弃吸油棉、含油锯末，</w:t>
            </w: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r>
              <w:rPr>
                <w:snapToGrid w:val="0"/>
                <w:color w:val="auto"/>
                <w:kern w:val="21"/>
                <w:szCs w:val="21"/>
              </w:rPr>
              <w:t>0.02</w:t>
            </w:r>
            <w:r>
              <w:rPr>
                <w:rFonts w:hint="eastAsia"/>
                <w:snapToGrid w:val="0"/>
                <w:color w:val="auto"/>
                <w:kern w:val="21"/>
                <w:szCs w:val="21"/>
              </w:rPr>
              <w:t>t/a</w:t>
            </w: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r>
              <w:rPr>
                <w:snapToGrid w:val="0"/>
                <w:color w:val="auto"/>
                <w:kern w:val="21"/>
                <w:szCs w:val="21"/>
              </w:rPr>
              <w:t>0.02</w:t>
            </w:r>
            <w:r>
              <w:rPr>
                <w:rFonts w:hint="eastAsia"/>
                <w:snapToGrid w:val="0"/>
                <w:color w:val="auto"/>
                <w:kern w:val="21"/>
                <w:szCs w:val="21"/>
              </w:rPr>
              <w:t>t/a</w:t>
            </w:r>
          </w:p>
        </w:tc>
        <w:tc>
          <w:tcPr>
            <w:tcW w:w="734" w:type="dxa"/>
            <w:noWrap w:val="0"/>
            <w:vAlign w:val="center"/>
          </w:tcPr>
          <w:p>
            <w:pPr>
              <w:adjustRightInd w:val="0"/>
              <w:snapToGrid w:val="0"/>
              <w:jc w:val="center"/>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snapToGrid w:val="0"/>
                <w:color w:val="auto"/>
                <w:kern w:val="21"/>
                <w:szCs w:val="21"/>
              </w:rPr>
            </w:pPr>
          </w:p>
        </w:tc>
        <w:tc>
          <w:tcPr>
            <w:tcW w:w="1470" w:type="dxa"/>
            <w:noWrap w:val="0"/>
            <w:vAlign w:val="center"/>
          </w:tcPr>
          <w:p>
            <w:pPr>
              <w:adjustRightInd w:val="0"/>
              <w:snapToGrid w:val="0"/>
              <w:jc w:val="center"/>
              <w:rPr>
                <w:snapToGrid w:val="0"/>
                <w:color w:val="auto"/>
                <w:kern w:val="21"/>
                <w:szCs w:val="21"/>
              </w:rPr>
            </w:pPr>
            <w:r>
              <w:rPr>
                <w:snapToGrid w:val="0"/>
                <w:color w:val="auto"/>
                <w:kern w:val="21"/>
                <w:szCs w:val="21"/>
              </w:rPr>
              <w:t>含油工作服、手套等劳保废品</w:t>
            </w:r>
          </w:p>
        </w:tc>
        <w:tc>
          <w:tcPr>
            <w:tcW w:w="1905" w:type="dxa"/>
            <w:noWrap w:val="0"/>
            <w:vAlign w:val="center"/>
          </w:tcPr>
          <w:p>
            <w:pPr>
              <w:adjustRightInd w:val="0"/>
              <w:snapToGrid w:val="0"/>
              <w:jc w:val="center"/>
              <w:rPr>
                <w:snapToGrid w:val="0"/>
                <w:color w:val="auto"/>
                <w:kern w:val="21"/>
                <w:szCs w:val="21"/>
              </w:rPr>
            </w:pPr>
          </w:p>
        </w:tc>
        <w:tc>
          <w:tcPr>
            <w:tcW w:w="1140" w:type="dxa"/>
            <w:noWrap w:val="0"/>
            <w:vAlign w:val="center"/>
          </w:tcPr>
          <w:p>
            <w:pPr>
              <w:adjustRightInd w:val="0"/>
              <w:snapToGrid w:val="0"/>
              <w:jc w:val="center"/>
              <w:rPr>
                <w:snapToGrid w:val="0"/>
                <w:color w:val="auto"/>
                <w:kern w:val="21"/>
                <w:szCs w:val="21"/>
              </w:rPr>
            </w:pPr>
          </w:p>
        </w:tc>
        <w:tc>
          <w:tcPr>
            <w:tcW w:w="1784" w:type="dxa"/>
            <w:noWrap w:val="0"/>
            <w:vAlign w:val="center"/>
          </w:tcPr>
          <w:p>
            <w:pPr>
              <w:adjustRightInd w:val="0"/>
              <w:snapToGrid w:val="0"/>
              <w:jc w:val="center"/>
              <w:rPr>
                <w:snapToGrid w:val="0"/>
                <w:color w:val="auto"/>
                <w:kern w:val="21"/>
                <w:szCs w:val="21"/>
              </w:rPr>
            </w:pPr>
          </w:p>
        </w:tc>
        <w:tc>
          <w:tcPr>
            <w:tcW w:w="1816" w:type="dxa"/>
            <w:noWrap w:val="0"/>
            <w:vAlign w:val="center"/>
          </w:tcPr>
          <w:p>
            <w:pPr>
              <w:adjustRightInd w:val="0"/>
              <w:snapToGrid w:val="0"/>
              <w:jc w:val="center"/>
              <w:rPr>
                <w:snapToGrid w:val="0"/>
                <w:color w:val="auto"/>
                <w:kern w:val="21"/>
                <w:szCs w:val="21"/>
              </w:rPr>
            </w:pPr>
            <w:r>
              <w:rPr>
                <w:snapToGrid w:val="0"/>
                <w:color w:val="auto"/>
                <w:kern w:val="21"/>
                <w:szCs w:val="21"/>
              </w:rPr>
              <w:t>0.05</w:t>
            </w:r>
            <w:r>
              <w:rPr>
                <w:rFonts w:hint="eastAsia"/>
                <w:snapToGrid w:val="0"/>
                <w:color w:val="auto"/>
                <w:kern w:val="21"/>
                <w:szCs w:val="21"/>
              </w:rPr>
              <w:t>t/a</w:t>
            </w:r>
          </w:p>
        </w:tc>
        <w:tc>
          <w:tcPr>
            <w:tcW w:w="1504" w:type="dxa"/>
            <w:noWrap w:val="0"/>
            <w:vAlign w:val="center"/>
          </w:tcPr>
          <w:p>
            <w:pPr>
              <w:adjustRightInd w:val="0"/>
              <w:snapToGrid w:val="0"/>
              <w:jc w:val="center"/>
              <w:rPr>
                <w:snapToGrid w:val="0"/>
                <w:color w:val="auto"/>
                <w:kern w:val="21"/>
                <w:szCs w:val="21"/>
              </w:rPr>
            </w:pPr>
          </w:p>
        </w:tc>
        <w:tc>
          <w:tcPr>
            <w:tcW w:w="2051" w:type="dxa"/>
            <w:noWrap w:val="0"/>
            <w:vAlign w:val="center"/>
          </w:tcPr>
          <w:p>
            <w:pPr>
              <w:adjustRightInd w:val="0"/>
              <w:snapToGrid w:val="0"/>
              <w:jc w:val="center"/>
              <w:rPr>
                <w:snapToGrid w:val="0"/>
                <w:color w:val="auto"/>
                <w:kern w:val="21"/>
                <w:szCs w:val="21"/>
              </w:rPr>
            </w:pPr>
            <w:r>
              <w:rPr>
                <w:snapToGrid w:val="0"/>
                <w:color w:val="auto"/>
                <w:kern w:val="21"/>
                <w:szCs w:val="21"/>
              </w:rPr>
              <w:t>0.05</w:t>
            </w:r>
            <w:r>
              <w:rPr>
                <w:rFonts w:hint="eastAsia"/>
                <w:snapToGrid w:val="0"/>
                <w:color w:val="auto"/>
                <w:kern w:val="21"/>
                <w:szCs w:val="21"/>
              </w:rPr>
              <w:t>t/a</w:t>
            </w:r>
          </w:p>
        </w:tc>
        <w:tc>
          <w:tcPr>
            <w:tcW w:w="734" w:type="dxa"/>
            <w:noWrap w:val="0"/>
            <w:vAlign w:val="center"/>
          </w:tcPr>
          <w:p>
            <w:pPr>
              <w:adjustRightInd w:val="0"/>
              <w:snapToGrid w:val="0"/>
              <w:jc w:val="center"/>
              <w:rPr>
                <w:snapToGrid w:val="0"/>
                <w:color w:val="auto"/>
                <w:kern w:val="21"/>
                <w:szCs w:val="21"/>
              </w:rPr>
            </w:pPr>
          </w:p>
        </w:tc>
      </w:tr>
    </w:tbl>
    <w:p>
      <w:pPr>
        <w:adjustRightInd w:val="0"/>
        <w:snapToGrid w:val="0"/>
        <w:spacing w:before="192" w:beforeLines="80" w:after="24" w:afterLines="10" w:line="259" w:lineRule="auto"/>
        <w:jc w:val="left"/>
        <w:rPr>
          <w:color w:val="auto"/>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kern w:val="0"/>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kern w:val="0"/>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color w:val="auto"/>
          <w:kern w:val="0"/>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color w:val="auto"/>
          <w:kern w:val="0"/>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color w:val="auto"/>
          <w:kern w:val="0"/>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color w:val="auto"/>
          <w:kern w:val="0"/>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kern w:val="0"/>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kern w:val="0"/>
          <w:szCs w:val="21"/>
        </w:rPr>
        <w:t>①</w:t>
      </w:r>
      <w:r>
        <w:rPr>
          <w:snapToGrid w:val="0"/>
          <w:color w:val="auto"/>
          <w:spacing w:val="-6"/>
          <w:kern w:val="21"/>
          <w:szCs w:val="21"/>
        </w:rPr>
        <w:fldChar w:fldCharType="end"/>
      </w:r>
    </w:p>
    <w:sectPr>
      <w:headerReference r:id="rId10" w:type="default"/>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font>
  <w:font w:name="仿宋体">
    <w:altName w:val="宋体"/>
    <w:panose1 w:val="00000000000000000000"/>
    <w:charset w:val="86"/>
    <w:family w:val="swiss"/>
    <w:pitch w:val="default"/>
    <w:sig w:usb0="00000000" w:usb1="00000000" w:usb2="00000010" w:usb3="00000000" w:csb0="00040000" w:csb1="00000000"/>
  </w:font>
  <w:font w:name="等线">
    <w:panose1 w:val="02010600030101010101"/>
    <w:charset w:val="86"/>
    <w:family w:val="swiss"/>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left"/>
      <w:rPr>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snapToGrid w:val="0"/>
      <w:jc w:val="left"/>
      <w:rPr>
        <w:rStyle w:val="18"/>
        <w:kern w:val="0"/>
        <w:sz w:val="18"/>
        <w:szCs w:val="20"/>
      </w:rPr>
    </w:pPr>
    <w:r>
      <w:rPr>
        <w:kern w:val="0"/>
        <w:sz w:val="18"/>
        <w:szCs w:val="20"/>
      </w:rPr>
      <w:fldChar w:fldCharType="begin"/>
    </w:r>
    <w:r>
      <w:rPr>
        <w:rStyle w:val="18"/>
        <w:kern w:val="0"/>
        <w:sz w:val="18"/>
        <w:szCs w:val="20"/>
      </w:rPr>
      <w:instrText xml:space="preserve">PAGE  </w:instrText>
    </w:r>
    <w:r>
      <w:rPr>
        <w:kern w:val="0"/>
        <w:sz w:val="18"/>
        <w:szCs w:val="20"/>
      </w:rPr>
      <w:fldChar w:fldCharType="end"/>
    </w:r>
  </w:p>
  <w:p>
    <w:pPr>
      <w:snapToGrid w:val="0"/>
      <w:ind w:right="360" w:firstLine="360"/>
      <w:jc w:val="left"/>
      <w:rPr>
        <w:kern w:val="0"/>
        <w:sz w:val="18"/>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jc w:val="left"/>
      <w:rPr>
        <w:kern w:val="0"/>
        <w:sz w:val="18"/>
        <w:szCs w:val="20"/>
      </w:rPr>
    </w:pPr>
    <w:r>
      <w:rPr>
        <w:kern w:val="0"/>
        <w:sz w:val="18"/>
        <w:szCs w:val="20"/>
      </w:rPr>
      <w:pict>
        <v:shape id="文本框 22" o:spid="_x0000_s2049" o:spt="202" type="#_x0000_t202" style="position:absolute;left:0pt;margin-left:419.9pt;margin-top:-9.15pt;height:23pt;width:21.7pt;mso-position-horizontal-relative:margin;mso-wrap-style:none;z-index:251659264;mso-width-relative:page;mso-height-relative:page;" filled="f" stroked="f" coordsize="21600,21600" o:gfxdata="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&#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Uklg2AAAAAwBAAAPAAAAAAAAAAEAIAAAACIAAABk&#10;cnMvZG93bnJldi54bWxQSwECFAAUAAAACACHTuJAspNYcM0BAACpAwAADgAAAAAAAAABACAAAAAn&#10;AQAAZHJzL2Uyb0RvYy54bWxQSwUGAAAAAAYABgBZAQAAZgUAAAAA&#10;">
          <v:path/>
          <v:fill on="f" focussize="0,0"/>
          <v:stroke on="f"/>
          <v:imagedata o:title=""/>
          <o:lock v:ext="edit" aspectratio="f"/>
          <v:textbox inset="0mm,0mm,0mm,0mm" style="mso-fit-shape-to-text:t;">
            <w:txbxContent>
              <w:p>
                <w:pPr>
                  <w:snapToGrid w:val="0"/>
                  <w:jc w:val="left"/>
                  <w:rPr>
                    <w:rFonts w:hint="eastAsia"/>
                    <w:kern w:val="0"/>
                    <w:sz w:val="20"/>
                    <w:szCs w:val="21"/>
                  </w:rPr>
                </w:pPr>
                <w:r>
                  <w:rPr>
                    <w:rFonts w:hint="eastAsia"/>
                    <w:kern w:val="0"/>
                    <w:sz w:val="20"/>
                    <w:szCs w:val="21"/>
                  </w:rPr>
                  <w:fldChar w:fldCharType="begin"/>
                </w:r>
                <w:r>
                  <w:rPr>
                    <w:rFonts w:hint="eastAsia"/>
                    <w:kern w:val="0"/>
                    <w:sz w:val="20"/>
                    <w:szCs w:val="21"/>
                  </w:rPr>
                  <w:instrText xml:space="preserve"> PAGE  \* MERGEFORMAT </w:instrText>
                </w:r>
                <w:r>
                  <w:rPr>
                    <w:rFonts w:hint="eastAsia"/>
                    <w:kern w:val="0"/>
                    <w:sz w:val="20"/>
                    <w:szCs w:val="21"/>
                  </w:rPr>
                  <w:fldChar w:fldCharType="separate"/>
                </w:r>
                <w:r>
                  <w:rPr>
                    <w:kern w:val="0"/>
                    <w:sz w:val="20"/>
                    <w:szCs w:val="21"/>
                  </w:rPr>
                  <w:t>- 22 -</w:t>
                </w:r>
                <w:r>
                  <w:rPr>
                    <w:rFonts w:hint="eastAsia"/>
                    <w:kern w:val="0"/>
                    <w:sz w:val="20"/>
                    <w:szCs w:val="21"/>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pict>
        <v:shape id="文本框 3" o:spid="_x0000_s2050" o:spt="202" type="#_x0000_t202" style="position:absolute;left:0pt;margin-top:0pt;height:20.7pt;width:19.5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path/>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- 32 -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jc w:val="center"/>
      <w:rPr>
        <w:kern w:val="0"/>
        <w:sz w:val="1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1"/>
        <w:left w:val="none" w:color="auto" w:sz="0" w:space="4"/>
        <w:bottom w:val="none" w:color="auto" w:sz="0" w:space="1"/>
        <w:right w:val="none" w:color="auto" w:sz="0" w:space="4"/>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forms" w:formatting="1"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183961"/>
    <w:rsid w:val="002E0D98"/>
    <w:rsid w:val="002E2102"/>
    <w:rsid w:val="00356A5B"/>
    <w:rsid w:val="00363D0F"/>
    <w:rsid w:val="004420DC"/>
    <w:rsid w:val="00500138"/>
    <w:rsid w:val="00573A1C"/>
    <w:rsid w:val="005B1D29"/>
    <w:rsid w:val="00764137"/>
    <w:rsid w:val="009269A2"/>
    <w:rsid w:val="00B551D8"/>
    <w:rsid w:val="00C2555A"/>
    <w:rsid w:val="00CB0F04"/>
    <w:rsid w:val="00EC5951"/>
    <w:rsid w:val="00F071BE"/>
    <w:rsid w:val="00F81A5A"/>
    <w:rsid w:val="00F82326"/>
    <w:rsid w:val="00FF5221"/>
    <w:rsid w:val="01146A5F"/>
    <w:rsid w:val="0116404E"/>
    <w:rsid w:val="01315C4E"/>
    <w:rsid w:val="015B5850"/>
    <w:rsid w:val="015D3C94"/>
    <w:rsid w:val="01796AD5"/>
    <w:rsid w:val="01CE3A0A"/>
    <w:rsid w:val="021F1620"/>
    <w:rsid w:val="02370B4F"/>
    <w:rsid w:val="02513EBD"/>
    <w:rsid w:val="027743A2"/>
    <w:rsid w:val="028F7E17"/>
    <w:rsid w:val="029B0AA3"/>
    <w:rsid w:val="02AF0A58"/>
    <w:rsid w:val="02B359A4"/>
    <w:rsid w:val="02E65150"/>
    <w:rsid w:val="02F16B46"/>
    <w:rsid w:val="02F56B95"/>
    <w:rsid w:val="031A18A8"/>
    <w:rsid w:val="03260DFE"/>
    <w:rsid w:val="032B6553"/>
    <w:rsid w:val="0341197C"/>
    <w:rsid w:val="03551DCD"/>
    <w:rsid w:val="036A6609"/>
    <w:rsid w:val="036F0030"/>
    <w:rsid w:val="038E4CC1"/>
    <w:rsid w:val="03CC46E8"/>
    <w:rsid w:val="03E024CA"/>
    <w:rsid w:val="03E15932"/>
    <w:rsid w:val="03FF434E"/>
    <w:rsid w:val="04036E19"/>
    <w:rsid w:val="04046929"/>
    <w:rsid w:val="042272EE"/>
    <w:rsid w:val="042D3BE7"/>
    <w:rsid w:val="042E76B8"/>
    <w:rsid w:val="043C3C67"/>
    <w:rsid w:val="04402271"/>
    <w:rsid w:val="04895A24"/>
    <w:rsid w:val="04933F98"/>
    <w:rsid w:val="04AB35F1"/>
    <w:rsid w:val="04C06755"/>
    <w:rsid w:val="04C07CA0"/>
    <w:rsid w:val="04D855BF"/>
    <w:rsid w:val="04F909C2"/>
    <w:rsid w:val="04FE5E63"/>
    <w:rsid w:val="05320F61"/>
    <w:rsid w:val="05423235"/>
    <w:rsid w:val="054D62B9"/>
    <w:rsid w:val="05562911"/>
    <w:rsid w:val="055E3F24"/>
    <w:rsid w:val="056250EE"/>
    <w:rsid w:val="057B30C9"/>
    <w:rsid w:val="05863F60"/>
    <w:rsid w:val="05925B79"/>
    <w:rsid w:val="05B178CA"/>
    <w:rsid w:val="05C937EE"/>
    <w:rsid w:val="05DE6D68"/>
    <w:rsid w:val="05EE6DC4"/>
    <w:rsid w:val="05FF39E8"/>
    <w:rsid w:val="061662CA"/>
    <w:rsid w:val="0642318C"/>
    <w:rsid w:val="064326C0"/>
    <w:rsid w:val="064736DB"/>
    <w:rsid w:val="06574939"/>
    <w:rsid w:val="067938BB"/>
    <w:rsid w:val="06990F1A"/>
    <w:rsid w:val="069E2FBE"/>
    <w:rsid w:val="06DA57D6"/>
    <w:rsid w:val="06DF3FC3"/>
    <w:rsid w:val="06EF3557"/>
    <w:rsid w:val="06FB6726"/>
    <w:rsid w:val="073A1795"/>
    <w:rsid w:val="079D2ED2"/>
    <w:rsid w:val="07B226C3"/>
    <w:rsid w:val="07C26242"/>
    <w:rsid w:val="07D83AF1"/>
    <w:rsid w:val="07E8334B"/>
    <w:rsid w:val="07F918DC"/>
    <w:rsid w:val="080E7408"/>
    <w:rsid w:val="082B59E1"/>
    <w:rsid w:val="08417B82"/>
    <w:rsid w:val="08477C92"/>
    <w:rsid w:val="084A08E3"/>
    <w:rsid w:val="0877691D"/>
    <w:rsid w:val="08B9108C"/>
    <w:rsid w:val="08C44ED5"/>
    <w:rsid w:val="08C45279"/>
    <w:rsid w:val="08CC65DF"/>
    <w:rsid w:val="08DF0448"/>
    <w:rsid w:val="08FF23CB"/>
    <w:rsid w:val="09055F9D"/>
    <w:rsid w:val="09146A87"/>
    <w:rsid w:val="092123F9"/>
    <w:rsid w:val="0923128F"/>
    <w:rsid w:val="09411062"/>
    <w:rsid w:val="095B453B"/>
    <w:rsid w:val="096565BF"/>
    <w:rsid w:val="097F4A7C"/>
    <w:rsid w:val="099525F6"/>
    <w:rsid w:val="099B561A"/>
    <w:rsid w:val="09AA6A30"/>
    <w:rsid w:val="09D5459F"/>
    <w:rsid w:val="09F509D8"/>
    <w:rsid w:val="09F96D57"/>
    <w:rsid w:val="09FC2C85"/>
    <w:rsid w:val="0A1065B9"/>
    <w:rsid w:val="0A107D24"/>
    <w:rsid w:val="0A1276AB"/>
    <w:rsid w:val="0A5268C0"/>
    <w:rsid w:val="0A671C25"/>
    <w:rsid w:val="0A7E4E6D"/>
    <w:rsid w:val="0AA3144D"/>
    <w:rsid w:val="0AB85F5E"/>
    <w:rsid w:val="0ABA53C0"/>
    <w:rsid w:val="0AC063D5"/>
    <w:rsid w:val="0ACE1B75"/>
    <w:rsid w:val="0ADF0542"/>
    <w:rsid w:val="0BE31B07"/>
    <w:rsid w:val="0BFD4F69"/>
    <w:rsid w:val="0C161B0D"/>
    <w:rsid w:val="0C1C097C"/>
    <w:rsid w:val="0C2D6F8C"/>
    <w:rsid w:val="0C353893"/>
    <w:rsid w:val="0CBC70C4"/>
    <w:rsid w:val="0CD02B7B"/>
    <w:rsid w:val="0CE9769E"/>
    <w:rsid w:val="0D05403C"/>
    <w:rsid w:val="0D1E42DE"/>
    <w:rsid w:val="0D425F2A"/>
    <w:rsid w:val="0D941720"/>
    <w:rsid w:val="0DA75B45"/>
    <w:rsid w:val="0DBD5651"/>
    <w:rsid w:val="0DC11A00"/>
    <w:rsid w:val="0DD5320B"/>
    <w:rsid w:val="0DDB7097"/>
    <w:rsid w:val="0DDC4B57"/>
    <w:rsid w:val="0E2E5119"/>
    <w:rsid w:val="0E591A08"/>
    <w:rsid w:val="0E91583F"/>
    <w:rsid w:val="0E954210"/>
    <w:rsid w:val="0EAD71AB"/>
    <w:rsid w:val="0EB07DE3"/>
    <w:rsid w:val="0ED50EA3"/>
    <w:rsid w:val="0EE80443"/>
    <w:rsid w:val="0EEE3B5E"/>
    <w:rsid w:val="0F19481C"/>
    <w:rsid w:val="0F4A5DF6"/>
    <w:rsid w:val="0F671370"/>
    <w:rsid w:val="0F6E7CEB"/>
    <w:rsid w:val="0F7840BE"/>
    <w:rsid w:val="0F7B16ED"/>
    <w:rsid w:val="0F9073B9"/>
    <w:rsid w:val="0FA45532"/>
    <w:rsid w:val="0FA45F55"/>
    <w:rsid w:val="0FA618FC"/>
    <w:rsid w:val="0FA77EC9"/>
    <w:rsid w:val="0FAB4C39"/>
    <w:rsid w:val="0FB94C4A"/>
    <w:rsid w:val="0FC8453A"/>
    <w:rsid w:val="0FD3789E"/>
    <w:rsid w:val="0FDF5245"/>
    <w:rsid w:val="0FE3156A"/>
    <w:rsid w:val="100762D8"/>
    <w:rsid w:val="102E0B34"/>
    <w:rsid w:val="10410E12"/>
    <w:rsid w:val="106D6113"/>
    <w:rsid w:val="10784048"/>
    <w:rsid w:val="107F6F77"/>
    <w:rsid w:val="1097715C"/>
    <w:rsid w:val="10A27136"/>
    <w:rsid w:val="10AC536E"/>
    <w:rsid w:val="10EB1D07"/>
    <w:rsid w:val="10EB2835"/>
    <w:rsid w:val="111310D9"/>
    <w:rsid w:val="111947C8"/>
    <w:rsid w:val="11254186"/>
    <w:rsid w:val="11722841"/>
    <w:rsid w:val="11825B4A"/>
    <w:rsid w:val="11A150E7"/>
    <w:rsid w:val="11A65AE5"/>
    <w:rsid w:val="11B52697"/>
    <w:rsid w:val="11BD26CA"/>
    <w:rsid w:val="11BD4DD2"/>
    <w:rsid w:val="11E578B1"/>
    <w:rsid w:val="11F204E8"/>
    <w:rsid w:val="12200D02"/>
    <w:rsid w:val="122D59F7"/>
    <w:rsid w:val="12535AED"/>
    <w:rsid w:val="127224E0"/>
    <w:rsid w:val="12853095"/>
    <w:rsid w:val="12870058"/>
    <w:rsid w:val="12B75037"/>
    <w:rsid w:val="12BE6115"/>
    <w:rsid w:val="12D51D3C"/>
    <w:rsid w:val="12DB0A41"/>
    <w:rsid w:val="12E0442B"/>
    <w:rsid w:val="12E3558A"/>
    <w:rsid w:val="12EA5636"/>
    <w:rsid w:val="12EE7D29"/>
    <w:rsid w:val="12EF758A"/>
    <w:rsid w:val="134D60C5"/>
    <w:rsid w:val="136B7F2B"/>
    <w:rsid w:val="1385183E"/>
    <w:rsid w:val="139B53FA"/>
    <w:rsid w:val="13B159A4"/>
    <w:rsid w:val="13E60387"/>
    <w:rsid w:val="13EE386F"/>
    <w:rsid w:val="13FC3F46"/>
    <w:rsid w:val="142372E9"/>
    <w:rsid w:val="14312765"/>
    <w:rsid w:val="143B4624"/>
    <w:rsid w:val="149539F7"/>
    <w:rsid w:val="149C7476"/>
    <w:rsid w:val="14A521A1"/>
    <w:rsid w:val="14AB42C2"/>
    <w:rsid w:val="14BB16E8"/>
    <w:rsid w:val="14BE5DC4"/>
    <w:rsid w:val="14C47716"/>
    <w:rsid w:val="14D857F8"/>
    <w:rsid w:val="153D70BB"/>
    <w:rsid w:val="155A597D"/>
    <w:rsid w:val="15761D6E"/>
    <w:rsid w:val="1579050C"/>
    <w:rsid w:val="158F055E"/>
    <w:rsid w:val="15942317"/>
    <w:rsid w:val="15D958D8"/>
    <w:rsid w:val="15EA521D"/>
    <w:rsid w:val="161C78A7"/>
    <w:rsid w:val="163868AA"/>
    <w:rsid w:val="166F67F2"/>
    <w:rsid w:val="16977FCF"/>
    <w:rsid w:val="169D2323"/>
    <w:rsid w:val="169F37CF"/>
    <w:rsid w:val="16A66784"/>
    <w:rsid w:val="16F1680B"/>
    <w:rsid w:val="170F3FBA"/>
    <w:rsid w:val="17267A07"/>
    <w:rsid w:val="175F70C0"/>
    <w:rsid w:val="177B4E35"/>
    <w:rsid w:val="17A66C33"/>
    <w:rsid w:val="17CE6D14"/>
    <w:rsid w:val="17D674D7"/>
    <w:rsid w:val="17E47A96"/>
    <w:rsid w:val="18204F39"/>
    <w:rsid w:val="18681913"/>
    <w:rsid w:val="1883180B"/>
    <w:rsid w:val="18845640"/>
    <w:rsid w:val="18850120"/>
    <w:rsid w:val="18CC4902"/>
    <w:rsid w:val="18D27E53"/>
    <w:rsid w:val="18DA49E1"/>
    <w:rsid w:val="18EB6AFD"/>
    <w:rsid w:val="190B11C3"/>
    <w:rsid w:val="19350654"/>
    <w:rsid w:val="193955AD"/>
    <w:rsid w:val="194C75AB"/>
    <w:rsid w:val="194D300E"/>
    <w:rsid w:val="19843CCC"/>
    <w:rsid w:val="19B67F57"/>
    <w:rsid w:val="19E00326"/>
    <w:rsid w:val="1A3C7CCB"/>
    <w:rsid w:val="1A3D1A63"/>
    <w:rsid w:val="1A3E6F83"/>
    <w:rsid w:val="1A4C4C89"/>
    <w:rsid w:val="1A512084"/>
    <w:rsid w:val="1A676FCC"/>
    <w:rsid w:val="1A6D416D"/>
    <w:rsid w:val="1A7A0038"/>
    <w:rsid w:val="1A8E5017"/>
    <w:rsid w:val="1AA10458"/>
    <w:rsid w:val="1AAB600E"/>
    <w:rsid w:val="1AD74602"/>
    <w:rsid w:val="1AEB7107"/>
    <w:rsid w:val="1AF73284"/>
    <w:rsid w:val="1AFF494E"/>
    <w:rsid w:val="1B0B5B44"/>
    <w:rsid w:val="1B587A1A"/>
    <w:rsid w:val="1B6D3C3F"/>
    <w:rsid w:val="1B8C14E7"/>
    <w:rsid w:val="1B8C7CEB"/>
    <w:rsid w:val="1BBD3E77"/>
    <w:rsid w:val="1C0D71BB"/>
    <w:rsid w:val="1C102D55"/>
    <w:rsid w:val="1C2370A2"/>
    <w:rsid w:val="1C2A4670"/>
    <w:rsid w:val="1C361814"/>
    <w:rsid w:val="1C38166C"/>
    <w:rsid w:val="1C7B0489"/>
    <w:rsid w:val="1C7B0AA3"/>
    <w:rsid w:val="1CAE199C"/>
    <w:rsid w:val="1D3B0848"/>
    <w:rsid w:val="1D3E2CF3"/>
    <w:rsid w:val="1D6D6A66"/>
    <w:rsid w:val="1D6E1D9F"/>
    <w:rsid w:val="1D800D16"/>
    <w:rsid w:val="1DF72A25"/>
    <w:rsid w:val="1E0A362D"/>
    <w:rsid w:val="1E1F4100"/>
    <w:rsid w:val="1E6F60C4"/>
    <w:rsid w:val="1EA8294B"/>
    <w:rsid w:val="1EAA4A5F"/>
    <w:rsid w:val="1EAB7710"/>
    <w:rsid w:val="1EC45F80"/>
    <w:rsid w:val="1EDD12A4"/>
    <w:rsid w:val="1EFB7C52"/>
    <w:rsid w:val="1F1101FA"/>
    <w:rsid w:val="1F1B6829"/>
    <w:rsid w:val="1F7307F8"/>
    <w:rsid w:val="1FAA7808"/>
    <w:rsid w:val="1FB87E70"/>
    <w:rsid w:val="1FC620DF"/>
    <w:rsid w:val="1FF918E2"/>
    <w:rsid w:val="20331A48"/>
    <w:rsid w:val="203B73E6"/>
    <w:rsid w:val="20477B86"/>
    <w:rsid w:val="204E212C"/>
    <w:rsid w:val="204F36E2"/>
    <w:rsid w:val="2052628F"/>
    <w:rsid w:val="20601AE0"/>
    <w:rsid w:val="206700DE"/>
    <w:rsid w:val="206B5A0E"/>
    <w:rsid w:val="207620C0"/>
    <w:rsid w:val="207652D0"/>
    <w:rsid w:val="2085149C"/>
    <w:rsid w:val="20DD74E3"/>
    <w:rsid w:val="20E12688"/>
    <w:rsid w:val="210541E3"/>
    <w:rsid w:val="210A7FCB"/>
    <w:rsid w:val="210E7BD1"/>
    <w:rsid w:val="21132261"/>
    <w:rsid w:val="212542EA"/>
    <w:rsid w:val="21381805"/>
    <w:rsid w:val="21402A52"/>
    <w:rsid w:val="21486401"/>
    <w:rsid w:val="215238B8"/>
    <w:rsid w:val="215933C1"/>
    <w:rsid w:val="217332D7"/>
    <w:rsid w:val="217F0EE3"/>
    <w:rsid w:val="218132E2"/>
    <w:rsid w:val="21910E1D"/>
    <w:rsid w:val="21966CB6"/>
    <w:rsid w:val="21B806BA"/>
    <w:rsid w:val="21C8392F"/>
    <w:rsid w:val="21CE0235"/>
    <w:rsid w:val="22324975"/>
    <w:rsid w:val="225E7EDE"/>
    <w:rsid w:val="2265100F"/>
    <w:rsid w:val="228F5499"/>
    <w:rsid w:val="22901419"/>
    <w:rsid w:val="22DA0440"/>
    <w:rsid w:val="22E02702"/>
    <w:rsid w:val="22E25D6D"/>
    <w:rsid w:val="22ED783E"/>
    <w:rsid w:val="22F9391A"/>
    <w:rsid w:val="23396EEC"/>
    <w:rsid w:val="235333BF"/>
    <w:rsid w:val="23981D8B"/>
    <w:rsid w:val="240577C3"/>
    <w:rsid w:val="2427558E"/>
    <w:rsid w:val="245A77AC"/>
    <w:rsid w:val="24626E58"/>
    <w:rsid w:val="2482170D"/>
    <w:rsid w:val="249A257D"/>
    <w:rsid w:val="24A702A7"/>
    <w:rsid w:val="24B67613"/>
    <w:rsid w:val="24D65226"/>
    <w:rsid w:val="24F74644"/>
    <w:rsid w:val="250130B1"/>
    <w:rsid w:val="25042225"/>
    <w:rsid w:val="25183312"/>
    <w:rsid w:val="254C0E84"/>
    <w:rsid w:val="2556425C"/>
    <w:rsid w:val="2562421D"/>
    <w:rsid w:val="25687D13"/>
    <w:rsid w:val="25744FE1"/>
    <w:rsid w:val="25AC080E"/>
    <w:rsid w:val="25B43A1D"/>
    <w:rsid w:val="25FA4842"/>
    <w:rsid w:val="260A4125"/>
    <w:rsid w:val="260B31B9"/>
    <w:rsid w:val="261E6658"/>
    <w:rsid w:val="26283751"/>
    <w:rsid w:val="26801618"/>
    <w:rsid w:val="26F3546E"/>
    <w:rsid w:val="27051B1E"/>
    <w:rsid w:val="270F1923"/>
    <w:rsid w:val="272B634C"/>
    <w:rsid w:val="2743702D"/>
    <w:rsid w:val="2757265D"/>
    <w:rsid w:val="27665022"/>
    <w:rsid w:val="276E4740"/>
    <w:rsid w:val="278D4C3F"/>
    <w:rsid w:val="279941BA"/>
    <w:rsid w:val="27A71EDC"/>
    <w:rsid w:val="27AF7D54"/>
    <w:rsid w:val="27CB5D1F"/>
    <w:rsid w:val="27DD3741"/>
    <w:rsid w:val="28010B45"/>
    <w:rsid w:val="28056EDC"/>
    <w:rsid w:val="280A10C8"/>
    <w:rsid w:val="281847BF"/>
    <w:rsid w:val="281B3AB8"/>
    <w:rsid w:val="282928D1"/>
    <w:rsid w:val="283C078C"/>
    <w:rsid w:val="284222AC"/>
    <w:rsid w:val="28494F0E"/>
    <w:rsid w:val="284F3ED1"/>
    <w:rsid w:val="285258EC"/>
    <w:rsid w:val="28827347"/>
    <w:rsid w:val="28A10DA5"/>
    <w:rsid w:val="28B46CAD"/>
    <w:rsid w:val="28B82087"/>
    <w:rsid w:val="28E64FAE"/>
    <w:rsid w:val="28F3196B"/>
    <w:rsid w:val="28F85143"/>
    <w:rsid w:val="291641A5"/>
    <w:rsid w:val="2916434A"/>
    <w:rsid w:val="292C517B"/>
    <w:rsid w:val="297045F2"/>
    <w:rsid w:val="29B9092A"/>
    <w:rsid w:val="29CF14F4"/>
    <w:rsid w:val="2A2A3F14"/>
    <w:rsid w:val="2A555E0F"/>
    <w:rsid w:val="2A8B1670"/>
    <w:rsid w:val="2A8C0684"/>
    <w:rsid w:val="2A8C155D"/>
    <w:rsid w:val="2A93624C"/>
    <w:rsid w:val="2A95218F"/>
    <w:rsid w:val="2A9B322A"/>
    <w:rsid w:val="2AB52610"/>
    <w:rsid w:val="2AB87269"/>
    <w:rsid w:val="2ACF3E31"/>
    <w:rsid w:val="2AD54235"/>
    <w:rsid w:val="2AE63D00"/>
    <w:rsid w:val="2B3B0491"/>
    <w:rsid w:val="2B462F72"/>
    <w:rsid w:val="2B671EE6"/>
    <w:rsid w:val="2B6F29DA"/>
    <w:rsid w:val="2B726CDC"/>
    <w:rsid w:val="2B77611B"/>
    <w:rsid w:val="2B9B7F99"/>
    <w:rsid w:val="2B9C20EC"/>
    <w:rsid w:val="2BAF747F"/>
    <w:rsid w:val="2BB82DF8"/>
    <w:rsid w:val="2BCB6AE3"/>
    <w:rsid w:val="2BD05A1D"/>
    <w:rsid w:val="2BF931EA"/>
    <w:rsid w:val="2C214CB6"/>
    <w:rsid w:val="2C4919DF"/>
    <w:rsid w:val="2C546D03"/>
    <w:rsid w:val="2C667156"/>
    <w:rsid w:val="2C7B1709"/>
    <w:rsid w:val="2C7F7612"/>
    <w:rsid w:val="2C9C2636"/>
    <w:rsid w:val="2CE2377F"/>
    <w:rsid w:val="2CF02DFB"/>
    <w:rsid w:val="2CFE255C"/>
    <w:rsid w:val="2D162772"/>
    <w:rsid w:val="2D250955"/>
    <w:rsid w:val="2D2C7AA6"/>
    <w:rsid w:val="2D455F1D"/>
    <w:rsid w:val="2D84100A"/>
    <w:rsid w:val="2D9178DF"/>
    <w:rsid w:val="2D9D20D6"/>
    <w:rsid w:val="2DB21ED3"/>
    <w:rsid w:val="2DC0755A"/>
    <w:rsid w:val="2DFE350D"/>
    <w:rsid w:val="2E2259DD"/>
    <w:rsid w:val="2E245FB5"/>
    <w:rsid w:val="2E3478C4"/>
    <w:rsid w:val="2E3B7E6B"/>
    <w:rsid w:val="2E3E7D3C"/>
    <w:rsid w:val="2E411DD5"/>
    <w:rsid w:val="2E4D07CC"/>
    <w:rsid w:val="2E5C4438"/>
    <w:rsid w:val="2E5D34C8"/>
    <w:rsid w:val="2E5F409F"/>
    <w:rsid w:val="2E7A4A70"/>
    <w:rsid w:val="2E8F3CBA"/>
    <w:rsid w:val="2EF03D3C"/>
    <w:rsid w:val="2F114BD2"/>
    <w:rsid w:val="2F3F51C2"/>
    <w:rsid w:val="2F43468B"/>
    <w:rsid w:val="2F435509"/>
    <w:rsid w:val="2F6B4A5C"/>
    <w:rsid w:val="2FB7685D"/>
    <w:rsid w:val="2FC0629E"/>
    <w:rsid w:val="2FC265AB"/>
    <w:rsid w:val="2FC63C9B"/>
    <w:rsid w:val="2FD348AF"/>
    <w:rsid w:val="2FFC1C23"/>
    <w:rsid w:val="302C0EB5"/>
    <w:rsid w:val="302C1778"/>
    <w:rsid w:val="30451666"/>
    <w:rsid w:val="3049067D"/>
    <w:rsid w:val="3060529A"/>
    <w:rsid w:val="3069477A"/>
    <w:rsid w:val="306F3E03"/>
    <w:rsid w:val="307F5D4C"/>
    <w:rsid w:val="309265F1"/>
    <w:rsid w:val="30AD2F47"/>
    <w:rsid w:val="30AE1F52"/>
    <w:rsid w:val="30CA1CE6"/>
    <w:rsid w:val="31051B25"/>
    <w:rsid w:val="3138011A"/>
    <w:rsid w:val="31423A54"/>
    <w:rsid w:val="314B346F"/>
    <w:rsid w:val="316E3235"/>
    <w:rsid w:val="318E32B7"/>
    <w:rsid w:val="31DC3C05"/>
    <w:rsid w:val="320F5BEE"/>
    <w:rsid w:val="3251225D"/>
    <w:rsid w:val="32927947"/>
    <w:rsid w:val="32950ACC"/>
    <w:rsid w:val="329C202C"/>
    <w:rsid w:val="32F02CE6"/>
    <w:rsid w:val="32F35AA2"/>
    <w:rsid w:val="33046142"/>
    <w:rsid w:val="330D656A"/>
    <w:rsid w:val="331121F5"/>
    <w:rsid w:val="3311430F"/>
    <w:rsid w:val="33216454"/>
    <w:rsid w:val="3329437D"/>
    <w:rsid w:val="333F1BB8"/>
    <w:rsid w:val="334412A5"/>
    <w:rsid w:val="33703A96"/>
    <w:rsid w:val="337E1319"/>
    <w:rsid w:val="33A5171E"/>
    <w:rsid w:val="33B9020E"/>
    <w:rsid w:val="34151417"/>
    <w:rsid w:val="341F4E55"/>
    <w:rsid w:val="343D1CB2"/>
    <w:rsid w:val="34896F71"/>
    <w:rsid w:val="34936269"/>
    <w:rsid w:val="34975D54"/>
    <w:rsid w:val="34B106F1"/>
    <w:rsid w:val="34CD35B4"/>
    <w:rsid w:val="34CF1E12"/>
    <w:rsid w:val="34D70FAD"/>
    <w:rsid w:val="34E42676"/>
    <w:rsid w:val="34EA6FA2"/>
    <w:rsid w:val="35030697"/>
    <w:rsid w:val="35112547"/>
    <w:rsid w:val="3512476C"/>
    <w:rsid w:val="3513277C"/>
    <w:rsid w:val="351C6CEE"/>
    <w:rsid w:val="351F1621"/>
    <w:rsid w:val="355479AC"/>
    <w:rsid w:val="356C3132"/>
    <w:rsid w:val="357426E0"/>
    <w:rsid w:val="35743FED"/>
    <w:rsid w:val="35A350BB"/>
    <w:rsid w:val="35A5095F"/>
    <w:rsid w:val="35A8734C"/>
    <w:rsid w:val="35AA231A"/>
    <w:rsid w:val="35CA7F11"/>
    <w:rsid w:val="360D1960"/>
    <w:rsid w:val="36172D45"/>
    <w:rsid w:val="36184A52"/>
    <w:rsid w:val="362D0A9F"/>
    <w:rsid w:val="36442E09"/>
    <w:rsid w:val="365B638F"/>
    <w:rsid w:val="366D4E9E"/>
    <w:rsid w:val="3673154E"/>
    <w:rsid w:val="368C0546"/>
    <w:rsid w:val="368F378C"/>
    <w:rsid w:val="369213C3"/>
    <w:rsid w:val="36B404AE"/>
    <w:rsid w:val="36B8742F"/>
    <w:rsid w:val="36C557F8"/>
    <w:rsid w:val="36DA1F8C"/>
    <w:rsid w:val="36FD4D9A"/>
    <w:rsid w:val="370906C1"/>
    <w:rsid w:val="37132B4D"/>
    <w:rsid w:val="37167028"/>
    <w:rsid w:val="372238D5"/>
    <w:rsid w:val="3741386C"/>
    <w:rsid w:val="37433742"/>
    <w:rsid w:val="37494699"/>
    <w:rsid w:val="37656E85"/>
    <w:rsid w:val="378E633B"/>
    <w:rsid w:val="37900B53"/>
    <w:rsid w:val="37A14DCB"/>
    <w:rsid w:val="37BB271F"/>
    <w:rsid w:val="37D97973"/>
    <w:rsid w:val="37DC7281"/>
    <w:rsid w:val="37F567D5"/>
    <w:rsid w:val="37FD6E56"/>
    <w:rsid w:val="3803328A"/>
    <w:rsid w:val="38256F06"/>
    <w:rsid w:val="38426ED0"/>
    <w:rsid w:val="385368BC"/>
    <w:rsid w:val="38537BA0"/>
    <w:rsid w:val="3855075F"/>
    <w:rsid w:val="385C4723"/>
    <w:rsid w:val="38681401"/>
    <w:rsid w:val="386D25BD"/>
    <w:rsid w:val="3885730D"/>
    <w:rsid w:val="38A2517A"/>
    <w:rsid w:val="38B61FE3"/>
    <w:rsid w:val="38CC4F99"/>
    <w:rsid w:val="3907390F"/>
    <w:rsid w:val="3908436B"/>
    <w:rsid w:val="391743C7"/>
    <w:rsid w:val="39292582"/>
    <w:rsid w:val="39671940"/>
    <w:rsid w:val="39691887"/>
    <w:rsid w:val="397C1C9E"/>
    <w:rsid w:val="397D607C"/>
    <w:rsid w:val="39A02FF3"/>
    <w:rsid w:val="39A132DB"/>
    <w:rsid w:val="39A86C7B"/>
    <w:rsid w:val="39C10D7C"/>
    <w:rsid w:val="39DC4F33"/>
    <w:rsid w:val="39DE4D38"/>
    <w:rsid w:val="39FC02F1"/>
    <w:rsid w:val="3A132806"/>
    <w:rsid w:val="3A1C0CEB"/>
    <w:rsid w:val="3A245F6C"/>
    <w:rsid w:val="3A38768D"/>
    <w:rsid w:val="3A39335E"/>
    <w:rsid w:val="3A3C190E"/>
    <w:rsid w:val="3A630D9B"/>
    <w:rsid w:val="3AC6263F"/>
    <w:rsid w:val="3ACE4C40"/>
    <w:rsid w:val="3B032886"/>
    <w:rsid w:val="3B142D34"/>
    <w:rsid w:val="3B5315BA"/>
    <w:rsid w:val="3B6D6B6F"/>
    <w:rsid w:val="3BAB6489"/>
    <w:rsid w:val="3BDB09FC"/>
    <w:rsid w:val="3BDE35D1"/>
    <w:rsid w:val="3C4A3D15"/>
    <w:rsid w:val="3C762C8A"/>
    <w:rsid w:val="3C8C122C"/>
    <w:rsid w:val="3C996624"/>
    <w:rsid w:val="3CA5296A"/>
    <w:rsid w:val="3CE725DC"/>
    <w:rsid w:val="3CF54B89"/>
    <w:rsid w:val="3D2865D2"/>
    <w:rsid w:val="3D387E3E"/>
    <w:rsid w:val="3D465C64"/>
    <w:rsid w:val="3D4967DA"/>
    <w:rsid w:val="3D4A5F01"/>
    <w:rsid w:val="3D4E5A9B"/>
    <w:rsid w:val="3D7B10FC"/>
    <w:rsid w:val="3DA36B15"/>
    <w:rsid w:val="3DD07822"/>
    <w:rsid w:val="3DE970C7"/>
    <w:rsid w:val="3E2E382E"/>
    <w:rsid w:val="3E3B06B6"/>
    <w:rsid w:val="3E3C00E0"/>
    <w:rsid w:val="3E4045D5"/>
    <w:rsid w:val="3E6B75A7"/>
    <w:rsid w:val="3E853B44"/>
    <w:rsid w:val="3E9C66E3"/>
    <w:rsid w:val="3EA25C22"/>
    <w:rsid w:val="3EC2742A"/>
    <w:rsid w:val="3ECF2751"/>
    <w:rsid w:val="3ED57C2B"/>
    <w:rsid w:val="3EDF794F"/>
    <w:rsid w:val="3F130F93"/>
    <w:rsid w:val="3F4E2EF2"/>
    <w:rsid w:val="3F5043E9"/>
    <w:rsid w:val="3F615185"/>
    <w:rsid w:val="3F7602DA"/>
    <w:rsid w:val="3F953681"/>
    <w:rsid w:val="3FBD259C"/>
    <w:rsid w:val="3FCE1947"/>
    <w:rsid w:val="3FE7441A"/>
    <w:rsid w:val="3FF91CD6"/>
    <w:rsid w:val="4015282B"/>
    <w:rsid w:val="4040290C"/>
    <w:rsid w:val="40595608"/>
    <w:rsid w:val="40962835"/>
    <w:rsid w:val="40990689"/>
    <w:rsid w:val="40AD26A5"/>
    <w:rsid w:val="40B05521"/>
    <w:rsid w:val="40B74ED1"/>
    <w:rsid w:val="40E81DF9"/>
    <w:rsid w:val="40EA0C04"/>
    <w:rsid w:val="40ED1C00"/>
    <w:rsid w:val="41185CD8"/>
    <w:rsid w:val="41451D7A"/>
    <w:rsid w:val="41584EFC"/>
    <w:rsid w:val="419C530A"/>
    <w:rsid w:val="419F340F"/>
    <w:rsid w:val="41BA4EAE"/>
    <w:rsid w:val="420D48D5"/>
    <w:rsid w:val="421356C5"/>
    <w:rsid w:val="422560BF"/>
    <w:rsid w:val="423A5D93"/>
    <w:rsid w:val="424B73CD"/>
    <w:rsid w:val="426010ED"/>
    <w:rsid w:val="42623FBE"/>
    <w:rsid w:val="426974FC"/>
    <w:rsid w:val="42747CD2"/>
    <w:rsid w:val="427648F4"/>
    <w:rsid w:val="42B37314"/>
    <w:rsid w:val="42BA4031"/>
    <w:rsid w:val="42C6780A"/>
    <w:rsid w:val="42D2725F"/>
    <w:rsid w:val="42F25686"/>
    <w:rsid w:val="42F40403"/>
    <w:rsid w:val="42F778A7"/>
    <w:rsid w:val="43272EF4"/>
    <w:rsid w:val="43507781"/>
    <w:rsid w:val="437152B9"/>
    <w:rsid w:val="43735A96"/>
    <w:rsid w:val="43A91010"/>
    <w:rsid w:val="43DA7593"/>
    <w:rsid w:val="43DA7882"/>
    <w:rsid w:val="440627A2"/>
    <w:rsid w:val="44186BC2"/>
    <w:rsid w:val="441C514A"/>
    <w:rsid w:val="442F44EA"/>
    <w:rsid w:val="44334792"/>
    <w:rsid w:val="44384B7A"/>
    <w:rsid w:val="4474626D"/>
    <w:rsid w:val="44776DA9"/>
    <w:rsid w:val="448457CE"/>
    <w:rsid w:val="44887645"/>
    <w:rsid w:val="44A23A74"/>
    <w:rsid w:val="44B36A6C"/>
    <w:rsid w:val="44C564C4"/>
    <w:rsid w:val="45282ABA"/>
    <w:rsid w:val="4552261F"/>
    <w:rsid w:val="45560F83"/>
    <w:rsid w:val="456B4699"/>
    <w:rsid w:val="45704217"/>
    <w:rsid w:val="45930AC1"/>
    <w:rsid w:val="45A907E0"/>
    <w:rsid w:val="45B03B26"/>
    <w:rsid w:val="45BD0118"/>
    <w:rsid w:val="45C65379"/>
    <w:rsid w:val="45D91F9F"/>
    <w:rsid w:val="45F223DC"/>
    <w:rsid w:val="45F56CBE"/>
    <w:rsid w:val="45FE56CC"/>
    <w:rsid w:val="460C6906"/>
    <w:rsid w:val="462F6202"/>
    <w:rsid w:val="46435B01"/>
    <w:rsid w:val="4655561C"/>
    <w:rsid w:val="46645430"/>
    <w:rsid w:val="46D14DD9"/>
    <w:rsid w:val="46D536DB"/>
    <w:rsid w:val="46DD10B9"/>
    <w:rsid w:val="46F8143D"/>
    <w:rsid w:val="470617FB"/>
    <w:rsid w:val="47110D2C"/>
    <w:rsid w:val="47252848"/>
    <w:rsid w:val="4725493D"/>
    <w:rsid w:val="4737444C"/>
    <w:rsid w:val="4737739C"/>
    <w:rsid w:val="4739506A"/>
    <w:rsid w:val="474528FF"/>
    <w:rsid w:val="477150FF"/>
    <w:rsid w:val="478F21D3"/>
    <w:rsid w:val="479328EB"/>
    <w:rsid w:val="47A06ED3"/>
    <w:rsid w:val="47A14CF8"/>
    <w:rsid w:val="47A66921"/>
    <w:rsid w:val="47B97C41"/>
    <w:rsid w:val="47BF23E4"/>
    <w:rsid w:val="47CF601E"/>
    <w:rsid w:val="47E362B5"/>
    <w:rsid w:val="47E415BD"/>
    <w:rsid w:val="47FB5F75"/>
    <w:rsid w:val="480C205D"/>
    <w:rsid w:val="480D2BB3"/>
    <w:rsid w:val="481A4875"/>
    <w:rsid w:val="48312631"/>
    <w:rsid w:val="4841097E"/>
    <w:rsid w:val="485556AA"/>
    <w:rsid w:val="48571267"/>
    <w:rsid w:val="48694117"/>
    <w:rsid w:val="489334CC"/>
    <w:rsid w:val="48971FA7"/>
    <w:rsid w:val="48A82902"/>
    <w:rsid w:val="48B034BA"/>
    <w:rsid w:val="49264055"/>
    <w:rsid w:val="492708C2"/>
    <w:rsid w:val="49391647"/>
    <w:rsid w:val="493D49EA"/>
    <w:rsid w:val="49480645"/>
    <w:rsid w:val="49965D09"/>
    <w:rsid w:val="49A51C3D"/>
    <w:rsid w:val="49C97DF4"/>
    <w:rsid w:val="49E7584C"/>
    <w:rsid w:val="49E77CFE"/>
    <w:rsid w:val="4A0030C8"/>
    <w:rsid w:val="4A195E4A"/>
    <w:rsid w:val="4A387CCE"/>
    <w:rsid w:val="4A3B1A4F"/>
    <w:rsid w:val="4A4A2094"/>
    <w:rsid w:val="4A5644F2"/>
    <w:rsid w:val="4A622B81"/>
    <w:rsid w:val="4A6414FE"/>
    <w:rsid w:val="4A942C13"/>
    <w:rsid w:val="4A973A82"/>
    <w:rsid w:val="4AA20351"/>
    <w:rsid w:val="4AD804BC"/>
    <w:rsid w:val="4ADD5A7A"/>
    <w:rsid w:val="4B302EB6"/>
    <w:rsid w:val="4B49332A"/>
    <w:rsid w:val="4B7D20E5"/>
    <w:rsid w:val="4B850D62"/>
    <w:rsid w:val="4B903A89"/>
    <w:rsid w:val="4B9F581B"/>
    <w:rsid w:val="4BB321F2"/>
    <w:rsid w:val="4BBD4032"/>
    <w:rsid w:val="4BBE4158"/>
    <w:rsid w:val="4BCC2330"/>
    <w:rsid w:val="4BDF03FA"/>
    <w:rsid w:val="4BE72202"/>
    <w:rsid w:val="4C004C6D"/>
    <w:rsid w:val="4C2211C0"/>
    <w:rsid w:val="4C3B1B0F"/>
    <w:rsid w:val="4CA62091"/>
    <w:rsid w:val="4CAE679A"/>
    <w:rsid w:val="4CB26586"/>
    <w:rsid w:val="4CBD0A6E"/>
    <w:rsid w:val="4D1647A2"/>
    <w:rsid w:val="4D394270"/>
    <w:rsid w:val="4D4B54DB"/>
    <w:rsid w:val="4D5B312E"/>
    <w:rsid w:val="4D7B0AC1"/>
    <w:rsid w:val="4DB55F4D"/>
    <w:rsid w:val="4DD8077E"/>
    <w:rsid w:val="4DE84B2E"/>
    <w:rsid w:val="4E0109D9"/>
    <w:rsid w:val="4E082B68"/>
    <w:rsid w:val="4E087966"/>
    <w:rsid w:val="4E16180E"/>
    <w:rsid w:val="4E21448E"/>
    <w:rsid w:val="4E30628F"/>
    <w:rsid w:val="4E312A0D"/>
    <w:rsid w:val="4E312C12"/>
    <w:rsid w:val="4E3706B6"/>
    <w:rsid w:val="4E3E294A"/>
    <w:rsid w:val="4E4252F0"/>
    <w:rsid w:val="4E5D28FE"/>
    <w:rsid w:val="4E704D65"/>
    <w:rsid w:val="4ED73A5F"/>
    <w:rsid w:val="4EDB5B4A"/>
    <w:rsid w:val="4F0764B1"/>
    <w:rsid w:val="4F360274"/>
    <w:rsid w:val="4F405AAF"/>
    <w:rsid w:val="4F5F28AD"/>
    <w:rsid w:val="4F9A411A"/>
    <w:rsid w:val="50243BA0"/>
    <w:rsid w:val="503C2ED7"/>
    <w:rsid w:val="50577549"/>
    <w:rsid w:val="505C6884"/>
    <w:rsid w:val="5061063C"/>
    <w:rsid w:val="506E0AC9"/>
    <w:rsid w:val="50772803"/>
    <w:rsid w:val="507805D8"/>
    <w:rsid w:val="50787718"/>
    <w:rsid w:val="50C659D0"/>
    <w:rsid w:val="511A7EFD"/>
    <w:rsid w:val="5122001A"/>
    <w:rsid w:val="512F5559"/>
    <w:rsid w:val="51301F59"/>
    <w:rsid w:val="515611A5"/>
    <w:rsid w:val="517075BC"/>
    <w:rsid w:val="51750D79"/>
    <w:rsid w:val="517D00A3"/>
    <w:rsid w:val="51E544B8"/>
    <w:rsid w:val="51FF4AE6"/>
    <w:rsid w:val="524647F1"/>
    <w:rsid w:val="52873256"/>
    <w:rsid w:val="529B56DC"/>
    <w:rsid w:val="52B70688"/>
    <w:rsid w:val="52BC47DA"/>
    <w:rsid w:val="52EA7F2A"/>
    <w:rsid w:val="531D2E24"/>
    <w:rsid w:val="533D3DC7"/>
    <w:rsid w:val="53587FA9"/>
    <w:rsid w:val="537D1357"/>
    <w:rsid w:val="5385533B"/>
    <w:rsid w:val="53B7474C"/>
    <w:rsid w:val="53C9302E"/>
    <w:rsid w:val="53DC7AC8"/>
    <w:rsid w:val="541624A6"/>
    <w:rsid w:val="54312C5D"/>
    <w:rsid w:val="54484970"/>
    <w:rsid w:val="544E50B9"/>
    <w:rsid w:val="54623BD4"/>
    <w:rsid w:val="546A021C"/>
    <w:rsid w:val="54714DF2"/>
    <w:rsid w:val="54A0799F"/>
    <w:rsid w:val="54C60B7C"/>
    <w:rsid w:val="54C8206B"/>
    <w:rsid w:val="54E06D6A"/>
    <w:rsid w:val="54E902DB"/>
    <w:rsid w:val="54EA0F04"/>
    <w:rsid w:val="54F34182"/>
    <w:rsid w:val="55084E02"/>
    <w:rsid w:val="551800ED"/>
    <w:rsid w:val="55280F1E"/>
    <w:rsid w:val="554B7611"/>
    <w:rsid w:val="558F2A52"/>
    <w:rsid w:val="55A81F99"/>
    <w:rsid w:val="55AD3EF3"/>
    <w:rsid w:val="55C12FD3"/>
    <w:rsid w:val="55C77FAE"/>
    <w:rsid w:val="55ED20C2"/>
    <w:rsid w:val="55FF1042"/>
    <w:rsid w:val="56005219"/>
    <w:rsid w:val="561D54EB"/>
    <w:rsid w:val="561F22D5"/>
    <w:rsid w:val="56325543"/>
    <w:rsid w:val="563C5D0B"/>
    <w:rsid w:val="563C75ED"/>
    <w:rsid w:val="565D619A"/>
    <w:rsid w:val="56700266"/>
    <w:rsid w:val="56780A46"/>
    <w:rsid w:val="569A56EB"/>
    <w:rsid w:val="56B22AC6"/>
    <w:rsid w:val="56B55721"/>
    <w:rsid w:val="572434C1"/>
    <w:rsid w:val="57351E44"/>
    <w:rsid w:val="57394C44"/>
    <w:rsid w:val="57715E18"/>
    <w:rsid w:val="577D4EC8"/>
    <w:rsid w:val="579E10C1"/>
    <w:rsid w:val="579F608A"/>
    <w:rsid w:val="57B84ED2"/>
    <w:rsid w:val="57C0391F"/>
    <w:rsid w:val="57E26ED3"/>
    <w:rsid w:val="584E3534"/>
    <w:rsid w:val="5855720E"/>
    <w:rsid w:val="587C1C54"/>
    <w:rsid w:val="589D097C"/>
    <w:rsid w:val="58A67B5A"/>
    <w:rsid w:val="58AC0A0D"/>
    <w:rsid w:val="58D90CCF"/>
    <w:rsid w:val="58DE5587"/>
    <w:rsid w:val="58ED0B9F"/>
    <w:rsid w:val="59082B14"/>
    <w:rsid w:val="5909333C"/>
    <w:rsid w:val="5921751F"/>
    <w:rsid w:val="5931120F"/>
    <w:rsid w:val="593A0259"/>
    <w:rsid w:val="596C61E6"/>
    <w:rsid w:val="597856A8"/>
    <w:rsid w:val="59835D74"/>
    <w:rsid w:val="59A16F38"/>
    <w:rsid w:val="59AA6D1E"/>
    <w:rsid w:val="59B85483"/>
    <w:rsid w:val="5A1B3ECC"/>
    <w:rsid w:val="5A23767B"/>
    <w:rsid w:val="5A421601"/>
    <w:rsid w:val="5A47015F"/>
    <w:rsid w:val="5A4750EF"/>
    <w:rsid w:val="5A5C218B"/>
    <w:rsid w:val="5A620D7C"/>
    <w:rsid w:val="5A79159F"/>
    <w:rsid w:val="5A9D78F1"/>
    <w:rsid w:val="5AA24FA3"/>
    <w:rsid w:val="5ABF39A1"/>
    <w:rsid w:val="5AF558FA"/>
    <w:rsid w:val="5B092B82"/>
    <w:rsid w:val="5B287D07"/>
    <w:rsid w:val="5B407AE7"/>
    <w:rsid w:val="5B6B7F28"/>
    <w:rsid w:val="5BA02E96"/>
    <w:rsid w:val="5BA05428"/>
    <w:rsid w:val="5BA07CB8"/>
    <w:rsid w:val="5BAF43D6"/>
    <w:rsid w:val="5BDD6580"/>
    <w:rsid w:val="5BE01A5C"/>
    <w:rsid w:val="5C1B0AD0"/>
    <w:rsid w:val="5C303D02"/>
    <w:rsid w:val="5C365760"/>
    <w:rsid w:val="5C815040"/>
    <w:rsid w:val="5C957825"/>
    <w:rsid w:val="5CBD0B01"/>
    <w:rsid w:val="5D0D6E10"/>
    <w:rsid w:val="5D1A0A26"/>
    <w:rsid w:val="5D2C4559"/>
    <w:rsid w:val="5D44739F"/>
    <w:rsid w:val="5D63558B"/>
    <w:rsid w:val="5DA37A30"/>
    <w:rsid w:val="5DBA5A89"/>
    <w:rsid w:val="5DC52B82"/>
    <w:rsid w:val="5DC942E6"/>
    <w:rsid w:val="5DE51685"/>
    <w:rsid w:val="5DE7730D"/>
    <w:rsid w:val="5DEC16BD"/>
    <w:rsid w:val="5E127950"/>
    <w:rsid w:val="5E4F0DC5"/>
    <w:rsid w:val="5E614E33"/>
    <w:rsid w:val="5E907ABD"/>
    <w:rsid w:val="5E9D1542"/>
    <w:rsid w:val="5EBF6948"/>
    <w:rsid w:val="5EE17A3A"/>
    <w:rsid w:val="5EE976E9"/>
    <w:rsid w:val="5EEE1656"/>
    <w:rsid w:val="5EF2633A"/>
    <w:rsid w:val="5F0129B4"/>
    <w:rsid w:val="5F145886"/>
    <w:rsid w:val="5F223BC2"/>
    <w:rsid w:val="5F345891"/>
    <w:rsid w:val="5F48011D"/>
    <w:rsid w:val="5F7258D9"/>
    <w:rsid w:val="5FA54D98"/>
    <w:rsid w:val="5FA5629C"/>
    <w:rsid w:val="5FA568AF"/>
    <w:rsid w:val="5FB40EC0"/>
    <w:rsid w:val="5FC41A2F"/>
    <w:rsid w:val="5FD96977"/>
    <w:rsid w:val="60567FC7"/>
    <w:rsid w:val="605A34C9"/>
    <w:rsid w:val="606A1982"/>
    <w:rsid w:val="606F57C8"/>
    <w:rsid w:val="607F3CF2"/>
    <w:rsid w:val="608D17DF"/>
    <w:rsid w:val="60A833B5"/>
    <w:rsid w:val="60AA795C"/>
    <w:rsid w:val="60C10052"/>
    <w:rsid w:val="60C73CD8"/>
    <w:rsid w:val="60E83EE3"/>
    <w:rsid w:val="60FD13F4"/>
    <w:rsid w:val="61582A10"/>
    <w:rsid w:val="61693FC9"/>
    <w:rsid w:val="616F265D"/>
    <w:rsid w:val="616F618B"/>
    <w:rsid w:val="619F2C51"/>
    <w:rsid w:val="61B60772"/>
    <w:rsid w:val="61D624CC"/>
    <w:rsid w:val="61D70C94"/>
    <w:rsid w:val="61E16416"/>
    <w:rsid w:val="62567CE3"/>
    <w:rsid w:val="627D6579"/>
    <w:rsid w:val="628F1247"/>
    <w:rsid w:val="62A025A8"/>
    <w:rsid w:val="62C101B9"/>
    <w:rsid w:val="62C51B4C"/>
    <w:rsid w:val="62C6134F"/>
    <w:rsid w:val="62D028F3"/>
    <w:rsid w:val="62D80294"/>
    <w:rsid w:val="62F2510A"/>
    <w:rsid w:val="632219EB"/>
    <w:rsid w:val="6337099F"/>
    <w:rsid w:val="633F6CEC"/>
    <w:rsid w:val="633F7C26"/>
    <w:rsid w:val="636158AC"/>
    <w:rsid w:val="63730C63"/>
    <w:rsid w:val="638F21AA"/>
    <w:rsid w:val="63907D6D"/>
    <w:rsid w:val="63EF04E5"/>
    <w:rsid w:val="63F45EE5"/>
    <w:rsid w:val="64032DDD"/>
    <w:rsid w:val="64331FA4"/>
    <w:rsid w:val="644749E5"/>
    <w:rsid w:val="644A17E9"/>
    <w:rsid w:val="647A3331"/>
    <w:rsid w:val="64A54C80"/>
    <w:rsid w:val="64BD4EC3"/>
    <w:rsid w:val="64C23D23"/>
    <w:rsid w:val="64CB497D"/>
    <w:rsid w:val="64DE1CA0"/>
    <w:rsid w:val="65147126"/>
    <w:rsid w:val="652E528B"/>
    <w:rsid w:val="65320A31"/>
    <w:rsid w:val="65375529"/>
    <w:rsid w:val="65565510"/>
    <w:rsid w:val="6561580A"/>
    <w:rsid w:val="65654AAD"/>
    <w:rsid w:val="659749DF"/>
    <w:rsid w:val="65C15BCF"/>
    <w:rsid w:val="65D25994"/>
    <w:rsid w:val="65DE239D"/>
    <w:rsid w:val="65F868D4"/>
    <w:rsid w:val="65FF515C"/>
    <w:rsid w:val="662266DD"/>
    <w:rsid w:val="66231BF9"/>
    <w:rsid w:val="662526B7"/>
    <w:rsid w:val="6635155F"/>
    <w:rsid w:val="6638053A"/>
    <w:rsid w:val="666B5235"/>
    <w:rsid w:val="66923FB1"/>
    <w:rsid w:val="66972518"/>
    <w:rsid w:val="66AF49B1"/>
    <w:rsid w:val="66B94688"/>
    <w:rsid w:val="672E435F"/>
    <w:rsid w:val="6755056F"/>
    <w:rsid w:val="67583592"/>
    <w:rsid w:val="676B7381"/>
    <w:rsid w:val="676C08A1"/>
    <w:rsid w:val="677A6EFE"/>
    <w:rsid w:val="67A840C2"/>
    <w:rsid w:val="67BD7A0A"/>
    <w:rsid w:val="67C72605"/>
    <w:rsid w:val="67E40C0D"/>
    <w:rsid w:val="68092197"/>
    <w:rsid w:val="68203394"/>
    <w:rsid w:val="68441260"/>
    <w:rsid w:val="684F1371"/>
    <w:rsid w:val="685823FB"/>
    <w:rsid w:val="68676313"/>
    <w:rsid w:val="68834760"/>
    <w:rsid w:val="688409D2"/>
    <w:rsid w:val="68B53F18"/>
    <w:rsid w:val="68DA50E4"/>
    <w:rsid w:val="68FC27C1"/>
    <w:rsid w:val="69081974"/>
    <w:rsid w:val="69083092"/>
    <w:rsid w:val="69394F4A"/>
    <w:rsid w:val="693C17B0"/>
    <w:rsid w:val="694C35C7"/>
    <w:rsid w:val="6965553E"/>
    <w:rsid w:val="696613DA"/>
    <w:rsid w:val="69972680"/>
    <w:rsid w:val="699F24AB"/>
    <w:rsid w:val="69D947F6"/>
    <w:rsid w:val="6A0268CC"/>
    <w:rsid w:val="6A1E3DD4"/>
    <w:rsid w:val="6A28258A"/>
    <w:rsid w:val="6A2D46BE"/>
    <w:rsid w:val="6AB562CE"/>
    <w:rsid w:val="6B314F94"/>
    <w:rsid w:val="6B3D66F3"/>
    <w:rsid w:val="6B6A62F6"/>
    <w:rsid w:val="6B6B3766"/>
    <w:rsid w:val="6B6B3C52"/>
    <w:rsid w:val="6B74666F"/>
    <w:rsid w:val="6B86337D"/>
    <w:rsid w:val="6B976644"/>
    <w:rsid w:val="6BA668F2"/>
    <w:rsid w:val="6BBA4C6E"/>
    <w:rsid w:val="6BBF2EC5"/>
    <w:rsid w:val="6BD8764A"/>
    <w:rsid w:val="6BE66643"/>
    <w:rsid w:val="6BE9303C"/>
    <w:rsid w:val="6C6800DC"/>
    <w:rsid w:val="6C692B9D"/>
    <w:rsid w:val="6C765F8E"/>
    <w:rsid w:val="6C9E47D4"/>
    <w:rsid w:val="6CBE3A9C"/>
    <w:rsid w:val="6CCE7137"/>
    <w:rsid w:val="6CE52A4C"/>
    <w:rsid w:val="6D0C2328"/>
    <w:rsid w:val="6D155AE6"/>
    <w:rsid w:val="6D1B70E4"/>
    <w:rsid w:val="6D2777EB"/>
    <w:rsid w:val="6D36756B"/>
    <w:rsid w:val="6D4B2F1B"/>
    <w:rsid w:val="6D5A4709"/>
    <w:rsid w:val="6D6472B4"/>
    <w:rsid w:val="6D75028E"/>
    <w:rsid w:val="6D7C1B79"/>
    <w:rsid w:val="6DE15EFE"/>
    <w:rsid w:val="6DE3363E"/>
    <w:rsid w:val="6DF977C3"/>
    <w:rsid w:val="6E124783"/>
    <w:rsid w:val="6E1B14E6"/>
    <w:rsid w:val="6E8C3967"/>
    <w:rsid w:val="6E8C76FD"/>
    <w:rsid w:val="6EA17868"/>
    <w:rsid w:val="6EB27F0E"/>
    <w:rsid w:val="6ECD0D5C"/>
    <w:rsid w:val="6ED75CA7"/>
    <w:rsid w:val="6F1454EF"/>
    <w:rsid w:val="6F27753E"/>
    <w:rsid w:val="6F367133"/>
    <w:rsid w:val="6F3B4EAC"/>
    <w:rsid w:val="6F5C623E"/>
    <w:rsid w:val="6F5E09C2"/>
    <w:rsid w:val="6F686ABA"/>
    <w:rsid w:val="6F785A19"/>
    <w:rsid w:val="6FA127DE"/>
    <w:rsid w:val="6FA51804"/>
    <w:rsid w:val="6FB22B5D"/>
    <w:rsid w:val="6FB83F4B"/>
    <w:rsid w:val="6FD40219"/>
    <w:rsid w:val="6FD81458"/>
    <w:rsid w:val="6FEF1A29"/>
    <w:rsid w:val="70177432"/>
    <w:rsid w:val="7072390D"/>
    <w:rsid w:val="707F384C"/>
    <w:rsid w:val="70A50DC2"/>
    <w:rsid w:val="70BF72A0"/>
    <w:rsid w:val="70D74A0D"/>
    <w:rsid w:val="710A43B5"/>
    <w:rsid w:val="712418CA"/>
    <w:rsid w:val="7124558B"/>
    <w:rsid w:val="71310365"/>
    <w:rsid w:val="71591D02"/>
    <w:rsid w:val="716E0CAA"/>
    <w:rsid w:val="718A2C3F"/>
    <w:rsid w:val="718F7CF4"/>
    <w:rsid w:val="71C8609C"/>
    <w:rsid w:val="71CF498A"/>
    <w:rsid w:val="71E96CB2"/>
    <w:rsid w:val="71F3471B"/>
    <w:rsid w:val="72144523"/>
    <w:rsid w:val="72374879"/>
    <w:rsid w:val="725C12DB"/>
    <w:rsid w:val="727C0613"/>
    <w:rsid w:val="72912BF8"/>
    <w:rsid w:val="72A363ED"/>
    <w:rsid w:val="72BA7F38"/>
    <w:rsid w:val="72D354A8"/>
    <w:rsid w:val="72DE188C"/>
    <w:rsid w:val="72E20183"/>
    <w:rsid w:val="72E967EB"/>
    <w:rsid w:val="72F253BE"/>
    <w:rsid w:val="73100258"/>
    <w:rsid w:val="73326672"/>
    <w:rsid w:val="733A0812"/>
    <w:rsid w:val="733C2886"/>
    <w:rsid w:val="73670C47"/>
    <w:rsid w:val="738372F0"/>
    <w:rsid w:val="739D313F"/>
    <w:rsid w:val="739E729B"/>
    <w:rsid w:val="73B07FAD"/>
    <w:rsid w:val="73B72AAA"/>
    <w:rsid w:val="73C379A0"/>
    <w:rsid w:val="73D40078"/>
    <w:rsid w:val="73E76345"/>
    <w:rsid w:val="73F9695B"/>
    <w:rsid w:val="74040836"/>
    <w:rsid w:val="7435253B"/>
    <w:rsid w:val="7467234B"/>
    <w:rsid w:val="747A67B4"/>
    <w:rsid w:val="747F6C1C"/>
    <w:rsid w:val="74B75A72"/>
    <w:rsid w:val="74C24578"/>
    <w:rsid w:val="74C517E5"/>
    <w:rsid w:val="74D71922"/>
    <w:rsid w:val="74DF3287"/>
    <w:rsid w:val="74E30041"/>
    <w:rsid w:val="75051555"/>
    <w:rsid w:val="750F4EE4"/>
    <w:rsid w:val="752C70F1"/>
    <w:rsid w:val="75410D8E"/>
    <w:rsid w:val="75440463"/>
    <w:rsid w:val="754D7FB9"/>
    <w:rsid w:val="757371EE"/>
    <w:rsid w:val="757529FD"/>
    <w:rsid w:val="758A3E4A"/>
    <w:rsid w:val="75A5486F"/>
    <w:rsid w:val="75B33C9E"/>
    <w:rsid w:val="760F58A1"/>
    <w:rsid w:val="762E113A"/>
    <w:rsid w:val="76675F0A"/>
    <w:rsid w:val="76681D7C"/>
    <w:rsid w:val="767C626F"/>
    <w:rsid w:val="76A64854"/>
    <w:rsid w:val="76C42E14"/>
    <w:rsid w:val="76CC19C1"/>
    <w:rsid w:val="76EF4890"/>
    <w:rsid w:val="76FE0B9E"/>
    <w:rsid w:val="770B5F03"/>
    <w:rsid w:val="771F0E85"/>
    <w:rsid w:val="77404442"/>
    <w:rsid w:val="777A707A"/>
    <w:rsid w:val="77C56794"/>
    <w:rsid w:val="77C65BAE"/>
    <w:rsid w:val="77D30D65"/>
    <w:rsid w:val="7838133F"/>
    <w:rsid w:val="78627073"/>
    <w:rsid w:val="78682A16"/>
    <w:rsid w:val="786B1CF2"/>
    <w:rsid w:val="78762BBB"/>
    <w:rsid w:val="78B0451D"/>
    <w:rsid w:val="78CD5055"/>
    <w:rsid w:val="78D8512F"/>
    <w:rsid w:val="78E468C4"/>
    <w:rsid w:val="78E70A55"/>
    <w:rsid w:val="78E85544"/>
    <w:rsid w:val="790A295D"/>
    <w:rsid w:val="79135C1A"/>
    <w:rsid w:val="793B2510"/>
    <w:rsid w:val="79642569"/>
    <w:rsid w:val="79782709"/>
    <w:rsid w:val="79842F8F"/>
    <w:rsid w:val="79B16059"/>
    <w:rsid w:val="79B235FF"/>
    <w:rsid w:val="7A013854"/>
    <w:rsid w:val="7A070468"/>
    <w:rsid w:val="7A1B5258"/>
    <w:rsid w:val="7A3367C9"/>
    <w:rsid w:val="7A3D2F73"/>
    <w:rsid w:val="7A4B43F7"/>
    <w:rsid w:val="7A5D49B2"/>
    <w:rsid w:val="7A7A1B91"/>
    <w:rsid w:val="7A851402"/>
    <w:rsid w:val="7A980773"/>
    <w:rsid w:val="7AB254BD"/>
    <w:rsid w:val="7AC57FF8"/>
    <w:rsid w:val="7AE96D6B"/>
    <w:rsid w:val="7AF52CD4"/>
    <w:rsid w:val="7B0B3567"/>
    <w:rsid w:val="7B154834"/>
    <w:rsid w:val="7B1F268D"/>
    <w:rsid w:val="7B310ABC"/>
    <w:rsid w:val="7B3A0735"/>
    <w:rsid w:val="7B555909"/>
    <w:rsid w:val="7B715533"/>
    <w:rsid w:val="7B8A41FB"/>
    <w:rsid w:val="7BA55F72"/>
    <w:rsid w:val="7BB30110"/>
    <w:rsid w:val="7BBA49F5"/>
    <w:rsid w:val="7BF577F2"/>
    <w:rsid w:val="7BFC5F16"/>
    <w:rsid w:val="7C0D255E"/>
    <w:rsid w:val="7C11383C"/>
    <w:rsid w:val="7C1A0AA3"/>
    <w:rsid w:val="7C204A97"/>
    <w:rsid w:val="7C4A007F"/>
    <w:rsid w:val="7C4A7FD6"/>
    <w:rsid w:val="7C5B2D0B"/>
    <w:rsid w:val="7C720E3E"/>
    <w:rsid w:val="7C722286"/>
    <w:rsid w:val="7C736CB8"/>
    <w:rsid w:val="7C821532"/>
    <w:rsid w:val="7CE2477D"/>
    <w:rsid w:val="7CF72A43"/>
    <w:rsid w:val="7D005B13"/>
    <w:rsid w:val="7D09707C"/>
    <w:rsid w:val="7D341279"/>
    <w:rsid w:val="7D5F7797"/>
    <w:rsid w:val="7D631435"/>
    <w:rsid w:val="7D690027"/>
    <w:rsid w:val="7D721472"/>
    <w:rsid w:val="7D9447FF"/>
    <w:rsid w:val="7E086234"/>
    <w:rsid w:val="7E0E5265"/>
    <w:rsid w:val="7E192B5A"/>
    <w:rsid w:val="7E1E270C"/>
    <w:rsid w:val="7E2677F9"/>
    <w:rsid w:val="7E2930D0"/>
    <w:rsid w:val="7E2B383A"/>
    <w:rsid w:val="7E2B6DB7"/>
    <w:rsid w:val="7E36388D"/>
    <w:rsid w:val="7E3D3AA0"/>
    <w:rsid w:val="7E4D42CE"/>
    <w:rsid w:val="7E523526"/>
    <w:rsid w:val="7E52728D"/>
    <w:rsid w:val="7E562688"/>
    <w:rsid w:val="7E5D4D34"/>
    <w:rsid w:val="7E5E1DC9"/>
    <w:rsid w:val="7E883AB4"/>
    <w:rsid w:val="7E8A49B8"/>
    <w:rsid w:val="7E8E2DEF"/>
    <w:rsid w:val="7EA10916"/>
    <w:rsid w:val="7ED76894"/>
    <w:rsid w:val="7F06736E"/>
    <w:rsid w:val="7F224FC2"/>
    <w:rsid w:val="7F2958E0"/>
    <w:rsid w:val="7F8E7C23"/>
    <w:rsid w:val="7F9B35C4"/>
    <w:rsid w:val="7FB10200"/>
    <w:rsid w:val="7FBD035B"/>
    <w:rsid w:val="7FDF7F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8"/>
        <o:r id="V:Rule2" type="connector" idref="#直接箭头连接符 9"/>
        <o:r id="V:Rule3" type="connector" idref="#直接箭头连接符 12"/>
        <o:r id="V:Rule4" type="connector" idref="#直接箭头连接符 15"/>
        <o:r id="V:Rule5" type="connector" idref="#直接箭头连接符 18"/>
        <o:r id="V:Rule6" type="connector" idref="#直接箭头连接符 20"/>
        <o:r id="V:Rule7" type="connector" idref="#直接箭头连接符 23"/>
        <o:r id="V:Rule8" type="connector" idref="#直接箭头连接符 43"/>
        <o:r id="V:Rule9" type="connector" idref="#直接箭头连接符 45"/>
        <o:r id="V:Rule10" type="connector" idref="#直接箭头连接符 46"/>
        <o:r id="V:Rule11" type="connector" idref="#直接箭头连接符 47"/>
        <o:r id="V:Rule12" type="connector" idref="#直接箭头连接符 49"/>
        <o:r id="V:Rule13" type="connector" idref="#直接箭头连接符 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1"/>
    <w:pPr>
      <w:spacing w:before="36"/>
      <w:ind w:left="714"/>
      <w:outlineLvl w:val="4"/>
    </w:pPr>
    <w:rPr>
      <w:rFonts w:ascii="宋体" w:hAnsi="宋体" w:eastAsia="宋体"/>
      <w:b/>
      <w:bCs/>
      <w:sz w:val="24"/>
      <w:szCs w:val="24"/>
    </w:rPr>
  </w:style>
  <w:style w:type="character" w:default="1" w:styleId="17">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spacing w:before="55"/>
      <w:ind w:left="234"/>
    </w:pPr>
    <w:rPr>
      <w:rFonts w:ascii="宋体" w:hAnsi="宋体" w:eastAsia="宋体"/>
      <w:sz w:val="24"/>
      <w:szCs w:val="24"/>
    </w:rPr>
  </w:style>
  <w:style w:type="paragraph" w:styleId="5">
    <w:name w:val="Body Text Indent"/>
    <w:basedOn w:val="1"/>
    <w:next w:val="1"/>
    <w:qFormat/>
    <w:uiPriority w:val="0"/>
    <w:pPr>
      <w:ind w:firstLine="627"/>
    </w:pPr>
    <w:rPr>
      <w:sz w:val="32"/>
    </w:rPr>
  </w:style>
  <w:style w:type="paragraph" w:styleId="6">
    <w:name w:val="toc 3"/>
    <w:basedOn w:val="1"/>
    <w:next w:val="1"/>
    <w:unhideWhenUsed/>
    <w:qFormat/>
    <w:uiPriority w:val="39"/>
    <w:pPr>
      <w:ind w:left="840" w:leftChars="400"/>
    </w:pPr>
    <w:rPr>
      <w:szCs w:val="22"/>
    </w:rPr>
  </w:style>
  <w:style w:type="paragraph" w:styleId="7">
    <w:name w:val="Body Text Indent 2"/>
    <w:basedOn w:val="1"/>
    <w:next w:val="8"/>
    <w:qFormat/>
    <w:uiPriority w:val="0"/>
    <w:pPr>
      <w:spacing w:line="620" w:lineRule="exact"/>
      <w:ind w:left="105" w:firstLine="645"/>
    </w:pPr>
    <w:rPr>
      <w:rFonts w:ascii="仿宋_GB2312" w:eastAsia="仿宋_GB2312"/>
      <w:sz w:val="30"/>
    </w:rPr>
  </w:style>
  <w:style w:type="paragraph" w:customStyle="1" w:styleId="8">
    <w:name w:val="简单回函地址"/>
    <w:basedOn w:val="1"/>
    <w:next w:val="9"/>
    <w:qFormat/>
    <w:uiPriority w:val="0"/>
  </w:style>
  <w:style w:type="paragraph" w:customStyle="1" w:styleId="9">
    <w:name w:val="正文2"/>
    <w:basedOn w:val="1"/>
    <w:qFormat/>
    <w:uiPriority w:val="0"/>
    <w:pPr>
      <w:autoSpaceDE w:val="0"/>
      <w:autoSpaceDN w:val="0"/>
      <w:spacing w:line="480" w:lineRule="exact"/>
      <w:ind w:left="556"/>
      <w:textAlignment w:val="bottom"/>
    </w:pPr>
    <w:rPr>
      <w:color w:val="000000"/>
      <w:sz w:val="28"/>
    </w:rPr>
  </w:style>
  <w:style w:type="paragraph" w:styleId="10">
    <w:name w:val="footer"/>
    <w:basedOn w:val="1"/>
    <w:qFormat/>
    <w:uiPriority w:val="99"/>
    <w:pPr>
      <w:tabs>
        <w:tab w:val="center" w:pos="4153"/>
        <w:tab w:val="right" w:pos="8306"/>
      </w:tabs>
      <w:snapToGrid w:val="0"/>
      <w:jc w:val="left"/>
    </w:pPr>
    <w:rPr>
      <w:kern w:val="0"/>
      <w:sz w:val="18"/>
      <w:szCs w:val="20"/>
    </w:rPr>
  </w:style>
  <w:style w:type="paragraph" w:styleId="11">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3">
    <w:name w:val="Body Text First Indent 2"/>
    <w:basedOn w:val="5"/>
    <w:next w:val="1"/>
    <w:uiPriority w:val="0"/>
    <w:pPr>
      <w:spacing w:after="120" w:afterLines="0"/>
      <w:ind w:left="420" w:leftChars="200" w:firstLine="420" w:firstLineChars="200"/>
    </w:pPr>
    <w:rPr>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6">
    <w:name w:val="Table Theme"/>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qFormat/>
    <w:uiPriority w:val="0"/>
    <w:rPr>
      <w:color w:val="0000FF"/>
      <w:u w:val="single"/>
    </w:rPr>
  </w:style>
  <w:style w:type="paragraph" w:customStyle="1" w:styleId="20">
    <w:name w:val="样式3"/>
    <w:basedOn w:val="21"/>
    <w:next w:val="1"/>
    <w:qFormat/>
    <w:uiPriority w:val="0"/>
    <w:pPr>
      <w:tabs>
        <w:tab w:val="left" w:pos="6351"/>
      </w:tabs>
      <w:spacing w:line="360" w:lineRule="auto"/>
      <w:ind w:firstLine="200" w:firstLineChars="200"/>
    </w:pPr>
    <w:rPr>
      <w:rFonts w:eastAsia="楷体_GB2312"/>
      <w:sz w:val="28"/>
      <w:szCs w:val="20"/>
    </w:rPr>
  </w:style>
  <w:style w:type="paragraph" w:customStyle="1" w:styleId="21">
    <w:name w:val="标题 2 + 左侧:  0.75 厘米 首行缩进:  0 厘米"/>
    <w:basedOn w:val="2"/>
    <w:next w:val="2"/>
    <w:qFormat/>
    <w:uiPriority w:val="0"/>
    <w:pPr>
      <w:tabs>
        <w:tab w:val="left" w:pos="6351"/>
      </w:tabs>
      <w:spacing w:before="100" w:beforeAutospacing="1" w:after="100" w:afterAutospacing="1" w:line="240" w:lineRule="auto"/>
      <w:ind w:left="425" w:firstLine="0" w:firstLineChars="0"/>
      <w:jc w:val="left"/>
    </w:pPr>
    <w:rPr>
      <w:rFonts w:eastAsia="宋体" w:cs="宋体"/>
      <w:sz w:val="30"/>
      <w:szCs w:val="20"/>
    </w:rPr>
  </w:style>
  <w:style w:type="paragraph" w:customStyle="1" w:styleId="22">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23">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4">
    <w:name w:val="11正文"/>
    <w:basedOn w:val="1"/>
    <w:qFormat/>
    <w:uiPriority w:val="0"/>
    <w:pPr>
      <w:spacing w:line="500" w:lineRule="exact"/>
      <w:ind w:firstLine="200" w:firstLineChars="200"/>
    </w:pPr>
    <w:rPr>
      <w:bCs/>
      <w:sz w:val="24"/>
    </w:rPr>
  </w:style>
  <w:style w:type="paragraph" w:customStyle="1" w:styleId="25">
    <w:name w:val="xl63"/>
    <w:basedOn w:val="1"/>
    <w:qFormat/>
    <w:uiPriority w:val="0"/>
    <w:pPr>
      <w:widowControl/>
      <w:spacing w:before="100" w:after="100"/>
      <w:jc w:val="center"/>
    </w:pPr>
    <w:rPr>
      <w:rFonts w:hint="eastAsia" w:ascii="黑体" w:hAnsi="宋体" w:eastAsia="黑体"/>
      <w:kern w:val="0"/>
      <w:sz w:val="24"/>
      <w:szCs w:val="20"/>
    </w:rPr>
  </w:style>
  <w:style w:type="paragraph" w:customStyle="1" w:styleId="26">
    <w:name w:val="流程图"/>
    <w:basedOn w:val="1"/>
    <w:qFormat/>
    <w:uiPriority w:val="0"/>
    <w:pPr>
      <w:tabs>
        <w:tab w:val="center" w:pos="0"/>
      </w:tabs>
    </w:pPr>
    <w:rPr>
      <w:rFonts w:eastAsia="楷体_GB2312"/>
      <w:sz w:val="24"/>
      <w:szCs w:val="20"/>
    </w:rPr>
  </w:style>
  <w:style w:type="paragraph" w:customStyle="1" w:styleId="27">
    <w:name w:val="表格文字"/>
    <w:basedOn w:val="4"/>
    <w:qFormat/>
    <w:uiPriority w:val="0"/>
    <w:pPr>
      <w:spacing w:before="100" w:beforeAutospacing="1" w:after="0"/>
    </w:pPr>
    <w:rPr>
      <w:szCs w:val="21"/>
    </w:rPr>
  </w:style>
  <w:style w:type="paragraph" w:customStyle="1" w:styleId="28">
    <w:name w:val="rpt_表项"/>
    <w:basedOn w:val="1"/>
    <w:qFormat/>
    <w:uiPriority w:val="99"/>
    <w:pPr>
      <w:spacing w:before="60" w:after="60"/>
      <w:jc w:val="center"/>
    </w:pPr>
    <w:rPr>
      <w:rFonts w:cs="宋体"/>
      <w:sz w:val="22"/>
      <w:szCs w:val="20"/>
    </w:rPr>
  </w:style>
  <w:style w:type="paragraph" w:customStyle="1" w:styleId="29">
    <w:name w:val="Table Paragraph"/>
    <w:basedOn w:val="1"/>
    <w:qFormat/>
    <w:uiPriority w:val="1"/>
  </w:style>
  <w:style w:type="character" w:customStyle="1" w:styleId="30">
    <w:name w:val="fontstyle01"/>
    <w:qFormat/>
    <w:uiPriority w:val="0"/>
    <w:rPr>
      <w:rFonts w:hint="eastAsia" w:ascii="宋体" w:hAnsi="宋体" w:eastAsia="宋体"/>
      <w:color w:val="000000"/>
      <w:sz w:val="22"/>
      <w:szCs w:val="22"/>
    </w:rPr>
  </w:style>
  <w:style w:type="paragraph" w:customStyle="1" w:styleId="3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32">
    <w:name w:val="样式 表格 32 + 首行缩进:  2 字符"/>
    <w:basedOn w:val="1"/>
    <w:qFormat/>
    <w:uiPriority w:val="0"/>
    <w:pPr>
      <w:autoSpaceDE w:val="0"/>
      <w:autoSpaceDN w:val="0"/>
      <w:adjustRightInd w:val="0"/>
      <w:spacing w:line="0" w:lineRule="atLeast"/>
      <w:jc w:val="center"/>
      <w:textAlignment w:val="baseline"/>
    </w:pPr>
    <w:rPr>
      <w:rFonts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Info spid="_x0000_s1088"/>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74"/>
    <customShpInfo spid="_x0000_s1045"/>
    <customShpInfo spid="_x0000_s1046"/>
    <customShpInfo spid="_x0000_s1047"/>
    <customShpInfo spid="_x0000_s1048"/>
    <customShpInfo spid="_x0000_s1049"/>
    <customShpInfo spid="_x0000_s1051"/>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80"/>
    <customShpInfo spid="_x0000_s1171"/>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33</Pages>
  <Words>4571</Words>
  <Characters>26055</Characters>
  <Lines>217</Lines>
  <Paragraphs>61</Paragraphs>
  <TotalTime>2</TotalTime>
  <ScaleCrop>false</ScaleCrop>
  <LinksUpToDate>false</LinksUpToDate>
  <CharactersWithSpaces>30565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2021-03-21T10:35:00Z</dcterms:created>
  <dc:creator>同体大悲</dc:creator>
  <cp:lastModifiedBy>同体大悲</cp:lastModifiedBy>
  <cp:lastPrinted>2021-04-09T03:09:00Z</cp:lastPrinted>
  <dcterms:modified xsi:type="dcterms:W3CDTF">2022-04-07T15:08:02Z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C6E8FF9D7585468E9C207167F504B30F</vt:lpwstr>
  </property>
  <property fmtid="{D5CDD505-2E9C-101B-9397-08002B2CF9AE}" pid="4" name="KSOSaveFontToCloudKey">
    <vt:lpwstr>788956_cloud</vt:lpwstr>
  </property>
</Properties>
</file>