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96597"/>
      <w:bookmarkStart w:id="3" w:name="_Toc15378441"/>
      <w:bookmarkStart w:id="4" w:name="_Toc15377193"/>
      <w:bookmarkStart w:id="5" w:name="_Toc15396475"/>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96476"/>
      <w:bookmarkStart w:id="9" w:name="_Toc15378442"/>
      <w:bookmarkStart w:id="10" w:name="_Toc15377426"/>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宣汉县樊哙中学部门决算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588" w:firstLineChars="210"/>
        <w:outlineLvl w:val="2"/>
        <w:rPr>
          <w:rFonts w:ascii="仿宋" w:hAnsi="仿宋"/>
          <w:bCs/>
          <w:color w:val="000000"/>
          <w:sz w:val="32"/>
          <w:szCs w:val="32"/>
        </w:rPr>
      </w:pPr>
      <w:r>
        <w:rPr>
          <w:rFonts w:hint="eastAsia" w:hAnsi="仿宋_GB2312" w:cs="仿宋_GB2312"/>
          <w:sz w:val="28"/>
          <w:szCs w:val="28"/>
        </w:rPr>
        <w:t>宣汉县樊哙中学是一所纯初中教育的单设初中学校。主要负责樊哙镇及渡口土家族乡九年义务教育中七、八、九年级教育教学工作。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4"/>
        <w:spacing w:before="0" w:after="0" w:line="578"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before="0" w:after="0" w:line="578" w:lineRule="exact"/>
        <w:ind w:firstLine="560" w:firstLineChars="200"/>
        <w:jc w:val="left"/>
        <w:rPr>
          <w:rFonts w:ascii="仿宋" w:hAnsi="仿宋" w:eastAsia="仿宋"/>
          <w:bCs w:val="0"/>
          <w:color w:val="000000"/>
        </w:rPr>
      </w:pPr>
      <w:r>
        <w:rPr>
          <w:rFonts w:hint="eastAsia" w:ascii="仿宋_GB2312" w:hAnsi="仿宋_GB2312" w:eastAsia="仿宋_GB2312" w:cs="仿宋_GB2312"/>
          <w:b w:val="0"/>
          <w:bCs w:val="0"/>
          <w:sz w:val="28"/>
          <w:szCs w:val="28"/>
        </w:rPr>
        <w:t>一年来，学校先后获得“师德先进集体”、“教育教学先进集体”、“最佳文明单位”、“星级平安学校”等殊荣。</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588" w:firstLineChars="210"/>
        <w:rPr>
          <w:color w:val="000000"/>
          <w:sz w:val="32"/>
          <w:szCs w:val="32"/>
        </w:rPr>
      </w:pPr>
      <w:r>
        <w:rPr>
          <w:rFonts w:hint="eastAsia" w:hAnsi="仿宋_GB2312" w:cs="仿宋_GB2312"/>
          <w:sz w:val="28"/>
          <w:szCs w:val="28"/>
        </w:rPr>
        <w:t>宣汉县樊哙中学属财政全额拨款事业单位1个</w:t>
      </w:r>
      <w:r>
        <w:rPr>
          <w:rFonts w:hint="eastAsia"/>
          <w:color w:val="000000"/>
          <w:sz w:val="32"/>
          <w:szCs w:val="32"/>
        </w:rPr>
        <w:t>。</w:t>
      </w:r>
    </w:p>
    <w:p>
      <w:pPr>
        <w:ind w:firstLine="800" w:firstLineChars="250"/>
        <w:rPr>
          <w:rFonts w:ascii="仿宋" w:hAnsi="仿宋" w:eastAsia="仿宋"/>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2018年度收、支总计1353.82万元。与2017年相比，收、支总计各增加51.05万元，增长3.92</w:t>
      </w:r>
      <w:r>
        <w:rPr>
          <w:rFonts w:ascii="仿宋" w:hAnsi="仿宋" w:eastAsia="仿宋"/>
          <w:color w:val="000000"/>
          <w:sz w:val="32"/>
          <w:szCs w:val="32"/>
        </w:rPr>
        <w:t>%</w:t>
      </w:r>
      <w:r>
        <w:rPr>
          <w:rFonts w:hint="eastAsia" w:ascii="仿宋" w:hAnsi="仿宋" w:eastAsia="仿宋"/>
          <w:color w:val="000000"/>
          <w:sz w:val="32"/>
          <w:szCs w:val="32"/>
        </w:rPr>
        <w:t>。主要变动原因是教职工人数的增加及工资标准的提高。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274310" cy="1953895"/>
            <wp:effectExtent l="4445" t="4445" r="17145" b="228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8年本年收入合计1353.82万元，其中：一般公共预算财政拨款收入1353.82万元，占100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FF0000"/>
          <w:sz w:val="32"/>
          <w:szCs w:val="32"/>
        </w:rPr>
        <w:drawing>
          <wp:anchor distT="0" distB="0" distL="114300" distR="114300" simplePos="0" relativeHeight="251666432" behindDoc="0" locked="0" layoutInCell="1" allowOverlap="1">
            <wp:simplePos x="0" y="0"/>
            <wp:positionH relativeFrom="margin">
              <wp:posOffset>57150</wp:posOffset>
            </wp:positionH>
            <wp:positionV relativeFrom="paragraph">
              <wp:posOffset>305435</wp:posOffset>
            </wp:positionV>
            <wp:extent cx="5274310" cy="1586230"/>
            <wp:effectExtent l="4445" t="4445" r="17145"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8年本年支出合计1353.82万元，其中：基本支出1109.88万元，占81.98</w:t>
      </w:r>
      <w:r>
        <w:rPr>
          <w:rFonts w:ascii="仿宋" w:hAnsi="仿宋" w:eastAsia="仿宋"/>
          <w:color w:val="000000"/>
          <w:sz w:val="32"/>
          <w:szCs w:val="32"/>
        </w:rPr>
        <w:t>%</w:t>
      </w:r>
      <w:r>
        <w:rPr>
          <w:rFonts w:hint="eastAsia" w:ascii="仿宋" w:hAnsi="仿宋" w:eastAsia="仿宋"/>
          <w:color w:val="000000"/>
          <w:sz w:val="32"/>
          <w:szCs w:val="32"/>
        </w:rPr>
        <w:t>；项目支出243.94万元，占18.02</w:t>
      </w:r>
      <w:r>
        <w:rPr>
          <w:rFonts w:ascii="仿宋" w:hAnsi="仿宋" w:eastAsia="仿宋"/>
          <w:color w:val="000000"/>
          <w:sz w:val="32"/>
          <w:szCs w:val="32"/>
        </w:rPr>
        <w:t>%</w:t>
      </w:r>
      <w:r>
        <w:rPr>
          <w:rFonts w:hint="eastAsia" w:ascii="仿宋" w:hAnsi="仿宋" w:eastAsia="仿宋"/>
          <w:color w:val="000000"/>
          <w:sz w:val="32"/>
          <w:szCs w:val="32"/>
          <w:shd w:val="pct10" w:color="auto" w:fill="FFFFFF"/>
        </w:rPr>
        <w:t>。</w:t>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FF0000"/>
          <w:sz w:val="32"/>
          <w:szCs w:val="32"/>
        </w:rPr>
        <w:drawing>
          <wp:anchor distT="0" distB="0" distL="114300" distR="114300" simplePos="0" relativeHeight="251672576" behindDoc="1" locked="0" layoutInCell="1" allowOverlap="1">
            <wp:simplePos x="0" y="0"/>
            <wp:positionH relativeFrom="column">
              <wp:posOffset>255905</wp:posOffset>
            </wp:positionH>
            <wp:positionV relativeFrom="paragraph">
              <wp:posOffset>408305</wp:posOffset>
            </wp:positionV>
            <wp:extent cx="5274310" cy="1579245"/>
            <wp:effectExtent l="4445" t="4445" r="17145" b="16510"/>
            <wp:wrapTight wrapText="bothSides">
              <wp:wrapPolygon>
                <wp:start x="-18" y="-61"/>
                <wp:lineTo x="-18" y="21305"/>
                <wp:lineTo x="21514" y="21305"/>
                <wp:lineTo x="21514" y="-61"/>
                <wp:lineTo x="-18" y="-61"/>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8年财政拨款收、支总计2707.64万元。与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7年相比，财政拨款收、支总计各增加51.05万元，增长3.92</w:t>
      </w:r>
      <w:r>
        <w:rPr>
          <w:rFonts w:ascii="仿宋" w:hAnsi="仿宋" w:eastAsia="仿宋"/>
          <w:color w:val="000000"/>
          <w:sz w:val="32"/>
          <w:szCs w:val="32"/>
        </w:rPr>
        <w:t>%</w:t>
      </w:r>
      <w:r>
        <w:rPr>
          <w:rFonts w:hint="eastAsia" w:ascii="仿宋" w:hAnsi="仿宋" w:eastAsia="仿宋"/>
          <w:color w:val="000000"/>
          <w:sz w:val="32"/>
          <w:szCs w:val="32"/>
        </w:rPr>
        <w:t>。主要变动原因是教职工人数的增加及工资标准的提高。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79744" behindDoc="0" locked="0" layoutInCell="1" allowOverlap="1">
            <wp:simplePos x="0" y="0"/>
            <wp:positionH relativeFrom="column">
              <wp:posOffset>0</wp:posOffset>
            </wp:positionH>
            <wp:positionV relativeFrom="paragraph">
              <wp:posOffset>381000</wp:posOffset>
            </wp:positionV>
            <wp:extent cx="5274310" cy="1953895"/>
            <wp:effectExtent l="4445" t="4445" r="17145" b="2286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8年一般公共预算财政拨款支出1353.82万元，占本年支出合计的100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7年相比，一般公共预算财政拨款增加51.05万元，增长3.92</w:t>
      </w:r>
      <w:r>
        <w:rPr>
          <w:rFonts w:ascii="仿宋" w:hAnsi="仿宋" w:eastAsia="仿宋"/>
          <w:color w:val="000000"/>
          <w:sz w:val="32"/>
          <w:szCs w:val="32"/>
        </w:rPr>
        <w:t>%</w:t>
      </w:r>
      <w:r>
        <w:rPr>
          <w:rFonts w:hint="eastAsia" w:ascii="仿宋" w:hAnsi="仿宋" w:eastAsia="仿宋"/>
          <w:color w:val="000000"/>
          <w:sz w:val="32"/>
          <w:szCs w:val="32"/>
        </w:rPr>
        <w:t>。主要变动原因是教职工人数的增加及工资标准的提高。</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81792" behindDoc="1" locked="0" layoutInCell="1" allowOverlap="1">
            <wp:simplePos x="0" y="0"/>
            <wp:positionH relativeFrom="margin">
              <wp:posOffset>0</wp:posOffset>
            </wp:positionH>
            <wp:positionV relativeFrom="paragraph">
              <wp:posOffset>429260</wp:posOffset>
            </wp:positionV>
            <wp:extent cx="4855845" cy="1779905"/>
            <wp:effectExtent l="4445" t="4445" r="16510" b="63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政拨款支出1353.82万元，主要用于以下方面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1148.22万元，占84.81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支出100.54万元，占7.43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；医疗卫生支出37.75万元，占2.79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；住房保障支出67.31万元，占4.97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91008" behindDoc="0" locked="0" layoutInCell="1" allowOverlap="1">
            <wp:simplePos x="0" y="0"/>
            <wp:positionH relativeFrom="margin">
              <wp:posOffset>-114300</wp:posOffset>
            </wp:positionH>
            <wp:positionV relativeFrom="paragraph">
              <wp:posOffset>104140</wp:posOffset>
            </wp:positionV>
            <wp:extent cx="5846445" cy="1911985"/>
            <wp:effectExtent l="4445" t="4445" r="16510" b="762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2018年般公共预算支出决算数为1353.82</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预算174.2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教育（类）普通教育（款）初中教育（项）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支出决算为1146.22万元，完成预算100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1285" w:firstLineChars="4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教育（类）普通教育（款）其他普通教育支出（项）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支出决算为98.38万元，完成预算100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1285" w:firstLineChars="400"/>
        <w:rPr>
          <w:rFonts w:ascii="仿宋" w:hAnsi="仿宋" w:eastAsia="仿宋"/>
          <w:b/>
          <w:color w:val="000000"/>
          <w:sz w:val="32"/>
          <w:szCs w:val="32"/>
        </w:rPr>
      </w:pPr>
      <w:r>
        <w:rPr>
          <w:rStyle w:val="14"/>
          <w:rFonts w:hint="eastAsia" w:ascii="仿宋" w:hAnsi="仿宋" w:eastAsia="仿宋"/>
          <w:bCs/>
          <w:color w:val="000000"/>
          <w:sz w:val="32"/>
          <w:szCs w:val="32"/>
        </w:rPr>
        <w:t>社会保障和就业（类）行政事业单位离退休（款）机关事业单位职业年金缴费支出★（项）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支出决算为2.16万元，完成预算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3、医疗卫生与计划生育（类）行政事业单位医疗★（款）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支出决算为37.75万元，完成预算100</w:t>
      </w:r>
      <w:r>
        <w:rPr>
          <w:rStyle w:val="14"/>
          <w:rFonts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4、</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31.29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8年一般公共预算财政拨款基本支出1109.88万元，其中：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952.55万元，主要包括：基本工资、津贴补贴、伙食补助费、绩效工资、机关事业单位基本养老保险缴费、职业年金缴费、其他社会保障缴费、其他工资福利支出、退休费、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145.98万元，主要包括：办公费、印刷费、咨询费、手续费、水费、电费、邮电费、物业管理费、差旅费、维修（护）费、租赁费、会议费、培训费、公务接待费、劳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8年“三公”经费财政拨款支出决算为4.4万元，完成预算100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8年“三公”经费财政拨款支出决算中公务接待费支出决算4.4万元，占100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8年“三公”经费财政拨款支出决算中公务接待费支出决算4.4万元，占100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ascii="宋体" w:hAnsi="宋体" w:cs="宋体"/>
          <w:kern w:val="0"/>
          <w:szCs w:val="22"/>
        </w:rPr>
        <w:drawing>
          <wp:anchor distT="0" distB="0" distL="114300" distR="114300" simplePos="0" relativeHeight="251661312" behindDoc="1" locked="0" layoutInCell="1" allowOverlap="1">
            <wp:simplePos x="0" y="0"/>
            <wp:positionH relativeFrom="margin">
              <wp:align>left</wp:align>
            </wp:positionH>
            <wp:positionV relativeFrom="paragraph">
              <wp:posOffset>381000</wp:posOffset>
            </wp:positionV>
            <wp:extent cx="4620895" cy="1613535"/>
            <wp:effectExtent l="0" t="0" r="8255" b="5715"/>
            <wp:wrapSquare wrapText="bothSides"/>
            <wp:docPr id="10" name="图片 10"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613535"/>
                    </a:xfrm>
                    <a:prstGeom prst="rect">
                      <a:avLst/>
                    </a:prstGeom>
                    <a:noFill/>
                    <a:ln w="9525">
                      <a:noFill/>
                    </a:ln>
                  </pic:spPr>
                </pic:pic>
              </a:graphicData>
            </a:graphic>
          </wp:anchor>
        </w:drawing>
      </w:r>
      <w:r>
        <w:rPr>
          <w:rFonts w:ascii="宋体" w:hAnsi="宋体" w:cs="宋体"/>
          <w:kern w:val="0"/>
          <w:sz w:val="24"/>
        </w:rPr>
        <w:drawing>
          <wp:anchor distT="0" distB="0" distL="114300" distR="114300" simplePos="0" relativeHeight="251660288" behindDoc="0" locked="0" layoutInCell="1" allowOverlap="1">
            <wp:simplePos x="0" y="0"/>
            <wp:positionH relativeFrom="margin">
              <wp:posOffset>283845</wp:posOffset>
            </wp:positionH>
            <wp:positionV relativeFrom="paragraph">
              <wp:posOffset>381000</wp:posOffset>
            </wp:positionV>
            <wp:extent cx="4620895" cy="1877060"/>
            <wp:effectExtent l="0" t="0" r="8255" b="8890"/>
            <wp:wrapSquare wrapText="bothSides"/>
            <wp:docPr id="11" name="图片 1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877060"/>
                    </a:xfrm>
                    <a:prstGeom prst="rect">
                      <a:avLst/>
                    </a:prstGeom>
                    <a:noFill/>
                    <a:ln w="9525">
                      <a:noFill/>
                    </a:ln>
                  </pic:spPr>
                </pic:pic>
              </a:graphicData>
            </a:graphic>
          </wp:anchor>
        </w:drawing>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4.4万元，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主要用于执行公务、开展业务活动开支的交通费、住宿费、用餐费等。国内公务接待89批次，422人次（不包括陪同人员），共计支出4.4万元，其中：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4.4</w:t>
      </w:r>
      <w:r>
        <w:rPr>
          <w:rFonts w:hint="eastAsia" w:ascii="仿宋_GB2312" w:eastAsia="仿宋_GB2312"/>
          <w:color w:val="000000"/>
          <w:sz w:val="32"/>
          <w:szCs w:val="32"/>
        </w:rPr>
        <w:t>万元，具体内容包括：201</w:t>
      </w:r>
      <w:r>
        <w:rPr>
          <w:rFonts w:ascii="仿宋_GB2312" w:eastAsia="仿宋_GB2312"/>
          <w:color w:val="000000"/>
          <w:sz w:val="32"/>
          <w:szCs w:val="32"/>
        </w:rPr>
        <w:t>8</w:t>
      </w:r>
      <w:r>
        <w:rPr>
          <w:rFonts w:hint="eastAsia" w:ascii="仿宋_GB2312" w:eastAsia="仿宋_GB2312"/>
          <w:color w:val="000000"/>
          <w:sz w:val="32"/>
          <w:szCs w:val="32"/>
        </w:rPr>
        <w:t>年学校安全检查、食品卫生检查指导、学校发展检查指导等3.5万元，用于接待指导我校教师业务能力培训、对学生能力检测等接待费用0.9万元。</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8年“三公”经费财政拨款支出决算中公务接待费支出决算4.4万元，占100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r>
        <w:rPr>
          <w:rFonts w:ascii="宋体" w:hAnsi="宋体" w:cs="宋体"/>
          <w:kern w:val="0"/>
          <w:szCs w:val="22"/>
        </w:rPr>
        <w:drawing>
          <wp:anchor distT="0" distB="0" distL="114300" distR="114300" simplePos="0" relativeHeight="251663360" behindDoc="1" locked="0" layoutInCell="1" allowOverlap="1">
            <wp:simplePos x="0" y="0"/>
            <wp:positionH relativeFrom="margin">
              <wp:align>left</wp:align>
            </wp:positionH>
            <wp:positionV relativeFrom="paragraph">
              <wp:posOffset>381000</wp:posOffset>
            </wp:positionV>
            <wp:extent cx="4620895" cy="1613535"/>
            <wp:effectExtent l="0" t="0" r="8255" b="5715"/>
            <wp:wrapSquare wrapText="bothSides"/>
            <wp:docPr id="12" name="图片 1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613535"/>
                    </a:xfrm>
                    <a:prstGeom prst="rect">
                      <a:avLst/>
                    </a:prstGeom>
                    <a:noFill/>
                    <a:ln w="9525">
                      <a:noFill/>
                    </a:ln>
                  </pic:spPr>
                </pic:pic>
              </a:graphicData>
            </a:graphic>
          </wp:anchor>
        </w:drawing>
      </w:r>
      <w:r>
        <w:rPr>
          <w:rFonts w:ascii="宋体" w:hAnsi="宋体" w:cs="宋体"/>
          <w:kern w:val="0"/>
          <w:sz w:val="24"/>
        </w:rPr>
        <w:drawing>
          <wp:anchor distT="0" distB="0" distL="114300" distR="114300" simplePos="0" relativeHeight="251662336" behindDoc="0" locked="0" layoutInCell="1" allowOverlap="1">
            <wp:simplePos x="0" y="0"/>
            <wp:positionH relativeFrom="margin">
              <wp:posOffset>283845</wp:posOffset>
            </wp:positionH>
            <wp:positionV relativeFrom="paragraph">
              <wp:posOffset>381000</wp:posOffset>
            </wp:positionV>
            <wp:extent cx="4620895" cy="1877060"/>
            <wp:effectExtent l="0" t="0" r="8255" b="8890"/>
            <wp:wrapSquare wrapText="bothSides"/>
            <wp:docPr id="13" name="图片 13"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877060"/>
                    </a:xfrm>
                    <a:prstGeom prst="rect">
                      <a:avLst/>
                    </a:prstGeom>
                    <a:noFill/>
                    <a:ln w="9525">
                      <a:noFill/>
                    </a:ln>
                  </pic:spPr>
                </pic:pic>
              </a:graphicData>
            </a:graphic>
          </wp:anchor>
        </w:drawing>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4.4万元，</w:t>
      </w:r>
      <w:r>
        <w:rPr>
          <w:rFonts w:hint="eastAsia" w:ascii="仿宋" w:hAnsi="仿宋" w:eastAsia="仿宋"/>
          <w:b/>
          <w:bCs/>
          <w:color w:val="000000"/>
          <w:sz w:val="32"/>
          <w:szCs w:val="32"/>
        </w:rPr>
        <w:t>完成预算100</w:t>
      </w:r>
      <w:r>
        <w:rPr>
          <w:rFonts w:ascii="仿宋" w:hAnsi="仿宋" w:eastAsia="仿宋"/>
          <w:b/>
          <w:bCs/>
          <w:color w:val="000000"/>
          <w:sz w:val="32"/>
          <w:szCs w:val="32"/>
        </w:rPr>
        <w:t>%</w:t>
      </w:r>
      <w:r>
        <w:rPr>
          <w:rFonts w:hint="eastAsia" w:ascii="仿宋" w:hAnsi="仿宋" w:eastAsia="仿宋"/>
          <w:b/>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主要用于执行公务、开展业务活动开支的交通费、住宿费、用餐费等。国内公务接待89批次，422人次（不包括陪同人员），共计支出4.4万元，其中：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4.4</w:t>
      </w:r>
      <w:r>
        <w:rPr>
          <w:rFonts w:hint="eastAsia" w:ascii="仿宋_GB2312" w:eastAsia="仿宋_GB2312"/>
          <w:color w:val="000000"/>
          <w:sz w:val="32"/>
          <w:szCs w:val="32"/>
        </w:rPr>
        <w:t>万元，具体内容包括：201</w:t>
      </w:r>
      <w:r>
        <w:rPr>
          <w:rFonts w:ascii="仿宋_GB2312" w:eastAsia="仿宋_GB2312"/>
          <w:color w:val="000000"/>
          <w:sz w:val="32"/>
          <w:szCs w:val="32"/>
        </w:rPr>
        <w:t>8</w:t>
      </w:r>
      <w:r>
        <w:rPr>
          <w:rFonts w:hint="eastAsia" w:ascii="仿宋_GB2312" w:eastAsia="仿宋_GB2312"/>
          <w:color w:val="000000"/>
          <w:sz w:val="32"/>
          <w:szCs w:val="32"/>
        </w:rPr>
        <w:t>年学校安全检查、食品卫生检查指导、学校发展检查指导等3.5万元，用于接待指导我校教师业务能力培训、对学生能力检测等接待费用0.9万元。</w:t>
      </w:r>
    </w:p>
    <w:p>
      <w:pPr>
        <w:spacing w:line="600" w:lineRule="exact"/>
        <w:ind w:firstLine="640"/>
        <w:rPr>
          <w:rFonts w:ascii="仿宋" w:hAnsi="仿宋" w:eastAsia="仿宋"/>
          <w:color w:val="000000"/>
          <w:sz w:val="32"/>
          <w:szCs w:val="32"/>
        </w:rPr>
      </w:pPr>
      <w:r>
        <w:rPr>
          <w:rFonts w:ascii="宋体" w:hAnsi="宋体" w:cs="宋体"/>
          <w:kern w:val="0"/>
          <w:sz w:val="24"/>
        </w:rPr>
        <w:drawing>
          <wp:anchor distT="0" distB="0" distL="114300" distR="114300" simplePos="0" relativeHeight="251655168" behindDoc="0" locked="0" layoutInCell="1" allowOverlap="1">
            <wp:simplePos x="0" y="0"/>
            <wp:positionH relativeFrom="margin">
              <wp:posOffset>283845</wp:posOffset>
            </wp:positionH>
            <wp:positionV relativeFrom="paragraph">
              <wp:posOffset>381000</wp:posOffset>
            </wp:positionV>
            <wp:extent cx="4620895" cy="1877060"/>
            <wp:effectExtent l="0" t="0" r="8255" b="8890"/>
            <wp:wrapSquare wrapText="bothSides"/>
            <wp:docPr id="9" name="图片 9"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877060"/>
                    </a:xfrm>
                    <a:prstGeom prst="rect">
                      <a:avLst/>
                    </a:prstGeom>
                    <a:noFill/>
                    <a:ln w="9525">
                      <a:noFill/>
                    </a:ln>
                  </pic:spPr>
                </pic:pic>
              </a:graphicData>
            </a:graphic>
          </wp:anchor>
        </w:drawing>
      </w:r>
      <w:r>
        <w:rPr>
          <w:rFonts w:ascii="宋体" w:hAnsi="宋体" w:cs="宋体"/>
          <w:kern w:val="0"/>
          <w:szCs w:val="22"/>
        </w:rPr>
        <w:drawing>
          <wp:anchor distT="0" distB="0" distL="114300" distR="114300" simplePos="0" relativeHeight="251657216" behindDoc="1" locked="0" layoutInCell="1" allowOverlap="1">
            <wp:simplePos x="0" y="0"/>
            <wp:positionH relativeFrom="margin">
              <wp:align>left</wp:align>
            </wp:positionH>
            <wp:positionV relativeFrom="paragraph">
              <wp:posOffset>381000</wp:posOffset>
            </wp:positionV>
            <wp:extent cx="4620895" cy="1613535"/>
            <wp:effectExtent l="0" t="0" r="8255" b="5715"/>
            <wp:wrapSquare wrapText="bothSides"/>
            <wp:docPr id="7" name="图片 7"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4620895" cy="1613535"/>
                    </a:xfrm>
                    <a:prstGeom prst="rect">
                      <a:avLst/>
                    </a:prstGeom>
                    <a:noFill/>
                    <a:ln w="9525">
                      <a:noFill/>
                    </a:ln>
                  </pic:spPr>
                </pic:pic>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4.4万元，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主要用于执行公务、开展业务活动开支的交通费、住宿费、用餐费等。国内公务接待89批次，422人次（不包括陪同人员），共计支出4.4万元，其中：</w:t>
      </w:r>
    </w:p>
    <w:p>
      <w:pPr>
        <w:spacing w:line="600" w:lineRule="exact"/>
        <w:ind w:firstLine="642" w:firstLineChars="200"/>
        <w:rPr>
          <w:rFonts w:hint="eastAsia" w:ascii="仿宋" w:hAnsi="仿宋" w:eastAsia="仿宋"/>
          <w:b/>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4.4</w:t>
      </w:r>
      <w:r>
        <w:rPr>
          <w:rFonts w:hint="eastAsia" w:ascii="仿宋_GB2312" w:eastAsia="仿宋_GB2312"/>
          <w:color w:val="000000"/>
          <w:sz w:val="32"/>
          <w:szCs w:val="32"/>
        </w:rPr>
        <w:t>万元，具体内容包括：201</w:t>
      </w:r>
      <w:r>
        <w:rPr>
          <w:rFonts w:ascii="仿宋_GB2312" w:eastAsia="仿宋_GB2312"/>
          <w:color w:val="000000"/>
          <w:sz w:val="32"/>
          <w:szCs w:val="32"/>
        </w:rPr>
        <w:t>8</w:t>
      </w:r>
      <w:r>
        <w:rPr>
          <w:rFonts w:hint="eastAsia" w:ascii="仿宋_GB2312" w:eastAsia="仿宋_GB2312"/>
          <w:color w:val="000000"/>
          <w:sz w:val="32"/>
          <w:szCs w:val="32"/>
        </w:rPr>
        <w:t>年学校安全检查、食品卫生检查指导、学校发展检查指导等3.5万元，用于接待指导我校教师业务能力培训、对学生能力检测等接待费用0.9万元。</w:t>
      </w:r>
    </w:p>
    <w:p>
      <w:pPr>
        <w:numPr>
          <w:ilvl w:val="0"/>
          <w:numId w:val="3"/>
        </w:numPr>
        <w:spacing w:line="600" w:lineRule="exact"/>
        <w:ind w:firstLine="640" w:firstLineChars="200"/>
        <w:outlineLvl w:val="1"/>
        <w:rPr>
          <w:rStyle w:val="25"/>
          <w:rFonts w:ascii="黑体" w:hAnsi="黑体" w:eastAsia="黑体"/>
          <w:b w:val="0"/>
        </w:rPr>
      </w:pPr>
      <w:bookmarkStart w:id="46" w:name="_Toc15396610"/>
      <w:bookmarkStart w:id="47" w:name="_Toc15377218"/>
      <w:r>
        <w:rPr>
          <w:rStyle w:val="25"/>
          <w:rFonts w:hint="eastAsia" w:ascii="黑体" w:hAnsi="黑体" w:eastAsia="黑体"/>
          <w:b w:val="0"/>
        </w:rPr>
        <w:t>政府性基金预算支出决算情况说明</w:t>
      </w:r>
      <w:bookmarkEnd w:id="46"/>
      <w:bookmarkEnd w:id="47"/>
    </w:p>
    <w:p>
      <w:pPr>
        <w:spacing w:line="600" w:lineRule="exact"/>
        <w:outlineLvl w:val="1"/>
        <w:rPr>
          <w:rStyle w:val="25"/>
          <w:rFonts w:ascii="黑体" w:hAnsi="黑体" w:eastAsia="黑体"/>
          <w:b w:val="0"/>
        </w:rPr>
      </w:pPr>
      <w:r>
        <w:rPr>
          <w:rStyle w:val="25"/>
          <w:rFonts w:hint="eastAsia" w:ascii="黑体" w:hAnsi="黑体" w:eastAsia="黑体"/>
          <w:b w:val="0"/>
        </w:rPr>
        <w:t xml:space="preserve">    无</w:t>
      </w:r>
    </w:p>
    <w:p>
      <w:pPr>
        <w:numPr>
          <w:ilvl w:val="0"/>
          <w:numId w:val="4"/>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5"/>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6"/>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本部门按要求对2018年部门整体支出开展绩效自评，从评价情况来看各部门工作井然有序,教学工作成绩显著。</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spacing w:line="580" w:lineRule="exact"/>
        <w:ind w:firstLine="481" w:firstLineChars="15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“义教贫困寄宿生生活补助”、“均衡发展补助资金”、3个项目绩效目标实际完成情况。</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义教学生营养改善计划金项目绩效目标完成情况综述。项目全年预算数114.21万元，执行数为114.21万元，完成预算的100%。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义教贫困寄宿生生活补助项目绩效目标完成情况综述。项目全年预算数118.81万元，执行数为118.81万元，完成预算的100%。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均衡发展补助资金项目绩效目标完成情况综述。项目全年预算数6万元，执行数为6万元，完成预算的100%。</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宣汉县樊哙中学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6"/>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本部门按要求对2018年部门整体支出绩效评价情况开展自评，《宣汉县樊哙中学2018年部门整体支出绩效评价报告》见附件。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Fonts w:ascii="仿宋" w:hAnsi="仿宋" w:eastAsia="仿宋"/>
          <w:color w:val="000000"/>
          <w:sz w:val="32"/>
          <w:szCs w:val="32"/>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bookmarkEnd w:id="52"/>
    <w:p>
      <w:pPr>
        <w:numPr>
          <w:ilvl w:val="0"/>
          <w:numId w:val="8"/>
        </w:numPr>
        <w:spacing w:line="600" w:lineRule="exact"/>
        <w:ind w:firstLine="662" w:firstLineChars="150"/>
        <w:jc w:val="center"/>
        <w:outlineLvl w:val="0"/>
        <w:rPr>
          <w:rStyle w:val="24"/>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center"/>
        <w:outlineLvl w:val="0"/>
        <w:rPr>
          <w:rStyle w:val="24"/>
        </w:rPr>
      </w:pPr>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宣汉县樊哙中学2018年部门整体支出绩效评价报告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宣汉县樊哙中学是一所单设初中学校,主管部门为宣汉县教育科技局。</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宣汉县樊哙中学的基本职能和主要工作是：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宣汉县樊哙中学是所单设初中学校。学校核编77人，现有在岗职工84人，其中在职职工72人，特岗教师12人，遗属1人。</w:t>
      </w:r>
    </w:p>
    <w:p>
      <w:pPr>
        <w:spacing w:line="580" w:lineRule="exact"/>
        <w:ind w:left="420" w:left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2018年收入合计1353.82万元，全部为一般公共预算财政拨款收入。</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2018年一般公共预算财政拨款支出1353.82万元，主要用于以下方面:教育支出1148.22万元，社会保障和就业支出100.54万元，医疗卫生与计划生育支出37.75万元，住房保障支出67.31万元。</w:t>
      </w:r>
    </w:p>
    <w:p>
      <w:pPr>
        <w:spacing w:line="580" w:lineRule="exact"/>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bookmarkStart w:id="59" w:name="_Toc15396617"/>
      <w:r>
        <w:rPr>
          <w:rFonts w:hint="eastAsia" w:ascii="仿宋_GB2312" w:hAnsi="Calibri" w:eastAsia="仿宋_GB2312" w:cs="仿宋"/>
          <w:color w:val="000000"/>
          <w:kern w:val="0"/>
          <w:sz w:val="32"/>
          <w:szCs w:val="32"/>
        </w:rPr>
        <w:t>2018年度宣汉县樊哙中学履职效益情况良好，认真遵守各项财务规章制度，严格执行各项支出审批程序，确保专款专用，无截留、挤占或挪用现象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4" w:name="_GoBack"/>
      <w:bookmarkEnd w:id="74"/>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D20CE"/>
    <w:multiLevelType w:val="singleLevel"/>
    <w:tmpl w:val="9BCD20CE"/>
    <w:lvl w:ilvl="0" w:tentative="0">
      <w:start w:val="8"/>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9856D1"/>
    <w:multiLevelType w:val="singleLevel"/>
    <w:tmpl w:val="DE9856D1"/>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58DFACD0"/>
    <w:multiLevelType w:val="singleLevel"/>
    <w:tmpl w:val="58DFACD0"/>
    <w:lvl w:ilvl="0" w:tentative="0">
      <w:start w:val="1"/>
      <w:numFmt w:val="decimal"/>
      <w:lvlText w:val="%1."/>
      <w:lvlJc w:val="left"/>
      <w:pPr>
        <w:tabs>
          <w:tab w:val="left" w:pos="312"/>
        </w:tabs>
      </w:pPr>
    </w:lvl>
  </w:abstractNum>
  <w:num w:numId="1">
    <w:abstractNumId w:val="6"/>
  </w:num>
  <w:num w:numId="2">
    <w:abstractNumId w:val="8"/>
  </w:num>
  <w:num w:numId="3">
    <w:abstractNumId w:val="0"/>
  </w:num>
  <w:num w:numId="4">
    <w:abstractNumId w:val="2"/>
  </w:num>
  <w:num w:numId="5">
    <w:abstractNumId w:val="7"/>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1A20"/>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3B01"/>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44B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147DF"/>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05152C"/>
    <w:rsid w:val="04F54A5B"/>
    <w:rsid w:val="10C055FF"/>
    <w:rsid w:val="16BB723D"/>
    <w:rsid w:val="240371BF"/>
    <w:rsid w:val="29FD04D3"/>
    <w:rsid w:val="2FDBF627"/>
    <w:rsid w:val="31650E11"/>
    <w:rsid w:val="319F7F4E"/>
    <w:rsid w:val="49EE3A87"/>
    <w:rsid w:val="513030DB"/>
    <w:rsid w:val="611004D3"/>
    <w:rsid w:val="73D068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0" i="0" u="none" strike="noStrike" kern="1200" spc="0" baseline="0">
                <a:solidFill>
                  <a:sysClr val="windowText" lastClr="000000">
                    <a:lumMod val="65000"/>
                    <a:lumOff val="35000"/>
                  </a:sysClr>
                </a:solidFill>
                <a:latin typeface="+mn-lt"/>
                <a:ea typeface="+mn-ea"/>
                <a:cs typeface="+mn-cs"/>
              </a:defRPr>
            </a:pPr>
            <a:r>
              <a:rPr lang="zh-CN" altLang="zh-CN" sz="1400" b="0" i="0" u="none" strike="noStrike" baseline="0">
                <a:effectLst/>
              </a:rPr>
              <a:t>收、支决算总</a:t>
            </a:r>
            <a:r>
              <a:rPr lang="zh-CN" altLang="en-US" sz="1400" b="0" i="0" u="none" strike="noStrike" baseline="0">
                <a:effectLst/>
              </a:rPr>
              <a:t>体</a:t>
            </a:r>
            <a:r>
              <a:rPr lang="zh-CN" altLang="zh-CN" sz="1400" b="0" i="0" u="none" strike="noStrike" baseline="0">
                <a:effectLst/>
              </a:rPr>
              <a:t>变动情况图</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solidFill>
              <a:srgbClr val="4F81B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trendline>
            <c:spPr>
              <a:ln w="19050" cap="rnd">
                <a:solidFill>
                  <a:srgbClr val="4F81BD"/>
                </a:solidFill>
                <a:prstDash val="sysDot"/>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1353.82</c:v>
                </c:pt>
                <c:pt idx="1">
                  <c:v>1353.82</c:v>
                </c:pt>
              </c:numCache>
            </c:numRef>
          </c:val>
        </c:ser>
        <c:ser>
          <c:idx val="1"/>
          <c:order val="1"/>
          <c:tx>
            <c:strRef>
              <c:f>Sheet1!$C$1</c:f>
              <c:strCache>
                <c:ptCount val="1"/>
                <c:pt idx="0">
                  <c:v>2018年</c:v>
                </c:pt>
              </c:strCache>
            </c:strRef>
          </c:tx>
          <c:spPr>
            <a:solidFill>
              <a:srgbClr val="C0504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1302.77</c:v>
                </c:pt>
                <c:pt idx="1">
                  <c:v>1302.77</c:v>
                </c:pt>
              </c:numCache>
            </c:numRef>
          </c:val>
        </c:ser>
        <c:dLbls>
          <c:showLegendKey val="false"/>
          <c:showVal val="true"/>
          <c:showCatName val="false"/>
          <c:showSerName val="false"/>
          <c:showPercent val="false"/>
          <c:showBubbleSize val="false"/>
        </c:dLbls>
        <c:gapWidth val="219"/>
        <c:overlap val="-27"/>
        <c:axId val="372912400"/>
        <c:axId val="372914640"/>
      </c:barChart>
      <c:catAx>
        <c:axId val="372912400"/>
        <c:scaling>
          <c:orientation val="minMax"/>
        </c:scaling>
        <c:delete val="false"/>
        <c:axPos val="b"/>
        <c:numFmt formatCode="General" sourceLinked="true"/>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372914640"/>
        <c:crosses val="autoZero"/>
        <c:auto val="true"/>
        <c:lblAlgn val="ctr"/>
        <c:lblOffset val="100"/>
        <c:noMultiLvlLbl val="false"/>
      </c:catAx>
      <c:valAx>
        <c:axId val="372914640"/>
        <c:scaling>
          <c:orientation val="minMax"/>
          <c:min val="0"/>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372912400"/>
        <c:crosses val="autoZero"/>
        <c:crossBetween val="between"/>
        <c:majorUnit val="100"/>
      </c:valAx>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800" b="1" i="0" u="none" strike="noStrike" kern="1200" baseline="0">
                <a:solidFill>
                  <a:sysClr val="windowText" lastClr="000000">
                    <a:lumMod val="75000"/>
                    <a:lumOff val="25000"/>
                  </a:sysClr>
                </a:solidFill>
                <a:latin typeface="+mn-lt"/>
                <a:ea typeface="+mn-ea"/>
                <a:cs typeface="+mn-cs"/>
              </a:defRPr>
            </a:pPr>
            <a:r>
              <a:rPr lang="zh-CN"/>
              <a:t>收入决算结构图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c:explosion val="0"/>
          <c:dPt>
            <c:idx val="0"/>
            <c:bubble3D val="false"/>
            <c:explosion val="2"/>
            <c:spPr>
              <a:solidFill>
                <a:srgbClr val="4F81BD"/>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b254ec27-5a85-4941-a209-5bb3c44e630d}"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ysClr val="window" lastClr="FFFFFF"/>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ysClr val="windowText" lastClr="000000">
                          <a:lumMod val="50000"/>
                          <a:lumOff val="50000"/>
                        </a:sysClr>
                      </a:solidFill>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ysClr val="window" lastClr="FFFFFF">
            <a:lumMod val="95000"/>
            <a:alpha val="39000"/>
          </a:sysClr>
        </a:solid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legend>
    <c:plotVisOnly val="true"/>
    <c:dispBlanksAs val="gap"/>
    <c:showDLblsOverMax val="false"/>
  </c:chart>
  <c: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800" b="1" i="0" u="none" strike="noStrike" kern="1200" baseline="0">
                <a:solidFill>
                  <a:sysClr val="windowText" lastClr="000000">
                    <a:lumMod val="75000"/>
                    <a:lumOff val="25000"/>
                  </a:sysClr>
                </a:solidFill>
                <a:latin typeface="+mn-lt"/>
                <a:ea typeface="+mn-ea"/>
                <a:cs typeface="+mn-cs"/>
              </a:defRPr>
            </a:pPr>
            <a:r>
              <a:rPr lang="zh-CN"/>
              <a:t>支出决算结构图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支出决算</c:v>
                </c:pt>
              </c:strCache>
            </c:strRef>
          </c:tx>
          <c:spPr/>
          <c:explosion val="19"/>
          <c:dPt>
            <c:idx val="0"/>
            <c:bubble3D val="false"/>
            <c:explosion val="0"/>
            <c:spPr>
              <a:solidFill>
                <a:srgbClr val="4F81BD"/>
              </a:solidFill>
              <a:ln>
                <a:noFill/>
              </a:ln>
              <a:effectLst>
                <a:outerShdw blurRad="254000" sx="102000" sy="102000" algn="ctr" rotWithShape="0">
                  <a:prstClr val="black">
                    <a:alpha val="20000"/>
                  </a:prstClr>
                </a:outerShdw>
              </a:effectLst>
            </c:spPr>
          </c:dPt>
          <c:dPt>
            <c:idx val="1"/>
            <c:bubble3D val="false"/>
            <c:spPr>
              <a:solidFill>
                <a:srgbClr val="C0504D"/>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cbd3412d-ac11-483b-bf8a-be8f7e39deb9}"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fld id="{39feb443-bbeb-4b5b-a39f-f738008b822f}"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ysClr val="window" lastClr="FFFFFF"/>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ysClr val="windowText" lastClr="000000">
                          <a:lumMod val="50000"/>
                          <a:lumOff val="50000"/>
                        </a:sys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0.8198</c:v>
                </c:pt>
                <c:pt idx="1">
                  <c:v>0.1802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ysClr val="window" lastClr="FFFFFF">
            <a:lumMod val="95000"/>
            <a:alpha val="39000"/>
          </a:sysClr>
        </a:solid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legend>
    <c:plotVisOnly val="true"/>
    <c:dispBlanksAs val="gap"/>
    <c:showDLblsOverMax val="false"/>
  </c:chart>
  <c: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600" b="1" i="0" u="none" strike="noStrike" kern="1200" cap="all" spc="120" normalizeH="0" baseline="0">
                <a:solidFill>
                  <a:sysClr val="windowText" lastClr="000000">
                    <a:lumMod val="65000"/>
                    <a:lumOff val="35000"/>
                  </a:sysClr>
                </a:solidFill>
                <a:latin typeface="+mn-lt"/>
                <a:ea typeface="+mn-ea"/>
                <a:cs typeface="+mn-cs"/>
              </a:defRPr>
            </a:pPr>
            <a:r>
              <a:rPr lang="zh-CN" altLang="en-US"/>
              <a:t>图</a:t>
            </a:r>
            <a:r>
              <a:rPr lang="en-US" altLang="zh-CN"/>
              <a:t>4</a:t>
            </a:r>
            <a:r>
              <a:rPr lang="zh-CN" altLang="en-US"/>
              <a:t>：</a:t>
            </a:r>
            <a:r>
              <a:rPr lang="zh-CN"/>
              <a:t>财政拨款收、支决算总计变动情况</a:t>
            </a:r>
            <a:endParaRPr 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2017年</c:v>
                </c:pt>
              </c:strCache>
            </c:strRef>
          </c:tx>
          <c:spPr>
            <a:solidFill>
              <a:srgbClr val="4F81BD"/>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ysClr val="windowText" lastClr="000000">
                        <a:lumMod val="50000"/>
                        <a:lumOff val="50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ysClr val="windowText" lastClr="000000">
                          <a:lumMod val="35000"/>
                          <a:lumOff val="65000"/>
                        </a:sysClr>
                      </a:solidFill>
                    </a:ln>
                    <a:effectLst/>
                  </c:spPr>
                </c15:leaderLines>
              </c:ext>
            </c:extLst>
          </c:dLbls>
          <c:trendline>
            <c:spPr>
              <a:ln w="19050" cap="rnd">
                <a:solidFill>
                  <a:srgbClr val="4F81BD"/>
                </a:solidFill>
                <a:prstDash val="sysDash"/>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1302.77</c:v>
                </c:pt>
                <c:pt idx="1">
                  <c:v>1302.77</c:v>
                </c:pt>
              </c:numCache>
            </c:numRef>
          </c:val>
        </c:ser>
        <c:ser>
          <c:idx val="1"/>
          <c:order val="1"/>
          <c:tx>
            <c:strRef>
              <c:f>Sheet1!$C$1</c:f>
              <c:strCache>
                <c:ptCount val="1"/>
                <c:pt idx="0">
                  <c:v>2018年</c:v>
                </c:pt>
              </c:strCache>
            </c:strRef>
          </c:tx>
          <c:spPr>
            <a:solidFill>
              <a:srgbClr val="C0504D"/>
            </a:solidFill>
            <a:ln>
              <a:noFill/>
            </a:ln>
            <a:effectLst/>
          </c:spPr>
          <c:invertIfNegative val="false"/>
          <c:dLbls>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ysClr val="windowText" lastClr="000000">
                        <a:lumMod val="50000"/>
                        <a:lumOff val="50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ysClr val="windowText" lastClr="000000">
                          <a:lumMod val="35000"/>
                          <a:lumOff val="65000"/>
                        </a:sys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1353.82</c:v>
                </c:pt>
                <c:pt idx="1">
                  <c:v>1353.82</c:v>
                </c:pt>
              </c:numCache>
            </c:numRef>
          </c:val>
        </c:ser>
        <c:dLbls>
          <c:showLegendKey val="false"/>
          <c:showVal val="true"/>
          <c:showCatName val="false"/>
          <c:showSerName val="false"/>
          <c:showPercent val="false"/>
          <c:showBubbleSize val="false"/>
        </c:dLbls>
        <c:gapWidth val="444"/>
        <c:overlap val="-90"/>
        <c:axId val="588334416"/>
        <c:axId val="588334976"/>
      </c:barChart>
      <c:catAx>
        <c:axId val="588334416"/>
        <c:scaling>
          <c:orientation val="minMax"/>
        </c:scaling>
        <c:delete val="false"/>
        <c:axPos val="b"/>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true"/>
          <a:lstStyle/>
          <a:p>
            <a:pPr>
              <a:defRPr lang="zh-CN" sz="800" b="0" i="0" u="none" strike="noStrike" kern="1200" cap="all" spc="120" normalizeH="0" baseline="0">
                <a:solidFill>
                  <a:sysClr val="windowText" lastClr="000000">
                    <a:lumMod val="65000"/>
                    <a:lumOff val="35000"/>
                  </a:sysClr>
                </a:solidFill>
                <a:latin typeface="+mn-lt"/>
                <a:ea typeface="+mn-ea"/>
                <a:cs typeface="+mn-cs"/>
              </a:defRPr>
            </a:pPr>
          </a:p>
        </c:txPr>
        <c:crossAx val="588334976"/>
        <c:crosses val="autoZero"/>
        <c:auto val="true"/>
        <c:lblAlgn val="ctr"/>
        <c:lblOffset val="100"/>
        <c:noMultiLvlLbl val="false"/>
      </c:catAx>
      <c:valAx>
        <c:axId val="588334976"/>
        <c:scaling>
          <c:orientation val="minMax"/>
          <c:min val="100"/>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588334416"/>
        <c:crosses val="autoZero"/>
        <c:crossBetween val="between"/>
      </c:valAx>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54639820669729"/>
          <c:y val="0.0961538461538462"/>
          <c:w val="0.816590727257563"/>
          <c:h val="0.617266807995154"/>
        </c:manualLayout>
      </c:layout>
      <c:barChart>
        <c:barDir val="col"/>
        <c:grouping val="clustered"/>
        <c:varyColors val="false"/>
        <c:ser>
          <c:idx val="0"/>
          <c:order val="0"/>
          <c:tx>
            <c:strRef>
              <c:f>Sheet1!$B$1</c:f>
              <c:strCache>
                <c:ptCount val="1"/>
                <c:pt idx="0">
                  <c:v>2018年</c:v>
                </c:pt>
              </c:strCache>
            </c:strRef>
          </c:tx>
          <c:spPr>
            <a:solidFill>
              <a:srgbClr val="4F81B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1383.82</c:v>
                </c:pt>
              </c:numCache>
            </c:numRef>
          </c:val>
        </c:ser>
        <c:ser>
          <c:idx val="1"/>
          <c:order val="1"/>
          <c:tx>
            <c:strRef>
              <c:f>Sheet1!$C$1</c:f>
              <c:strCache>
                <c:ptCount val="1"/>
                <c:pt idx="0">
                  <c:v>2017年</c:v>
                </c:pt>
              </c:strCache>
            </c:strRef>
          </c:tx>
          <c:spPr>
            <a:solidFill>
              <a:srgbClr val="C0504D"/>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1302.77</c:v>
                </c:pt>
              </c:numCache>
            </c:numRef>
          </c:val>
        </c:ser>
        <c:dLbls>
          <c:showLegendKey val="false"/>
          <c:showVal val="true"/>
          <c:showCatName val="false"/>
          <c:showSerName val="false"/>
          <c:showPercent val="false"/>
          <c:showBubbleSize val="false"/>
        </c:dLbls>
        <c:gapWidth val="219"/>
        <c:overlap val="-27"/>
        <c:axId val="588337776"/>
        <c:axId val="425019760"/>
      </c:barChart>
      <c:catAx>
        <c:axId val="588337776"/>
        <c:scaling>
          <c:orientation val="minMax"/>
        </c:scaling>
        <c:delete val="false"/>
        <c:axPos val="b"/>
        <c:numFmt formatCode="General" sourceLinked="true"/>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425019760"/>
        <c:crosses val="autoZero"/>
        <c:auto val="true"/>
        <c:lblAlgn val="ctr"/>
        <c:lblOffset val="100"/>
        <c:noMultiLvlLbl val="false"/>
      </c:catAx>
      <c:valAx>
        <c:axId val="425019760"/>
        <c:scaling>
          <c:orientation val="minMax"/>
          <c:min val="0"/>
        </c:scaling>
        <c:delete val="false"/>
        <c:axPos val="l"/>
        <c:majorGridlines>
          <c:spPr>
            <a:ln w="9525" cap="flat" cmpd="sng" algn="ctr">
              <a:solidFill>
                <a:sysClr val="windowText" lastClr="000000">
                  <a:lumMod val="15000"/>
                  <a:lumOff val="85000"/>
                </a:sys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crossAx val="588337776"/>
        <c:crosses val="autoZero"/>
        <c:crossBetween val="between"/>
      </c:valAx>
      <c:dTable>
        <c:showHorzBorder val="true"/>
        <c:showVertBorder val="true"/>
        <c:showOutline val="true"/>
        <c:showKeys val="true"/>
        <c:spPr>
          <a:noFill/>
          <a:ln w="9525" cap="flat" cmpd="sng" algn="ctr">
            <a:solidFill>
              <a:sysClr val="windowText" lastClr="000000">
                <a:lumMod val="15000"/>
                <a:lumOff val="85000"/>
              </a:sysClr>
            </a:solidFill>
            <a:round/>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dTable>
      <c:spPr>
        <a:noFill/>
        <a:ln>
          <a:noFill/>
        </a:ln>
        <a:effectLst/>
      </c:spPr>
    </c:plotArea>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600" b="1" i="0" u="none" strike="noStrike" kern="1200" baseline="0">
                <a:solidFill>
                  <a:sysClr val="windowText" lastClr="000000">
                    <a:lumMod val="65000"/>
                    <a:lumOff val="35000"/>
                  </a:sysClr>
                </a:solidFill>
                <a:latin typeface="+mn-lt"/>
                <a:ea typeface="+mn-ea"/>
                <a:cs typeface="+mn-cs"/>
              </a:defRPr>
            </a:pPr>
            <a:r>
              <a:rPr lang="zh-CN" altLang="en-US" sz="1600" b="1" i="0" u="none" strike="noStrike" baseline="0">
                <a:effectLst/>
              </a:rPr>
              <a:t>图六：</a:t>
            </a:r>
            <a:r>
              <a:rPr lang="zh-CN" altLang="zh-CN" sz="1600" b="1" i="0" u="none" strike="noStrike" baseline="0">
                <a:effectLst/>
              </a:rPr>
              <a:t>一般公共预算财政拨款支出决算结构</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支出情况</c:v>
                </c:pt>
              </c:strCache>
            </c:strRef>
          </c:tx>
          <c:spPr/>
          <c:explosion val="0"/>
          <c:dPt>
            <c:idx val="0"/>
            <c:bubble3D val="false"/>
            <c:spPr>
              <a:gradFill rotWithShape="true">
                <a:gsLst>
                  <a:gs pos="0">
                    <a:srgbClr val="4F81BD">
                      <a:shade val="51000"/>
                      <a:satMod val="130000"/>
                    </a:srgbClr>
                  </a:gs>
                  <a:gs pos="80000">
                    <a:srgbClr val="4F81BD">
                      <a:shade val="93000"/>
                      <a:satMod val="130000"/>
                    </a:srgbClr>
                  </a:gs>
                  <a:gs pos="100000">
                    <a:srgbClr val="4F81BD">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false"/>
            <c:spPr>
              <a:gradFill rotWithShape="true">
                <a:gsLst>
                  <a:gs pos="0">
                    <a:srgbClr val="C0504D">
                      <a:shade val="51000"/>
                      <a:satMod val="130000"/>
                    </a:srgbClr>
                  </a:gs>
                  <a:gs pos="80000">
                    <a:srgbClr val="C0504D">
                      <a:shade val="93000"/>
                      <a:satMod val="130000"/>
                    </a:srgbClr>
                  </a:gs>
                  <a:gs pos="100000">
                    <a:srgbClr val="C0504D">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false"/>
            <c:spPr>
              <a:gradFill rotWithShape="true">
                <a:gsLst>
                  <a:gs pos="0">
                    <a:srgbClr val="9BBB59">
                      <a:shade val="51000"/>
                      <a:satMod val="130000"/>
                    </a:srgbClr>
                  </a:gs>
                  <a:gs pos="80000">
                    <a:srgbClr val="9BBB59">
                      <a:shade val="93000"/>
                      <a:satMod val="130000"/>
                    </a:srgbClr>
                  </a:gs>
                  <a:gs pos="100000">
                    <a:srgbClr val="9BBB59">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false"/>
            <c:spPr>
              <a:gradFill rotWithShape="true">
                <a:gsLst>
                  <a:gs pos="0">
                    <a:srgbClr val="8064A2">
                      <a:shade val="51000"/>
                      <a:satMod val="130000"/>
                    </a:srgbClr>
                  </a:gs>
                  <a:gs pos="80000">
                    <a:srgbClr val="8064A2">
                      <a:shade val="93000"/>
                      <a:satMod val="130000"/>
                    </a:srgbClr>
                  </a:gs>
                  <a:gs pos="100000">
                    <a:srgbClr val="8064A2">
                      <a:shade val="94000"/>
                      <a:satMod val="135000"/>
                    </a:srgbClr>
                  </a:gs>
                </a:gsLst>
                <a:lin ang="16200000" scaled="false"/>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elete val="true"/>
          </c:dLbls>
          <c:cat>
            <c:strRef>
              <c:f>Sheet1!$A$2:$A$5</c:f>
              <c:strCache>
                <c:ptCount val="4"/>
                <c:pt idx="0">
                  <c:v>教育支出</c:v>
                </c:pt>
                <c:pt idx="1">
                  <c:v>社会保障和就业</c:v>
                </c:pt>
                <c:pt idx="2">
                  <c:v>医疗卫生支出</c:v>
                </c:pt>
                <c:pt idx="3">
                  <c:v>住房保障支出</c:v>
                </c:pt>
              </c:strCache>
            </c:strRef>
          </c:cat>
          <c:val>
            <c:numRef>
              <c:f>Sheet1!$B$2:$B$5</c:f>
              <c:numCache>
                <c:formatCode>0.00%</c:formatCode>
                <c:ptCount val="4"/>
                <c:pt idx="0">
                  <c:v>0.8481</c:v>
                </c:pt>
                <c:pt idx="1">
                  <c:v>0.0743</c:v>
                </c:pt>
                <c:pt idx="2">
                  <c:v>0.0279</c:v>
                </c:pt>
                <c:pt idx="3">
                  <c:v>0.0497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ysClr val="windowText" lastClr="000000">
        <a:lumMod val="75000"/>
        <a:lumOff val="25000"/>
      </a:sysClr>
    </cs:fontRef>
    <cs:defRPr sz="900" b="1" kern="1200"/>
  </cs:axisTitle>
  <cs:categoryAxis>
    <cs:lnRef idx="0"/>
    <cs:fillRef idx="0"/>
    <cs:effectRef idx="0"/>
    <cs:fontRef idx="minor">
      <a:sysClr val="windowText" lastClr="000000">
        <a:lumMod val="75000"/>
        <a:lumOff val="25000"/>
      </a:sysClr>
    </cs:fontRef>
    <cs:spPr>
      <a:ln w="19050" cap="flat" cmpd="sng" algn="ctr">
        <a:solidFill>
          <a:sysClr val="windowText" lastClr="000000">
            <a:lumMod val="75000"/>
            <a:lumOff val="25000"/>
          </a:sysClr>
        </a:solidFill>
        <a:round/>
      </a:ln>
    </cs:spPr>
    <cs:defRPr sz="900" kern="1200" cap="all" baseline="0"/>
  </cs:categoryAxis>
  <cs:chartArea>
    <cs:lnRef idx="0"/>
    <cs:fillRef idx="0"/>
    <cs:effectRef idx="0"/>
    <cs:fontRef idx="minor">
      <a:sysClr val="windowText" lastClr="000000"/>
    </cs:fontRef>
    <cs: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cs:spPr>
    <cs:defRPr sz="900" kern="1200"/>
  </cs:chartArea>
  <cs:dataLabel>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ysClr val="windowText" lastClr="000000"/>
    </cs:fontRef>
    <cs:spPr>
      <a:ln w="31750" cap="rnd">
        <a:solidFill>
          <a:schemeClr val="phClr">
            <a:alpha val="85000"/>
          </a:schemeClr>
        </a:solidFill>
        <a:round/>
      </a:ln>
    </cs:spPr>
  </cs:dataPointLine>
  <cs:dataPointMarker>
    <cs:lnRef idx="0"/>
    <cs:fillRef idx="0">
      <cs:styleClr val="auto"/>
    </cs:fillRef>
    <cs:effectRef idx="0"/>
    <cs:fontRef idx="minor">
      <a:sysClr val="windowText" lastClr="000000"/>
    </cs:fontRef>
    <cs:spPr>
      <a:solidFill>
        <a:schemeClr val="phClr">
          <a:alpha val="85000"/>
        </a:scheme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75000"/>
        <a:lumOff val="25000"/>
      </a:sysClr>
    </cs:fontRef>
    <cs:spPr>
      <a:ln w="9525">
        <a:solidFill>
          <a:sysClr val="windowText" lastClr="000000">
            <a:lumMod val="35000"/>
            <a:lumOff val="65000"/>
          </a:sysClr>
        </a:solidFill>
      </a:ln>
    </cs:spPr>
    <cs:defRPr sz="900" kern="1200"/>
  </cs:dataTable>
  <cs:downBar>
    <cs:lnRef idx="0"/>
    <cs:fillRef idx="0"/>
    <cs:effectRef idx="0"/>
    <cs:fontRef idx="minor">
      <a:sysClr val="windowText" lastClr="000000"/>
    </cs:fontRef>
    <cs:spPr>
      <a:solidFill>
        <a:sysClr val="windowText" lastClr="000000">
          <a:lumMod val="50000"/>
          <a:lumOff val="50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100000">
              <a:sysClr val="windowText" lastClr="000000">
                <a:lumMod val="95000"/>
                <a:lumOff val="5000"/>
                <a:alpha val="42000"/>
              </a:sysClr>
            </a:gs>
            <a:gs pos="0">
              <a:sysClr val="window" lastClr="FFFFFF">
                <a:lumMod val="75000"/>
                <a:alpha val="36000"/>
              </a:sysClr>
            </a:gs>
          </a:gsLst>
          <a:lin ang="5400000" scaled="false"/>
        </a:gradFill>
        <a:round/>
      </a:ln>
    </cs:spPr>
  </cs:gridlineMajor>
  <cs:gridlineMinor>
    <cs:lnRef idx="0"/>
    <cs:fillRef idx="0"/>
    <cs:effectRef idx="0"/>
    <cs:fontRef idx="minor">
      <a:sysClr val="windowText" lastClr="000000"/>
    </cs:fontRef>
    <cs:spPr>
      <a:ln>
        <a:gradFill>
          <a:gsLst>
            <a:gs pos="100000">
              <a:sysClr val="windowText" lastClr="000000">
                <a:lumMod val="95000"/>
                <a:lumOff val="5000"/>
                <a:alpha val="42000"/>
              </a:sysClr>
            </a:gs>
            <a:gs pos="0">
              <a:sysClr val="window" lastClr="FFFFFF">
                <a:lumMod val="75000"/>
                <a:alpha val="36000"/>
              </a:sysClr>
            </a:gs>
          </a:gsLst>
          <a:lin ang="5400000" scaled="false"/>
        </a:gradFill>
      </a:ln>
    </cs:spPr>
  </cs:gridlineMinor>
  <cs:hiLoLine>
    <cs:lnRef idx="0"/>
    <cs:fillRef idx="0"/>
    <cs:effectRef idx="0"/>
    <cs:fontRef idx="minor">
      <a:sysClr val="windowText" lastClr="000000"/>
    </cs:fontRef>
    <cs:spPr>
      <a:ln w="9525">
        <a:solidFill>
          <a:sysClr val="windowText" lastClr="000000">
            <a:lumMod val="35000"/>
            <a:lumOff val="65000"/>
          </a:sysClr>
        </a:solidFill>
        <a:prstDash val="dash"/>
      </a:ln>
    </cs:spPr>
  </cs:hiLoLine>
  <cs:leaderLine>
    <cs:lnRef idx="0"/>
    <cs:fillRef idx="0"/>
    <cs:effectRef idx="0"/>
    <cs:fontRef idx="minor">
      <a:sysClr val="windowText" lastClr="000000"/>
    </cs:fontRef>
    <cs:spPr>
      <a:ln w="9525">
        <a:solidFill>
          <a:sysClr val="windowText" lastClr="000000">
            <a:lumMod val="50000"/>
            <a:lumOff val="50000"/>
          </a:sysClr>
        </a:solidFill>
      </a:ln>
    </cs:spPr>
  </cs:leaderLine>
  <cs:legend>
    <cs:lnRef idx="0"/>
    <cs:fillRef idx="0"/>
    <cs:effectRef idx="0"/>
    <cs:fontRef idx="minor">
      <a:sysClr val="windowText" lastClr="000000">
        <a:lumMod val="75000"/>
        <a:lumOff val="25000"/>
      </a:sysClr>
    </cs:fontRef>
    <cs:spPr>
      <a:solidFill>
        <a:sysClr val="window" lastClr="FFFFFF">
          <a:lumMod val="95000"/>
          <a:alpha val="39000"/>
        </a:sysClr>
      </a:solidFill>
    </cs:spPr>
    <cs:defRPr sz="900" kern="1200"/>
  </cs:legend>
  <cs:plotArea>
    <cs:lnRef idx="0"/>
    <cs:fillRef idx="0"/>
    <cs:effectRef idx="0"/>
    <cs:fontRef idx="minor">
      <a:sysClr val="windowText" lastClr="000000"/>
    </cs:fontRef>
  </cs:plotArea>
  <cs:plotArea3D>
    <cs:lnRef idx="0"/>
    <cs:fillRef idx="0"/>
    <cs:effectRef idx="0"/>
    <cs:fontRef idx="minor">
      <a:sysClr val="windowText" lastClr="000000"/>
    </cs:fontRef>
  </cs:plotArea3D>
  <cs:seriesAxis>
    <cs:lnRef idx="0"/>
    <cs:fillRef idx="0"/>
    <cs:effectRef idx="0"/>
    <cs:fontRef idx="minor">
      <a:sysClr val="windowText" lastClr="000000">
        <a:lumMod val="75000"/>
        <a:lumOff val="25000"/>
      </a:sysClr>
    </cs:fontRef>
    <cs:spPr>
      <a:ln w="31750" cap="flat" cmpd="sng" algn="ctr">
        <a:solidFill>
          <a:sysClr val="windowText" lastClr="000000">
            <a:lumMod val="75000"/>
            <a:lumOff val="25000"/>
          </a:sysClr>
        </a:solidFill>
        <a:round/>
      </a:ln>
    </cs:spPr>
    <cs:defRPr sz="900" kern="1200"/>
  </cs:seriesAxis>
  <cs:seriesLine>
    <cs:lnRef idx="0"/>
    <cs:fillRef idx="0"/>
    <cs:effectRef idx="0"/>
    <cs:fontRef idx="minor">
      <a:sysClr val="windowText" lastClr="000000"/>
    </cs:fontRef>
    <cs:spPr>
      <a:ln w="9525">
        <a:solidFill>
          <a:sysClr val="windowText" lastClr="000000">
            <a:lumMod val="50000"/>
            <a:lumOff val="50000"/>
          </a:sysClr>
        </a:solidFill>
        <a:round/>
      </a:ln>
    </cs:spPr>
  </cs:seriesLine>
  <cs:title>
    <cs:lnRef idx="0"/>
    <cs:fillRef idx="0"/>
    <cs:effectRef idx="0"/>
    <cs:fontRef idx="minor">
      <a:sysClr val="windowText" lastClr="000000">
        <a:lumMod val="75000"/>
        <a:lumOff val="25000"/>
      </a:sysClr>
    </cs:fontRef>
    <cs:defRPr sz="1800" b="1" kern="120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75000"/>
        <a:lumOff val="2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75000"/>
        <a:lumOff val="25000"/>
      </a:sysClr>
    </cs:fontRef>
    <cs:spPr>
      <a:ln>
        <a:noFill/>
      </a:ln>
    </cs:spPr>
    <cs:defRPr sz="900" kern="1200"/>
  </cs:valueAxis>
  <cs:wall>
    <cs:lnRef idx="0"/>
    <cs:fillRef idx="0"/>
    <cs:effectRef idx="0"/>
    <cs:fontRef idx="minor">
      <a:sysClr val="windowText" lastClr="000000"/>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ysClr val="windowText" lastClr="000000">
        <a:lumMod val="65000"/>
        <a:lumOff val="35000"/>
      </a:sysClr>
    </cs:fontRef>
    <cs:defRPr sz="900" kern="1200"/>
  </cs:axisTitle>
  <cs:category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rgbClr val="1F497D"/>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ysClr val="windowText" lastClr="000000"/>
    </cs:fontRef>
  </cs:dataPoint>
  <cs:dataPoint3D>
    <cs:lnRef idx="0"/>
    <cs:fillRef idx="3">
      <cs:styleClr val="auto"/>
    </cs:fillRef>
    <cs:effectRef idx="3"/>
    <cs:fontRef idx="minor">
      <a:sysClr val="windowText" lastClr="000000"/>
    </cs:fontRef>
  </cs:dataPoint3D>
  <cs:dataPointLine>
    <cs:lnRef idx="0">
      <cs:styleClr val="auto"/>
    </cs:lnRef>
    <cs:fillRef idx="3"/>
    <cs:effectRef idx="3"/>
    <cs:fontRef idx="minor">
      <a:sysClr val="windowText" lastClr="000000"/>
    </cs:fontRef>
    <cs:spPr>
      <a:ln w="34925" cap="rnd">
        <a:solidFill>
          <a:schemeClr val="phClr"/>
        </a:solidFill>
        <a:round/>
      </a:ln>
    </cs:spPr>
  </cs:dataPointLine>
  <cs:dataPointMarker>
    <cs:lnRef idx="0">
      <cs:styleClr val="auto"/>
    </cs:lnRef>
    <cs:fillRef idx="3">
      <cs:styleClr val="auto"/>
    </cs:fillRef>
    <cs:effectRef idx="3"/>
    <cs:fontRef idx="minor">
      <a:sysClr val="windowText" lastClr="000000"/>
    </cs:fontRef>
    <cs:spPr>
      <a:ln w="9525">
        <a:solidFill>
          <a:schemeClr val="phClr"/>
        </a:solidFill>
        <a:round/>
      </a:ln>
    </cs:spPr>
  </cs:dataPointMarker>
  <cs:dataPointMarkerLayout symbol="circle" size="6"/>
  <cs:dataPointWireframe>
    <cs:lnRef idx="0">
      <cs:styleClr val="auto"/>
    </cs:lnRef>
    <cs:fillRef idx="3"/>
    <cs:effectRef idx="3"/>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 lastClr="FFFFFF"/>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 lastClr="FFFFFF"/>
    </cs:fontRef>
  </cs:plotArea>
  <cs:plotArea3D>
    <cs:lnRef idx="0"/>
    <cs:fillRef idx="0"/>
    <cs:effectRef idx="0"/>
    <cs:fontRef idx="minor">
      <a:sysClr val="window" lastClr="FFFFFF"/>
    </cs:fontRef>
  </cs:plotArea3D>
  <cs:series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baseline="0"/>
  </cs:title>
  <cs:trendline>
    <cs:lnRef idx="0">
      <cs:styleClr val="auto"/>
    </cs:lnRef>
    <cs:fillRef idx="0"/>
    <cs:effectRef idx="0"/>
    <cs:fontRef idx="minor">
      <a:sysClr val="window" lastClr="FFFFFF"/>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 lastClr="FFFFFF"/>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ap="all" spc="120" normalizeH="0" baseline="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15000"/>
            <a:lumOff val="8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cap="all" spc="120" normalizeH="0" baseline="0"/>
  </cs:title>
  <cs:trendline>
    <cs:lnRef idx="0">
      <cs:styleClr val="auto"/>
    </cs:lnRef>
    <cs:fillRef idx="0"/>
    <cs:effectRef idx="0"/>
    <cs:fontRef idx="minor">
      <a:sysClr val="windowText" lastClr="000000"/>
    </cs:fontRef>
    <cs:spPr>
      <a:ln w="19050" cap="rnd">
        <a:solidFill>
          <a:schemeClr val="phClr"/>
        </a:solidFill>
        <a:prstDash val="sysDash"/>
      </a:ln>
    </cs:spPr>
  </cs:trendline>
  <cs:trendlineLabel>
    <cs:lnRef idx="0"/>
    <cs:fillRef idx="0"/>
    <cs:effectRef idx="0"/>
    <cs:fontRef idx="minor">
      <a:sysClr val="windowText" lastClr="000000">
        <a:lumMod val="65000"/>
        <a:lumOff val="35000"/>
      </a:sysClr>
    </cs:fontRef>
    <cs:defRPr sz="8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valueAxis>
  <cs:wall>
    <cs:lnRef idx="0"/>
    <cs:fillRef idx="0"/>
    <cs:effectRef idx="0"/>
    <cs:fontRef idx="minor">
      <a:sysClr val="windowText" lastClr="000000"/>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ysClr val="windowText" lastClr="000000">
        <a:lumMod val="75000"/>
        <a:lumOff val="25000"/>
      </a:sysClr>
    </cs:fontRef>
    <cs:defRPr sz="900" b="1" kern="1200"/>
  </cs:axisTitle>
  <cs:categoryAxis>
    <cs:lnRef idx="0"/>
    <cs:fillRef idx="0"/>
    <cs:effectRef idx="0"/>
    <cs:fontRef idx="minor">
      <a:sysClr val="windowText" lastClr="000000">
        <a:lumMod val="75000"/>
        <a:lumOff val="25000"/>
      </a:sysClr>
    </cs:fontRef>
    <cs:spPr>
      <a:ln w="19050" cap="flat" cmpd="sng" algn="ctr">
        <a:solidFill>
          <a:sysClr val="windowText" lastClr="000000">
            <a:lumMod val="75000"/>
            <a:lumOff val="25000"/>
          </a:sysClr>
        </a:solidFill>
        <a:round/>
      </a:ln>
    </cs:spPr>
    <cs:defRPr sz="900" kern="1200" cap="all" baseline="0"/>
  </cs:categoryAxis>
  <cs:chartArea>
    <cs:lnRef idx="0"/>
    <cs:fillRef idx="0"/>
    <cs:effectRef idx="0"/>
    <cs:fontRef idx="minor">
      <a:sysClr val="windowText" lastClr="000000"/>
    </cs:fontRef>
    <cs:spPr>
      <a:gradFill flip="none" rotWithShape="true">
        <a:gsLst>
          <a:gs pos="0">
            <a:sysClr val="window" lastClr="FFFFFF"/>
          </a:gs>
          <a:gs pos="39000">
            <a:sysClr val="window" lastClr="FFFFFF"/>
          </a:gs>
          <a:gs pos="100000">
            <a:sysClr val="window" lastClr="FFFFFF">
              <a:lumMod val="75000"/>
            </a:sysClr>
          </a:gs>
        </a:gsLst>
        <a:path path="circle">
          <a:fillToRect l="50000" t="-80000" r="50000" b="180000"/>
        </a:path>
        <a:tileRect/>
      </a:gradFill>
      <a:ln w="9525" cap="flat" cmpd="sng" algn="ctr">
        <a:solidFill>
          <a:sysClr val="windowText" lastClr="000000">
            <a:lumMod val="25000"/>
            <a:lumOff val="75000"/>
          </a:sysClr>
        </a:solidFill>
        <a:round/>
      </a:ln>
    </cs:spPr>
    <cs:defRPr sz="900" kern="1200"/>
  </cs:chartArea>
  <cs:dataLabel>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ysClr val="window" lastClr="FFFFFF"/>
    </cs:fontRef>
    <cs:spPr>
      <a:pattFill prst="pct75">
        <a:fgClr>
          <a:sysClr val="windowText" lastClr="000000">
            <a:lumMod val="75000"/>
            <a:lumOff val="25000"/>
          </a:sysClr>
        </a:fgClr>
        <a:bgClr>
          <a:sysClr val="windowText" lastClr="000000">
            <a:lumMod val="65000"/>
            <a:lumOff val="35000"/>
          </a:sys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ysClr val="windowText" lastClr="000000"/>
    </cs:fontRef>
    <cs:spPr>
      <a:ln w="31750" cap="rnd">
        <a:solidFill>
          <a:schemeClr val="phClr">
            <a:alpha val="85000"/>
          </a:schemeClr>
        </a:solidFill>
        <a:round/>
      </a:ln>
    </cs:spPr>
  </cs:dataPointLine>
  <cs:dataPointMarker>
    <cs:lnRef idx="0"/>
    <cs:fillRef idx="0">
      <cs:styleClr val="auto"/>
    </cs:fillRef>
    <cs:effectRef idx="0"/>
    <cs:fontRef idx="minor">
      <a:sysClr val="windowText" lastClr="000000"/>
    </cs:fontRef>
    <cs:spPr>
      <a:solidFill>
        <a:schemeClr val="phClr">
          <a:alpha val="85000"/>
        </a:scheme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75000"/>
        <a:lumOff val="25000"/>
      </a:sysClr>
    </cs:fontRef>
    <cs:spPr>
      <a:ln w="9525">
        <a:solidFill>
          <a:sysClr val="windowText" lastClr="000000">
            <a:lumMod val="35000"/>
            <a:lumOff val="65000"/>
          </a:sysClr>
        </a:solidFill>
      </a:ln>
    </cs:spPr>
    <cs:defRPr sz="900" kern="1200"/>
  </cs:dataTable>
  <cs:downBar>
    <cs:lnRef idx="0"/>
    <cs:fillRef idx="0"/>
    <cs:effectRef idx="0"/>
    <cs:fontRef idx="minor">
      <a:sysClr val="windowText" lastClr="000000"/>
    </cs:fontRef>
    <cs:spPr>
      <a:solidFill>
        <a:sysClr val="windowText" lastClr="000000">
          <a:lumMod val="50000"/>
          <a:lumOff val="50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100000">
              <a:sysClr val="windowText" lastClr="000000">
                <a:lumMod val="95000"/>
                <a:lumOff val="5000"/>
                <a:alpha val="42000"/>
              </a:sysClr>
            </a:gs>
            <a:gs pos="0">
              <a:sysClr val="window" lastClr="FFFFFF">
                <a:lumMod val="75000"/>
                <a:alpha val="36000"/>
              </a:sysClr>
            </a:gs>
          </a:gsLst>
          <a:lin ang="5400000" scaled="false"/>
        </a:gradFill>
        <a:round/>
      </a:ln>
    </cs:spPr>
  </cs:gridlineMajor>
  <cs:gridlineMinor>
    <cs:lnRef idx="0"/>
    <cs:fillRef idx="0"/>
    <cs:effectRef idx="0"/>
    <cs:fontRef idx="minor">
      <a:sysClr val="windowText" lastClr="000000"/>
    </cs:fontRef>
    <cs:spPr>
      <a:ln>
        <a:gradFill>
          <a:gsLst>
            <a:gs pos="100000">
              <a:sysClr val="windowText" lastClr="000000">
                <a:lumMod val="95000"/>
                <a:lumOff val="5000"/>
                <a:alpha val="42000"/>
              </a:sysClr>
            </a:gs>
            <a:gs pos="0">
              <a:sysClr val="window" lastClr="FFFFFF">
                <a:lumMod val="75000"/>
                <a:alpha val="36000"/>
              </a:sysClr>
            </a:gs>
          </a:gsLst>
          <a:lin ang="5400000" scaled="false"/>
        </a:gradFill>
      </a:ln>
    </cs:spPr>
  </cs:gridlineMinor>
  <cs:hiLoLine>
    <cs:lnRef idx="0"/>
    <cs:fillRef idx="0"/>
    <cs:effectRef idx="0"/>
    <cs:fontRef idx="minor">
      <a:sysClr val="windowText" lastClr="000000"/>
    </cs:fontRef>
    <cs:spPr>
      <a:ln w="9525">
        <a:solidFill>
          <a:sysClr val="windowText" lastClr="000000">
            <a:lumMod val="35000"/>
            <a:lumOff val="65000"/>
          </a:sysClr>
        </a:solidFill>
        <a:prstDash val="dash"/>
      </a:ln>
    </cs:spPr>
  </cs:hiLoLine>
  <cs:leaderLine>
    <cs:lnRef idx="0"/>
    <cs:fillRef idx="0"/>
    <cs:effectRef idx="0"/>
    <cs:fontRef idx="minor">
      <a:sysClr val="windowText" lastClr="000000"/>
    </cs:fontRef>
    <cs:spPr>
      <a:ln w="9525">
        <a:solidFill>
          <a:sysClr val="windowText" lastClr="000000">
            <a:lumMod val="50000"/>
            <a:lumOff val="50000"/>
          </a:sysClr>
        </a:solidFill>
      </a:ln>
    </cs:spPr>
  </cs:leaderLine>
  <cs:legend>
    <cs:lnRef idx="0"/>
    <cs:fillRef idx="0"/>
    <cs:effectRef idx="0"/>
    <cs:fontRef idx="minor">
      <a:sysClr val="windowText" lastClr="000000">
        <a:lumMod val="75000"/>
        <a:lumOff val="25000"/>
      </a:sysClr>
    </cs:fontRef>
    <cs:spPr>
      <a:solidFill>
        <a:sysClr val="window" lastClr="FFFFFF">
          <a:lumMod val="95000"/>
          <a:alpha val="39000"/>
        </a:sysClr>
      </a:solidFill>
    </cs:spPr>
    <cs:defRPr sz="900" kern="1200"/>
  </cs:legend>
  <cs:plotArea>
    <cs:lnRef idx="0"/>
    <cs:fillRef idx="0"/>
    <cs:effectRef idx="0"/>
    <cs:fontRef idx="minor">
      <a:sysClr val="windowText" lastClr="000000"/>
    </cs:fontRef>
  </cs:plotArea>
  <cs:plotArea3D>
    <cs:lnRef idx="0"/>
    <cs:fillRef idx="0"/>
    <cs:effectRef idx="0"/>
    <cs:fontRef idx="minor">
      <a:sysClr val="windowText" lastClr="000000"/>
    </cs:fontRef>
  </cs:plotArea3D>
  <cs:seriesAxis>
    <cs:lnRef idx="0"/>
    <cs:fillRef idx="0"/>
    <cs:effectRef idx="0"/>
    <cs:fontRef idx="minor">
      <a:sysClr val="windowText" lastClr="000000">
        <a:lumMod val="75000"/>
        <a:lumOff val="25000"/>
      </a:sysClr>
    </cs:fontRef>
    <cs:spPr>
      <a:ln w="31750" cap="flat" cmpd="sng" algn="ctr">
        <a:solidFill>
          <a:sysClr val="windowText" lastClr="000000">
            <a:lumMod val="75000"/>
            <a:lumOff val="25000"/>
          </a:sysClr>
        </a:solidFill>
        <a:round/>
      </a:ln>
    </cs:spPr>
    <cs:defRPr sz="900" kern="1200"/>
  </cs:seriesAxis>
  <cs:seriesLine>
    <cs:lnRef idx="0"/>
    <cs:fillRef idx="0"/>
    <cs:effectRef idx="0"/>
    <cs:fontRef idx="minor">
      <a:sysClr val="windowText" lastClr="000000"/>
    </cs:fontRef>
    <cs:spPr>
      <a:ln w="9525">
        <a:solidFill>
          <a:sysClr val="windowText" lastClr="000000">
            <a:lumMod val="50000"/>
            <a:lumOff val="50000"/>
          </a:sysClr>
        </a:solidFill>
        <a:round/>
      </a:ln>
    </cs:spPr>
  </cs:seriesLine>
  <cs:title>
    <cs:lnRef idx="0"/>
    <cs:fillRef idx="0"/>
    <cs:effectRef idx="0"/>
    <cs:fontRef idx="minor">
      <a:sysClr val="windowText" lastClr="000000">
        <a:lumMod val="75000"/>
        <a:lumOff val="25000"/>
      </a:sysClr>
    </cs:fontRef>
    <cs:defRPr sz="1800" b="1" kern="120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75000"/>
        <a:lumOff val="2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75000"/>
        <a:lumOff val="25000"/>
      </a:sysClr>
    </cs:fontRef>
    <cs:spPr>
      <a:ln>
        <a:noFill/>
      </a:ln>
    </cs:spPr>
    <cs:defRPr sz="900" kern="1200"/>
  </cs:valueAxis>
  <cs:wall>
    <cs:lnRef idx="0"/>
    <cs:fillRef idx="0"/>
    <cs:effectRef idx="0"/>
    <cs:fontRef idx="minor">
      <a:sysClr val="windowText" lastClr="000000"/>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1467</Words>
  <Characters>8364</Characters>
  <Lines>69</Lines>
  <Paragraphs>19</Paragraphs>
  <TotalTime>6</TotalTime>
  <ScaleCrop>false</ScaleCrop>
  <LinksUpToDate>false</LinksUpToDate>
  <CharactersWithSpaces>9812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2022-02-22T14:59:52Z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