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1CCE0">
      <w:pPr>
        <w:keepNext w:val="0"/>
        <w:keepLines w:val="0"/>
        <w:pageBreakBefore w:val="0"/>
        <w:widowControl w:val="0"/>
        <w:kinsoku/>
        <w:wordWrap/>
        <w:topLinePunct w:val="0"/>
        <w:autoSpaceDE/>
        <w:autoSpaceDN/>
        <w:bidi w:val="0"/>
        <w:ind w:firstLine="0" w:firstLineChars="0"/>
        <w:jc w:val="center"/>
        <w:textAlignment w:val="auto"/>
        <w:rPr>
          <w:rFonts w:eastAsia="仿宋_GB2312"/>
          <w:color w:val="auto"/>
          <w:sz w:val="36"/>
          <w:szCs w:val="36"/>
        </w:rPr>
      </w:pPr>
      <w:bookmarkStart w:id="0" w:name="_Hlk57883707"/>
    </w:p>
    <w:p w14:paraId="2C63F19C">
      <w:pPr>
        <w:keepNext w:val="0"/>
        <w:keepLines w:val="0"/>
        <w:pageBreakBefore w:val="0"/>
        <w:widowControl w:val="0"/>
        <w:kinsoku/>
        <w:wordWrap/>
        <w:topLinePunct w:val="0"/>
        <w:autoSpaceDE/>
        <w:autoSpaceDN/>
        <w:bidi w:val="0"/>
        <w:ind w:firstLine="0" w:firstLineChars="0"/>
        <w:jc w:val="center"/>
        <w:textAlignment w:val="auto"/>
        <w:rPr>
          <w:rFonts w:eastAsia="仿宋_GB2312"/>
          <w:color w:val="auto"/>
          <w:sz w:val="36"/>
          <w:szCs w:val="36"/>
        </w:rPr>
      </w:pPr>
    </w:p>
    <w:bookmarkEnd w:id="0"/>
    <w:p w14:paraId="1F538D9A">
      <w:pPr>
        <w:keepNext w:val="0"/>
        <w:keepLines w:val="0"/>
        <w:pageBreakBefore w:val="0"/>
        <w:widowControl w:val="0"/>
        <w:kinsoku/>
        <w:wordWrap/>
        <w:topLinePunct w:val="0"/>
        <w:autoSpaceDE/>
        <w:autoSpaceDN/>
        <w:bidi w:val="0"/>
        <w:adjustRightInd w:val="0"/>
        <w:snapToGrid w:val="0"/>
        <w:ind w:left="0" w:leftChars="0" w:firstLine="0" w:firstLineChars="0"/>
        <w:jc w:val="center"/>
        <w:textAlignment w:val="auto"/>
        <w:outlineLvl w:val="0"/>
        <w:rPr>
          <w:rFonts w:eastAsia="方正小标宋_GBK"/>
          <w:bCs/>
          <w:color w:val="auto"/>
          <w:sz w:val="72"/>
          <w:szCs w:val="72"/>
        </w:rPr>
      </w:pPr>
      <w:bookmarkStart w:id="1" w:name="_Toc3002"/>
      <w:bookmarkStart w:id="2" w:name="_Toc25076"/>
      <w:bookmarkStart w:id="3" w:name="_Toc165877831"/>
      <w:bookmarkStart w:id="4" w:name="_Toc19814"/>
      <w:bookmarkStart w:id="5" w:name="_Toc24644"/>
      <w:bookmarkStart w:id="6" w:name="_Toc25891"/>
      <w:bookmarkStart w:id="7" w:name="_Toc668"/>
      <w:bookmarkStart w:id="8" w:name="_Toc165493603"/>
      <w:r>
        <w:rPr>
          <w:rFonts w:eastAsia="方正小标宋_GBK"/>
          <w:bCs/>
          <w:color w:val="auto"/>
          <w:sz w:val="72"/>
          <w:szCs w:val="72"/>
        </w:rPr>
        <w:t>建设项目环境影响报告表</w:t>
      </w:r>
      <w:bookmarkEnd w:id="1"/>
      <w:bookmarkEnd w:id="2"/>
      <w:bookmarkEnd w:id="3"/>
      <w:bookmarkEnd w:id="4"/>
      <w:bookmarkEnd w:id="5"/>
      <w:bookmarkEnd w:id="6"/>
      <w:bookmarkEnd w:id="7"/>
      <w:bookmarkEnd w:id="8"/>
    </w:p>
    <w:p w14:paraId="75EA1075">
      <w:pPr>
        <w:keepNext w:val="0"/>
        <w:keepLines w:val="0"/>
        <w:pageBreakBefore w:val="0"/>
        <w:widowControl w:val="0"/>
        <w:kinsoku/>
        <w:wordWrap/>
        <w:topLinePunct w:val="0"/>
        <w:autoSpaceDE/>
        <w:autoSpaceDN/>
        <w:bidi w:val="0"/>
        <w:adjustRightInd w:val="0"/>
        <w:snapToGrid w:val="0"/>
        <w:spacing w:before="192" w:beforeLines="80" w:line="240" w:lineRule="auto"/>
        <w:ind w:firstLine="0" w:firstLineChars="0"/>
        <w:jc w:val="center"/>
        <w:textAlignment w:val="auto"/>
        <w:rPr>
          <w:rFonts w:eastAsia="方正小标宋_GBK"/>
          <w:bCs/>
          <w:color w:val="auto"/>
          <w:sz w:val="44"/>
          <w:szCs w:val="48"/>
        </w:rPr>
      </w:pPr>
      <w:r>
        <w:rPr>
          <w:rFonts w:eastAsia="方正小标宋_GBK"/>
          <w:bCs/>
          <w:color w:val="auto"/>
          <w:sz w:val="44"/>
          <w:szCs w:val="48"/>
        </w:rPr>
        <w:t>（</w:t>
      </w:r>
      <w:r>
        <w:rPr>
          <w:rFonts w:hint="eastAsia" w:eastAsia="方正小标宋_GBK"/>
          <w:bCs/>
          <w:color w:val="auto"/>
          <w:sz w:val="44"/>
          <w:szCs w:val="48"/>
        </w:rPr>
        <w:t>污染影响类</w:t>
      </w:r>
      <w:r>
        <w:rPr>
          <w:rFonts w:eastAsia="方正小标宋_GBK"/>
          <w:bCs/>
          <w:color w:val="auto"/>
          <w:sz w:val="44"/>
          <w:szCs w:val="48"/>
        </w:rPr>
        <w:t>）</w:t>
      </w:r>
    </w:p>
    <w:p w14:paraId="293DA6A0">
      <w:pPr>
        <w:keepNext w:val="0"/>
        <w:keepLines w:val="0"/>
        <w:pageBreakBefore w:val="0"/>
        <w:widowControl w:val="0"/>
        <w:kinsoku/>
        <w:wordWrap/>
        <w:topLinePunct w:val="0"/>
        <w:autoSpaceDE/>
        <w:autoSpaceDN/>
        <w:bidi w:val="0"/>
        <w:adjustRightInd w:val="0"/>
        <w:snapToGrid w:val="0"/>
        <w:spacing w:before="192" w:beforeLines="80" w:line="240" w:lineRule="auto"/>
        <w:ind w:firstLine="0" w:firstLineChars="0"/>
        <w:jc w:val="center"/>
        <w:textAlignment w:val="auto"/>
        <w:rPr>
          <w:rFonts w:eastAsia="方正小标宋_GBK"/>
          <w:bCs/>
          <w:color w:val="auto"/>
          <w:sz w:val="44"/>
          <w:szCs w:val="48"/>
        </w:rPr>
      </w:pPr>
      <w:r>
        <w:rPr>
          <w:rFonts w:eastAsia="方正小标宋_GBK"/>
          <w:bCs/>
          <w:color w:val="auto"/>
          <w:sz w:val="44"/>
          <w:szCs w:val="48"/>
        </w:rPr>
        <w:t>（</w:t>
      </w:r>
      <w:r>
        <w:rPr>
          <w:rFonts w:hint="eastAsia" w:eastAsia="方正小标宋_GBK"/>
          <w:bCs/>
          <w:color w:val="auto"/>
          <w:sz w:val="44"/>
          <w:szCs w:val="48"/>
          <w:lang w:eastAsia="zh-CN"/>
        </w:rPr>
        <w:t>公示</w:t>
      </w:r>
      <w:r>
        <w:rPr>
          <w:rFonts w:eastAsia="方正小标宋_GBK"/>
          <w:bCs/>
          <w:color w:val="auto"/>
          <w:sz w:val="44"/>
          <w:szCs w:val="48"/>
        </w:rPr>
        <w:t>本）</w:t>
      </w:r>
    </w:p>
    <w:p w14:paraId="55C0DD61">
      <w:pPr>
        <w:keepNext w:val="0"/>
        <w:keepLines w:val="0"/>
        <w:pageBreakBefore w:val="0"/>
        <w:widowControl w:val="0"/>
        <w:kinsoku/>
        <w:wordWrap/>
        <w:overflowPunct w:val="0"/>
        <w:topLinePunct w:val="0"/>
        <w:autoSpaceDE/>
        <w:autoSpaceDN/>
        <w:bidi w:val="0"/>
        <w:spacing w:line="360" w:lineRule="auto"/>
        <w:ind w:firstLine="0" w:firstLineChars="0"/>
        <w:jc w:val="center"/>
        <w:textAlignment w:val="auto"/>
        <w:rPr>
          <w:rFonts w:eastAsia="华文仿宋"/>
          <w:color w:val="auto"/>
          <w:kern w:val="44"/>
          <w:sz w:val="44"/>
          <w:szCs w:val="44"/>
        </w:rPr>
      </w:pPr>
      <w:bookmarkStart w:id="9" w:name="_Hlk57883728"/>
    </w:p>
    <w:p w14:paraId="339D1F32">
      <w:pPr>
        <w:keepNext w:val="0"/>
        <w:keepLines w:val="0"/>
        <w:pageBreakBefore w:val="0"/>
        <w:widowControl w:val="0"/>
        <w:kinsoku/>
        <w:wordWrap/>
        <w:overflowPunct w:val="0"/>
        <w:topLinePunct w:val="0"/>
        <w:autoSpaceDE/>
        <w:autoSpaceDN/>
        <w:bidi w:val="0"/>
        <w:spacing w:line="360" w:lineRule="auto"/>
        <w:ind w:firstLine="0" w:firstLineChars="0"/>
        <w:jc w:val="center"/>
        <w:textAlignment w:val="auto"/>
        <w:rPr>
          <w:rFonts w:eastAsia="仿宋"/>
          <w:color w:val="auto"/>
          <w:sz w:val="52"/>
          <w:szCs w:val="52"/>
        </w:rPr>
      </w:pPr>
    </w:p>
    <w:p w14:paraId="7C77E22F">
      <w:pPr>
        <w:keepNext w:val="0"/>
        <w:keepLines w:val="0"/>
        <w:pageBreakBefore w:val="0"/>
        <w:widowControl w:val="0"/>
        <w:kinsoku/>
        <w:wordWrap/>
        <w:overflowPunct w:val="0"/>
        <w:topLinePunct w:val="0"/>
        <w:autoSpaceDE/>
        <w:autoSpaceDN/>
        <w:bidi w:val="0"/>
        <w:spacing w:line="360" w:lineRule="auto"/>
        <w:ind w:firstLine="0" w:firstLineChars="0"/>
        <w:jc w:val="center"/>
        <w:textAlignment w:val="auto"/>
        <w:rPr>
          <w:rFonts w:eastAsia="仿宋"/>
          <w:color w:val="auto"/>
          <w:sz w:val="44"/>
          <w:szCs w:val="44"/>
        </w:rPr>
      </w:pPr>
    </w:p>
    <w:p w14:paraId="095E7AE9">
      <w:pPr>
        <w:pStyle w:val="71"/>
        <w:keepNext w:val="0"/>
        <w:keepLines w:val="0"/>
        <w:pageBreakBefore w:val="0"/>
        <w:widowControl w:val="0"/>
        <w:kinsoku/>
        <w:wordWrap/>
        <w:overflowPunct w:val="0"/>
        <w:topLinePunct w:val="0"/>
        <w:autoSpaceDE/>
        <w:autoSpaceDN/>
        <w:bidi w:val="0"/>
        <w:ind w:firstLine="0" w:firstLineChars="0"/>
        <w:jc w:val="center"/>
        <w:textAlignment w:val="auto"/>
        <w:rPr>
          <w:color w:val="auto"/>
        </w:rPr>
      </w:pPr>
    </w:p>
    <w:bookmarkEnd w:id="9"/>
    <w:tbl>
      <w:tblPr>
        <w:tblStyle w:val="18"/>
        <w:tblW w:w="5000" w:type="pct"/>
        <w:jc w:val="center"/>
        <w:tblLayout w:type="autofit"/>
        <w:tblCellMar>
          <w:top w:w="0" w:type="dxa"/>
          <w:left w:w="108" w:type="dxa"/>
          <w:bottom w:w="0" w:type="dxa"/>
          <w:right w:w="108" w:type="dxa"/>
        </w:tblCellMar>
      </w:tblPr>
      <w:tblGrid>
        <w:gridCol w:w="2942"/>
        <w:gridCol w:w="5580"/>
      </w:tblGrid>
      <w:tr w14:paraId="726A5ED5">
        <w:trPr>
          <w:jc w:val="center"/>
        </w:trPr>
        <w:tc>
          <w:tcPr>
            <w:tcW w:w="1726" w:type="pct"/>
            <w:noWrap w:val="0"/>
            <w:vAlign w:val="center"/>
          </w:tcPr>
          <w:p w14:paraId="62FF567F">
            <w:pPr>
              <w:keepNext w:val="0"/>
              <w:keepLines w:val="0"/>
              <w:pageBreakBefore w:val="0"/>
              <w:widowControl w:val="0"/>
              <w:suppressLineNumbers w:val="0"/>
              <w:kinsoku/>
              <w:wordWrap/>
              <w:overflowPunct w:val="0"/>
              <w:topLinePunct w:val="0"/>
              <w:autoSpaceDE/>
              <w:autoSpaceDN/>
              <w:bidi w:val="0"/>
              <w:spacing w:before="240" w:beforeLines="100" w:beforeAutospacing="0" w:after="0" w:afterAutospacing="0" w:line="360" w:lineRule="auto"/>
              <w:ind w:left="0" w:right="0" w:firstLine="0" w:firstLineChars="0"/>
              <w:jc w:val="distribute"/>
              <w:textAlignment w:val="auto"/>
              <w:rPr>
                <w:rFonts w:hint="default" w:eastAsia="方正小标宋_GBK"/>
                <w:color w:val="auto"/>
                <w:sz w:val="32"/>
                <w:szCs w:val="32"/>
                <w:u w:val="single"/>
              </w:rPr>
            </w:pPr>
            <w:r>
              <w:rPr>
                <w:rFonts w:hint="default" w:eastAsia="方正小标宋_GBK"/>
                <w:bCs/>
                <w:color w:val="auto"/>
                <w:sz w:val="32"/>
                <w:szCs w:val="32"/>
              </w:rPr>
              <w:t>项目名称：</w:t>
            </w:r>
          </w:p>
        </w:tc>
        <w:tc>
          <w:tcPr>
            <w:tcW w:w="3273" w:type="pct"/>
            <w:noWrap w:val="0"/>
            <w:vAlign w:val="center"/>
          </w:tcPr>
          <w:p w14:paraId="1EBE4344">
            <w:pPr>
              <w:keepNext w:val="0"/>
              <w:keepLines w:val="0"/>
              <w:pageBreakBefore w:val="0"/>
              <w:widowControl w:val="0"/>
              <w:suppressLineNumbers w:val="0"/>
              <w:kinsoku/>
              <w:wordWrap/>
              <w:overflowPunct w:val="0"/>
              <w:topLinePunct w:val="0"/>
              <w:autoSpaceDE/>
              <w:autoSpaceDN/>
              <w:bidi w:val="0"/>
              <w:spacing w:before="120" w:beforeLines="50" w:beforeAutospacing="0" w:after="0" w:afterAutospacing="0" w:line="360" w:lineRule="auto"/>
              <w:ind w:left="0" w:right="0" w:firstLine="0" w:firstLineChars="0"/>
              <w:textAlignment w:val="auto"/>
              <w:rPr>
                <w:rFonts w:hint="default" w:eastAsia="方正小标宋_GBK"/>
                <w:color w:val="auto"/>
                <w:sz w:val="28"/>
                <w:szCs w:val="32"/>
                <w:u w:val="thick"/>
                <w:lang w:val="en-US" w:eastAsia="zh-CN"/>
              </w:rPr>
            </w:pPr>
            <w:r>
              <w:rPr>
                <w:rFonts w:hint="eastAsia" w:eastAsia="方正小标宋_GBK"/>
                <w:color w:val="auto"/>
                <w:sz w:val="28"/>
                <w:szCs w:val="32"/>
                <w:u w:val="thick"/>
                <w:lang w:val="en-US" w:eastAsia="zh-CN"/>
              </w:rPr>
              <w:t xml:space="preserve">     5万吨/年食品级硫磺生产项目     </w:t>
            </w:r>
          </w:p>
        </w:tc>
      </w:tr>
      <w:tr w14:paraId="2552EDEE">
        <w:tblPrEx>
          <w:tblCellMar>
            <w:top w:w="0" w:type="dxa"/>
            <w:left w:w="108" w:type="dxa"/>
            <w:bottom w:w="0" w:type="dxa"/>
            <w:right w:w="108" w:type="dxa"/>
          </w:tblCellMar>
        </w:tblPrEx>
        <w:trPr>
          <w:jc w:val="center"/>
        </w:trPr>
        <w:tc>
          <w:tcPr>
            <w:tcW w:w="1726" w:type="pct"/>
            <w:noWrap w:val="0"/>
            <w:vAlign w:val="center"/>
          </w:tcPr>
          <w:p w14:paraId="34788009">
            <w:pPr>
              <w:keepNext w:val="0"/>
              <w:keepLines w:val="0"/>
              <w:pageBreakBefore w:val="0"/>
              <w:widowControl w:val="0"/>
              <w:suppressLineNumbers w:val="0"/>
              <w:kinsoku/>
              <w:wordWrap/>
              <w:overflowPunct w:val="0"/>
              <w:topLinePunct w:val="0"/>
              <w:autoSpaceDE/>
              <w:autoSpaceDN/>
              <w:bidi w:val="0"/>
              <w:spacing w:before="240" w:beforeLines="100" w:beforeAutospacing="0" w:after="0" w:afterAutospacing="0" w:line="360" w:lineRule="auto"/>
              <w:ind w:left="0" w:right="0" w:firstLine="0" w:firstLineChars="0"/>
              <w:jc w:val="distribute"/>
              <w:textAlignment w:val="auto"/>
              <w:rPr>
                <w:rFonts w:hint="default" w:eastAsia="方正小标宋_GBK"/>
                <w:color w:val="auto"/>
                <w:sz w:val="32"/>
                <w:szCs w:val="32"/>
                <w:u w:val="single"/>
              </w:rPr>
            </w:pPr>
            <w:r>
              <w:rPr>
                <w:rFonts w:hint="default" w:eastAsia="方正小标宋_GBK"/>
                <w:color w:val="auto"/>
                <w:sz w:val="36"/>
                <w:szCs w:val="36"/>
              </w:rPr>
              <w:t>建设单位（盖章）：</w:t>
            </w:r>
          </w:p>
        </w:tc>
        <w:tc>
          <w:tcPr>
            <w:tcW w:w="3273" w:type="pct"/>
            <w:noWrap w:val="0"/>
            <w:vAlign w:val="center"/>
          </w:tcPr>
          <w:p w14:paraId="5548328D">
            <w:pPr>
              <w:keepNext w:val="0"/>
              <w:keepLines w:val="0"/>
              <w:pageBreakBefore w:val="0"/>
              <w:widowControl w:val="0"/>
              <w:suppressLineNumbers w:val="0"/>
              <w:kinsoku/>
              <w:wordWrap/>
              <w:overflowPunct w:val="0"/>
              <w:topLinePunct w:val="0"/>
              <w:autoSpaceDE/>
              <w:autoSpaceDN/>
              <w:bidi w:val="0"/>
              <w:spacing w:before="120" w:beforeLines="50" w:beforeAutospacing="0" w:after="0" w:afterAutospacing="0" w:line="360" w:lineRule="auto"/>
              <w:ind w:left="0" w:right="0" w:firstLine="0" w:firstLineChars="0"/>
              <w:textAlignment w:val="auto"/>
              <w:rPr>
                <w:rFonts w:hint="default" w:eastAsia="方正小标宋_GBK"/>
                <w:color w:val="auto"/>
                <w:sz w:val="28"/>
                <w:szCs w:val="32"/>
                <w:u w:val="thick"/>
              </w:rPr>
            </w:pPr>
            <w:r>
              <w:rPr>
                <w:rFonts w:hint="default" w:eastAsia="方正小标宋_GBK"/>
                <w:color w:val="auto"/>
                <w:sz w:val="28"/>
                <w:szCs w:val="32"/>
                <w:u w:val="thick"/>
              </w:rPr>
              <w:t xml:space="preserve"> </w:t>
            </w:r>
            <w:r>
              <w:rPr>
                <w:rFonts w:hint="eastAsia" w:eastAsia="方正小标宋_GBK"/>
                <w:color w:val="auto"/>
                <w:sz w:val="28"/>
                <w:szCs w:val="32"/>
                <w:u w:val="thick"/>
                <w:lang w:val="en-US" w:eastAsia="zh-CN"/>
              </w:rPr>
              <w:t xml:space="preserve">     黔孚化工（达州）有限公司</w:t>
            </w:r>
            <w:r>
              <w:rPr>
                <w:rFonts w:hint="default" w:eastAsia="方正小标宋_GBK"/>
                <w:color w:val="auto"/>
                <w:sz w:val="28"/>
                <w:szCs w:val="32"/>
                <w:u w:val="thick"/>
              </w:rPr>
              <w:t xml:space="preserve"> </w:t>
            </w:r>
            <w:r>
              <w:rPr>
                <w:rFonts w:hint="eastAsia" w:eastAsia="方正小标宋_GBK"/>
                <w:color w:val="auto"/>
                <w:sz w:val="28"/>
                <w:szCs w:val="32"/>
                <w:u w:val="thick"/>
                <w:lang w:val="en-US" w:eastAsia="zh-CN"/>
              </w:rPr>
              <w:t xml:space="preserve">     </w:t>
            </w:r>
          </w:p>
        </w:tc>
      </w:tr>
      <w:tr w14:paraId="2D6AB0C3">
        <w:tblPrEx>
          <w:tblCellMar>
            <w:top w:w="0" w:type="dxa"/>
            <w:left w:w="108" w:type="dxa"/>
            <w:bottom w:w="0" w:type="dxa"/>
            <w:right w:w="108" w:type="dxa"/>
          </w:tblCellMar>
        </w:tblPrEx>
        <w:trPr>
          <w:jc w:val="center"/>
        </w:trPr>
        <w:tc>
          <w:tcPr>
            <w:tcW w:w="1726" w:type="pct"/>
            <w:noWrap w:val="0"/>
            <w:vAlign w:val="center"/>
          </w:tcPr>
          <w:p w14:paraId="6C6EF576">
            <w:pPr>
              <w:keepNext w:val="0"/>
              <w:keepLines w:val="0"/>
              <w:pageBreakBefore w:val="0"/>
              <w:widowControl w:val="0"/>
              <w:suppressLineNumbers w:val="0"/>
              <w:kinsoku/>
              <w:wordWrap/>
              <w:overflowPunct w:val="0"/>
              <w:topLinePunct w:val="0"/>
              <w:autoSpaceDE/>
              <w:autoSpaceDN/>
              <w:bidi w:val="0"/>
              <w:spacing w:before="240" w:beforeLines="100" w:beforeAutospacing="0" w:after="0" w:afterAutospacing="0" w:line="360" w:lineRule="auto"/>
              <w:ind w:left="0" w:right="0" w:firstLine="0" w:firstLineChars="0"/>
              <w:jc w:val="distribute"/>
              <w:textAlignment w:val="auto"/>
              <w:rPr>
                <w:rFonts w:hint="default" w:eastAsia="方正小标宋_GBK"/>
                <w:color w:val="auto"/>
                <w:sz w:val="36"/>
                <w:szCs w:val="36"/>
                <w:u w:val="single"/>
              </w:rPr>
            </w:pPr>
            <w:r>
              <w:rPr>
                <w:rFonts w:hint="default" w:eastAsia="方正小标宋_GBK"/>
                <w:color w:val="auto"/>
                <w:sz w:val="36"/>
                <w:szCs w:val="36"/>
              </w:rPr>
              <w:t>编制日期：</w:t>
            </w:r>
          </w:p>
        </w:tc>
        <w:tc>
          <w:tcPr>
            <w:tcW w:w="3273" w:type="pct"/>
            <w:noWrap w:val="0"/>
            <w:vAlign w:val="center"/>
          </w:tcPr>
          <w:p w14:paraId="228A0DF6">
            <w:pPr>
              <w:keepNext w:val="0"/>
              <w:keepLines w:val="0"/>
              <w:pageBreakBefore w:val="0"/>
              <w:widowControl w:val="0"/>
              <w:suppressLineNumbers w:val="0"/>
              <w:kinsoku/>
              <w:wordWrap/>
              <w:overflowPunct w:val="0"/>
              <w:topLinePunct w:val="0"/>
              <w:autoSpaceDE/>
              <w:autoSpaceDN/>
              <w:bidi w:val="0"/>
              <w:spacing w:before="120" w:beforeLines="50" w:beforeAutospacing="0" w:after="0" w:afterAutospacing="0" w:line="360" w:lineRule="auto"/>
              <w:ind w:left="0" w:right="0" w:firstLine="0" w:firstLineChars="0"/>
              <w:textAlignment w:val="auto"/>
              <w:rPr>
                <w:rFonts w:hint="default" w:eastAsia="方正小标宋_GBK"/>
                <w:color w:val="auto"/>
                <w:sz w:val="28"/>
                <w:szCs w:val="36"/>
                <w:u w:val="thick"/>
              </w:rPr>
            </w:pPr>
            <w:r>
              <w:rPr>
                <w:rFonts w:hint="default" w:eastAsia="方正小标宋_GBK"/>
                <w:color w:val="auto"/>
                <w:sz w:val="28"/>
                <w:szCs w:val="36"/>
                <w:u w:val="thick"/>
              </w:rPr>
              <w:t xml:space="preserve">        </w:t>
            </w:r>
            <w:r>
              <w:rPr>
                <w:rFonts w:hint="eastAsia" w:eastAsia="方正小标宋_GBK"/>
                <w:color w:val="auto"/>
                <w:sz w:val="28"/>
                <w:szCs w:val="36"/>
                <w:u w:val="thick"/>
                <w:lang w:val="en-US" w:eastAsia="zh-CN"/>
              </w:rPr>
              <w:t xml:space="preserve"> </w:t>
            </w:r>
            <w:r>
              <w:rPr>
                <w:rFonts w:hint="default" w:eastAsia="方正小标宋_GBK"/>
                <w:color w:val="auto"/>
                <w:sz w:val="28"/>
                <w:szCs w:val="36"/>
                <w:u w:val="thick"/>
              </w:rPr>
              <w:t xml:space="preserve">    202</w:t>
            </w:r>
            <w:r>
              <w:rPr>
                <w:rFonts w:hint="eastAsia" w:eastAsia="方正小标宋_GBK"/>
                <w:color w:val="auto"/>
                <w:sz w:val="28"/>
                <w:szCs w:val="36"/>
                <w:u w:val="thick"/>
                <w:lang w:val="en-US" w:eastAsia="zh-CN"/>
              </w:rPr>
              <w:t>5</w:t>
            </w:r>
            <w:r>
              <w:rPr>
                <w:rFonts w:hint="default" w:eastAsia="方正小标宋_GBK"/>
                <w:color w:val="auto"/>
                <w:sz w:val="28"/>
                <w:szCs w:val="36"/>
                <w:u w:val="thick"/>
              </w:rPr>
              <w:t>年</w:t>
            </w:r>
            <w:r>
              <w:rPr>
                <w:rFonts w:hint="eastAsia" w:eastAsia="方正小标宋_GBK"/>
                <w:color w:val="auto"/>
                <w:sz w:val="28"/>
                <w:szCs w:val="36"/>
                <w:u w:val="thick"/>
                <w:lang w:val="en-US" w:eastAsia="zh-CN"/>
              </w:rPr>
              <w:t>7</w:t>
            </w:r>
            <w:r>
              <w:rPr>
                <w:rFonts w:hint="default" w:eastAsia="方正小标宋_GBK"/>
                <w:color w:val="auto"/>
                <w:sz w:val="28"/>
                <w:szCs w:val="36"/>
                <w:u w:val="thick"/>
              </w:rPr>
              <w:t xml:space="preserve">月     </w:t>
            </w:r>
            <w:r>
              <w:rPr>
                <w:rFonts w:hint="eastAsia" w:eastAsia="方正小标宋_GBK"/>
                <w:color w:val="auto"/>
                <w:sz w:val="28"/>
                <w:szCs w:val="36"/>
                <w:u w:val="thick"/>
                <w:lang w:val="en-US" w:eastAsia="zh-CN"/>
              </w:rPr>
              <w:t xml:space="preserve"> </w:t>
            </w:r>
            <w:r>
              <w:rPr>
                <w:rFonts w:hint="default" w:eastAsia="方正小标宋_GBK"/>
                <w:color w:val="auto"/>
                <w:sz w:val="28"/>
                <w:szCs w:val="36"/>
                <w:u w:val="thick"/>
              </w:rPr>
              <w:t xml:space="preserve">       </w:t>
            </w:r>
          </w:p>
        </w:tc>
      </w:tr>
    </w:tbl>
    <w:p w14:paraId="18126EA4">
      <w:pPr>
        <w:keepNext w:val="0"/>
        <w:keepLines w:val="0"/>
        <w:pageBreakBefore w:val="0"/>
        <w:widowControl w:val="0"/>
        <w:kinsoku/>
        <w:wordWrap/>
        <w:overflowPunct w:val="0"/>
        <w:topLinePunct w:val="0"/>
        <w:autoSpaceDE/>
        <w:autoSpaceDN/>
        <w:bidi w:val="0"/>
        <w:spacing w:line="360" w:lineRule="auto"/>
        <w:ind w:firstLine="0" w:firstLineChars="0"/>
        <w:jc w:val="left"/>
        <w:textAlignment w:val="auto"/>
        <w:rPr>
          <w:rFonts w:eastAsia="仿宋_GB2312"/>
          <w:color w:val="auto"/>
          <w:sz w:val="36"/>
          <w:szCs w:val="36"/>
        </w:rPr>
      </w:pPr>
    </w:p>
    <w:p w14:paraId="129AF07F">
      <w:pPr>
        <w:keepNext w:val="0"/>
        <w:keepLines w:val="0"/>
        <w:pageBreakBefore w:val="0"/>
        <w:widowControl w:val="0"/>
        <w:kinsoku/>
        <w:wordWrap/>
        <w:overflowPunct w:val="0"/>
        <w:topLinePunct w:val="0"/>
        <w:autoSpaceDE/>
        <w:autoSpaceDN/>
        <w:bidi w:val="0"/>
        <w:spacing w:line="360" w:lineRule="auto"/>
        <w:ind w:firstLine="0" w:firstLineChars="0"/>
        <w:jc w:val="left"/>
        <w:textAlignment w:val="auto"/>
        <w:rPr>
          <w:rFonts w:eastAsia="仿宋_GB2312"/>
          <w:color w:val="auto"/>
          <w:sz w:val="36"/>
          <w:szCs w:val="36"/>
        </w:rPr>
      </w:pPr>
    </w:p>
    <w:p w14:paraId="5CD40D85">
      <w:pPr>
        <w:keepNext w:val="0"/>
        <w:keepLines w:val="0"/>
        <w:pageBreakBefore w:val="0"/>
        <w:widowControl w:val="0"/>
        <w:kinsoku/>
        <w:wordWrap/>
        <w:overflowPunct w:val="0"/>
        <w:topLinePunct w:val="0"/>
        <w:autoSpaceDE/>
        <w:autoSpaceDN/>
        <w:bidi w:val="0"/>
        <w:spacing w:line="360" w:lineRule="auto"/>
        <w:ind w:firstLine="0" w:firstLineChars="0"/>
        <w:jc w:val="left"/>
        <w:textAlignment w:val="auto"/>
        <w:rPr>
          <w:rFonts w:eastAsia="仿宋_GB2312"/>
          <w:color w:val="auto"/>
          <w:sz w:val="36"/>
          <w:szCs w:val="36"/>
        </w:rPr>
      </w:pPr>
    </w:p>
    <w:p w14:paraId="0556BB6C">
      <w:pPr>
        <w:keepNext w:val="0"/>
        <w:keepLines w:val="0"/>
        <w:pageBreakBefore w:val="0"/>
        <w:widowControl w:val="0"/>
        <w:kinsoku/>
        <w:wordWrap/>
        <w:overflowPunct w:val="0"/>
        <w:topLinePunct w:val="0"/>
        <w:autoSpaceDE/>
        <w:autoSpaceDN/>
        <w:bidi w:val="0"/>
        <w:spacing w:line="360" w:lineRule="auto"/>
        <w:ind w:firstLine="0" w:firstLineChars="0"/>
        <w:jc w:val="left"/>
        <w:textAlignment w:val="auto"/>
        <w:rPr>
          <w:rFonts w:eastAsia="仿宋_GB2312"/>
          <w:color w:val="auto"/>
          <w:sz w:val="36"/>
          <w:szCs w:val="36"/>
        </w:rPr>
      </w:pPr>
    </w:p>
    <w:p w14:paraId="3A1F4D13">
      <w:pPr>
        <w:keepNext w:val="0"/>
        <w:keepLines w:val="0"/>
        <w:pageBreakBefore w:val="0"/>
        <w:widowControl w:val="0"/>
        <w:kinsoku/>
        <w:wordWrap/>
        <w:topLinePunct w:val="0"/>
        <w:autoSpaceDE/>
        <w:autoSpaceDN/>
        <w:bidi w:val="0"/>
        <w:adjustRightInd w:val="0"/>
        <w:snapToGrid w:val="0"/>
        <w:spacing w:line="288" w:lineRule="auto"/>
        <w:ind w:firstLine="0" w:firstLineChars="0"/>
        <w:jc w:val="center"/>
        <w:textAlignment w:val="auto"/>
        <w:rPr>
          <w:rFonts w:eastAsia="楷体_GB2312"/>
          <w:color w:val="auto"/>
          <w:sz w:val="36"/>
          <w:szCs w:val="36"/>
        </w:rPr>
        <w:sectPr>
          <w:footerReference r:id="rId5" w:type="default"/>
          <w:footerReference r:id="rId6" w:type="even"/>
          <w:pgSz w:w="11906" w:h="16838"/>
          <w:pgMar w:top="1440" w:right="1800" w:bottom="1440" w:left="1800" w:header="851" w:footer="1077" w:gutter="0"/>
          <w:pgNumType w:start="21"/>
          <w:cols w:space="720" w:num="1"/>
          <w:docGrid w:linePitch="312" w:charSpace="0"/>
        </w:sectPr>
      </w:pPr>
      <w:r>
        <w:rPr>
          <w:rFonts w:eastAsia="楷体_GB2312"/>
          <w:color w:val="auto"/>
          <w:sz w:val="36"/>
          <w:szCs w:val="36"/>
        </w:rPr>
        <w:t>中华人民共和国生态环境部 制</w:t>
      </w:r>
    </w:p>
    <w:p w14:paraId="73A199D3">
      <w:pPr>
        <w:ind w:firstLine="720"/>
        <w:jc w:val="center"/>
        <w:rPr>
          <w:rFonts w:cs="Times New Roman"/>
          <w:color w:val="auto"/>
        </w:rPr>
      </w:pPr>
    </w:p>
    <w:p w14:paraId="607DE870">
      <w:pPr>
        <w:ind w:firstLine="723"/>
        <w:jc w:val="center"/>
        <w:rPr>
          <w:rFonts w:cs="Times New Roman"/>
          <w:b/>
          <w:bCs/>
          <w:color w:val="auto"/>
          <w:sz w:val="36"/>
          <w:szCs w:val="36"/>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797" w:bottom="1440" w:left="1797" w:header="851" w:footer="992" w:gutter="0"/>
          <w:cols w:space="425" w:num="1"/>
          <w:docGrid w:type="lines" w:linePitch="326" w:charSpace="0"/>
        </w:sectPr>
      </w:pPr>
    </w:p>
    <w:p w14:paraId="3EFE45DD">
      <w:pPr>
        <w:pStyle w:val="2"/>
        <w:ind w:firstLine="602"/>
        <w:rPr>
          <w:rFonts w:cs="Times New Roman"/>
          <w:color w:val="auto"/>
          <w:sz w:val="30"/>
          <w:szCs w:val="30"/>
        </w:rPr>
      </w:pPr>
      <w:r>
        <w:rPr>
          <w:rFonts w:cs="Times New Roman"/>
          <w:color w:val="auto"/>
          <w:sz w:val="30"/>
          <w:szCs w:val="30"/>
        </w:rPr>
        <w:t>一、建设项目基本情况</w:t>
      </w:r>
    </w:p>
    <w:tbl>
      <w:tblPr>
        <w:tblStyle w:val="18"/>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952"/>
        <w:gridCol w:w="1924"/>
        <w:gridCol w:w="1650"/>
        <w:gridCol w:w="3342"/>
      </w:tblGrid>
      <w:tr w14:paraId="68AD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46E35A1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建设项目名称</w:t>
            </w:r>
          </w:p>
        </w:tc>
        <w:tc>
          <w:tcPr>
            <w:tcW w:w="3946" w:type="pct"/>
            <w:gridSpan w:val="3"/>
            <w:vAlign w:val="center"/>
          </w:tcPr>
          <w:p w14:paraId="5F54CA04">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5万吨/年食品级硫磺生产项目</w:t>
            </w:r>
          </w:p>
        </w:tc>
      </w:tr>
      <w:tr w14:paraId="3CAE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7AFDE4B3">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项目代码</w:t>
            </w:r>
          </w:p>
        </w:tc>
        <w:tc>
          <w:tcPr>
            <w:tcW w:w="3946" w:type="pct"/>
            <w:gridSpan w:val="3"/>
            <w:vAlign w:val="center"/>
          </w:tcPr>
          <w:p w14:paraId="2FB81006">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2310-511722-04-01-799815</w:t>
            </w:r>
          </w:p>
        </w:tc>
      </w:tr>
      <w:tr w14:paraId="5BA8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2AC9FBA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建设单位</w:t>
            </w:r>
          </w:p>
          <w:p w14:paraId="7D2DEE0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联系人</w:t>
            </w:r>
          </w:p>
        </w:tc>
        <w:tc>
          <w:tcPr>
            <w:tcW w:w="1097" w:type="pct"/>
            <w:vAlign w:val="center"/>
          </w:tcPr>
          <w:p w14:paraId="7546BA6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蒋合峰</w:t>
            </w:r>
          </w:p>
        </w:tc>
        <w:tc>
          <w:tcPr>
            <w:tcW w:w="941" w:type="pct"/>
            <w:vAlign w:val="center"/>
          </w:tcPr>
          <w:p w14:paraId="379423A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联系方式</w:t>
            </w:r>
          </w:p>
        </w:tc>
        <w:tc>
          <w:tcPr>
            <w:tcW w:w="1907" w:type="pct"/>
            <w:vAlign w:val="center"/>
          </w:tcPr>
          <w:p w14:paraId="3CD5E47C">
            <w:pPr>
              <w:keepNext w:val="0"/>
              <w:keepLines w:val="0"/>
              <w:widowControl/>
              <w:suppressLineNumbers w:val="0"/>
              <w:spacing w:before="0" w:beforeAutospacing="0" w:after="0" w:afterAutospacing="0" w:line="240" w:lineRule="auto"/>
              <w:ind w:left="0" w:right="0" w:firstLine="480"/>
              <w:jc w:val="center"/>
              <w:rPr>
                <w:rFonts w:hint="default" w:cs="Times New Roman"/>
                <w:color w:val="auto"/>
              </w:rPr>
            </w:pPr>
            <w:r>
              <w:rPr>
                <w:rFonts w:hint="default" w:cs="Times New Roman"/>
                <w:color w:val="auto"/>
              </w:rPr>
              <w:t>13368376999</w:t>
            </w:r>
          </w:p>
        </w:tc>
      </w:tr>
      <w:tr w14:paraId="62D4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6BEFA5CA">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建设地点</w:t>
            </w:r>
          </w:p>
        </w:tc>
        <w:tc>
          <w:tcPr>
            <w:tcW w:w="3946" w:type="pct"/>
            <w:gridSpan w:val="3"/>
            <w:vAlign w:val="center"/>
          </w:tcPr>
          <w:p w14:paraId="631FC21C">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eastAsia" w:cs="Times New Roman"/>
                <w:color w:val="auto"/>
              </w:rPr>
              <w:t>四川达州普光经济开发区达州普光化工园区内（宣汉县CB2022-18号、宣汉县CB2024-04号地块）</w:t>
            </w:r>
          </w:p>
        </w:tc>
      </w:tr>
      <w:tr w14:paraId="12A0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0AE951D3">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地理位置</w:t>
            </w:r>
          </w:p>
        </w:tc>
        <w:tc>
          <w:tcPr>
            <w:tcW w:w="3946" w:type="pct"/>
            <w:gridSpan w:val="3"/>
            <w:vAlign w:val="center"/>
          </w:tcPr>
          <w:p w14:paraId="3A03695D">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（107度41分2.161秒，31度31分23.516秒）</w:t>
            </w:r>
          </w:p>
        </w:tc>
      </w:tr>
      <w:tr w14:paraId="6E18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2605369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国民经济</w:t>
            </w:r>
          </w:p>
          <w:p w14:paraId="4BB1D32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行业类别</w:t>
            </w:r>
          </w:p>
        </w:tc>
        <w:tc>
          <w:tcPr>
            <w:tcW w:w="1097" w:type="pct"/>
            <w:vAlign w:val="center"/>
          </w:tcPr>
          <w:p w14:paraId="15C31C4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C1495 食品</w:t>
            </w:r>
            <w:r>
              <w:rPr>
                <w:rFonts w:hint="eastAsia" w:cs="Times New Roman"/>
                <w:color w:val="auto"/>
              </w:rPr>
              <w:t>及</w:t>
            </w:r>
            <w:r>
              <w:rPr>
                <w:rFonts w:hint="default" w:cs="Times New Roman"/>
                <w:color w:val="auto"/>
              </w:rPr>
              <w:t>饲料添加剂制造</w:t>
            </w:r>
          </w:p>
          <w:p w14:paraId="04E2274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C2619 其他基础化学原料制造</w:t>
            </w:r>
          </w:p>
        </w:tc>
        <w:tc>
          <w:tcPr>
            <w:tcW w:w="941" w:type="pct"/>
            <w:vAlign w:val="center"/>
          </w:tcPr>
          <w:p w14:paraId="513ACA0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建设项目</w:t>
            </w:r>
          </w:p>
          <w:p w14:paraId="50F35904">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行业类别</w:t>
            </w:r>
          </w:p>
        </w:tc>
        <w:tc>
          <w:tcPr>
            <w:tcW w:w="1907" w:type="pct"/>
            <w:vAlign w:val="center"/>
          </w:tcPr>
          <w:p w14:paraId="6CF1A69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十一、食品制造业 14 其他食品制造149 无发酵工艺的食品及饲料添加剂制造</w:t>
            </w:r>
          </w:p>
          <w:p w14:paraId="316FE46D">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二十三、化学原料和化学制品制造业26 单纯物理分离、物理提纯、混合、分装的（不产生废水或挥发性有机物的除外）</w:t>
            </w:r>
          </w:p>
        </w:tc>
      </w:tr>
      <w:tr w14:paraId="5E0E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3103A07F">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建设性质</w:t>
            </w:r>
          </w:p>
        </w:tc>
        <w:tc>
          <w:tcPr>
            <w:tcW w:w="1097" w:type="pct"/>
            <w:vAlign w:val="center"/>
          </w:tcPr>
          <w:p w14:paraId="6CDC1BA0">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52"/>
            </w:r>
            <w:r>
              <w:rPr>
                <w:rFonts w:hint="default" w:cs="Times New Roman"/>
                <w:color w:val="auto"/>
              </w:rPr>
              <w:t>新建（迁建）</w:t>
            </w:r>
          </w:p>
          <w:p w14:paraId="7B9F2443">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改建</w:t>
            </w:r>
          </w:p>
          <w:p w14:paraId="2AB11DA6">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扩建</w:t>
            </w:r>
          </w:p>
          <w:p w14:paraId="3A60A6B8">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技术改造</w:t>
            </w:r>
          </w:p>
        </w:tc>
        <w:tc>
          <w:tcPr>
            <w:tcW w:w="941" w:type="pct"/>
            <w:vAlign w:val="center"/>
          </w:tcPr>
          <w:p w14:paraId="7F23F1C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建设项目</w:t>
            </w:r>
          </w:p>
          <w:p w14:paraId="43F5721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申报情形</w:t>
            </w:r>
          </w:p>
        </w:tc>
        <w:tc>
          <w:tcPr>
            <w:tcW w:w="1907" w:type="pct"/>
            <w:vAlign w:val="center"/>
          </w:tcPr>
          <w:p w14:paraId="78BCE5B2">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52"/>
            </w:r>
            <w:r>
              <w:rPr>
                <w:rFonts w:hint="default" w:cs="Times New Roman"/>
                <w:color w:val="auto"/>
              </w:rPr>
              <w:t>首次申报项目</w:t>
            </w:r>
          </w:p>
          <w:p w14:paraId="74A93F90">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不予批准后再次申报项目</w:t>
            </w:r>
          </w:p>
          <w:p w14:paraId="248F8695">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超五年重新审核项目</w:t>
            </w:r>
          </w:p>
          <w:p w14:paraId="532AA57A">
            <w:pPr>
              <w:keepNext w:val="0"/>
              <w:keepLines w:val="0"/>
              <w:suppressLineNumbers w:val="0"/>
              <w:spacing w:before="0" w:beforeAutospacing="0" w:after="0" w:afterAutospacing="0" w:line="240" w:lineRule="auto"/>
              <w:ind w:left="0" w:right="0" w:firstLine="0" w:firstLineChars="0"/>
              <w:rPr>
                <w:rFonts w:hint="default" w:cs="Times New Roman"/>
                <w:color w:val="auto"/>
              </w:rPr>
            </w:pPr>
            <w:r>
              <w:rPr>
                <w:rFonts w:hint="default" w:cs="Times New Roman"/>
                <w:color w:val="auto"/>
              </w:rPr>
              <w:sym w:font="Wingdings 2" w:char="00A3"/>
            </w:r>
            <w:r>
              <w:rPr>
                <w:rFonts w:hint="default" w:cs="Times New Roman"/>
                <w:color w:val="auto"/>
              </w:rPr>
              <w:t>重大变动重新报批项目</w:t>
            </w:r>
          </w:p>
        </w:tc>
      </w:tr>
      <w:tr w14:paraId="033A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3799E94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项目审批（核准/备案）部门</w:t>
            </w:r>
          </w:p>
        </w:tc>
        <w:tc>
          <w:tcPr>
            <w:tcW w:w="1097" w:type="pct"/>
            <w:vAlign w:val="center"/>
          </w:tcPr>
          <w:p w14:paraId="606E33D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宣汉县发改局</w:t>
            </w:r>
          </w:p>
        </w:tc>
        <w:tc>
          <w:tcPr>
            <w:tcW w:w="941" w:type="pct"/>
            <w:vAlign w:val="center"/>
          </w:tcPr>
          <w:p w14:paraId="480EBF6E">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项目审批（核准/备案）文号</w:t>
            </w:r>
          </w:p>
        </w:tc>
        <w:tc>
          <w:tcPr>
            <w:tcW w:w="1907" w:type="pct"/>
            <w:vAlign w:val="center"/>
          </w:tcPr>
          <w:p w14:paraId="5A0C314F">
            <w:pPr>
              <w:keepNext w:val="0"/>
              <w:keepLines w:val="0"/>
              <w:suppressLineNumbers w:val="0"/>
              <w:wordWrap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川投资备【2310-511722-04-01-799815】FGQB-0542号</w:t>
            </w:r>
          </w:p>
        </w:tc>
      </w:tr>
      <w:tr w14:paraId="43AA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6388BB2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总投资（万元）</w:t>
            </w:r>
          </w:p>
        </w:tc>
        <w:tc>
          <w:tcPr>
            <w:tcW w:w="1097" w:type="pct"/>
            <w:vAlign w:val="center"/>
          </w:tcPr>
          <w:p w14:paraId="1C7A0853">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10500</w:t>
            </w:r>
          </w:p>
        </w:tc>
        <w:tc>
          <w:tcPr>
            <w:tcW w:w="941" w:type="pct"/>
            <w:vAlign w:val="center"/>
          </w:tcPr>
          <w:p w14:paraId="6BDBE21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环保投资</w:t>
            </w:r>
          </w:p>
          <w:p w14:paraId="1791045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highlight w:val="red"/>
              </w:rPr>
            </w:pPr>
            <w:r>
              <w:rPr>
                <w:rFonts w:hint="default" w:cs="Times New Roman"/>
                <w:color w:val="auto"/>
              </w:rPr>
              <w:t>（万元）</w:t>
            </w:r>
          </w:p>
        </w:tc>
        <w:tc>
          <w:tcPr>
            <w:tcW w:w="1907" w:type="pct"/>
            <w:vAlign w:val="center"/>
          </w:tcPr>
          <w:p w14:paraId="09F839AF">
            <w:pPr>
              <w:keepNext w:val="0"/>
              <w:keepLines w:val="0"/>
              <w:suppressLineNumbers w:val="0"/>
              <w:spacing w:before="0" w:beforeAutospacing="0" w:after="0" w:afterAutospacing="0"/>
              <w:ind w:left="0" w:right="0" w:firstLine="0" w:firstLineChars="0"/>
              <w:jc w:val="center"/>
              <w:rPr>
                <w:rFonts w:hint="default" w:cs="Times New Roman"/>
                <w:color w:val="auto"/>
                <w:highlight w:val="red"/>
              </w:rPr>
            </w:pPr>
            <w:r>
              <w:rPr>
                <w:rFonts w:hint="default" w:cs="Times New Roman"/>
                <w:color w:val="auto"/>
              </w:rPr>
              <w:t>251</w:t>
            </w:r>
          </w:p>
        </w:tc>
      </w:tr>
      <w:tr w14:paraId="025A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019C66E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highlight w:val="red"/>
              </w:rPr>
            </w:pPr>
            <w:r>
              <w:rPr>
                <w:rFonts w:hint="default" w:cs="Times New Roman"/>
                <w:color w:val="auto"/>
              </w:rPr>
              <w:t>环保投资占比（%）</w:t>
            </w:r>
          </w:p>
        </w:tc>
        <w:tc>
          <w:tcPr>
            <w:tcW w:w="1097" w:type="pct"/>
            <w:vAlign w:val="center"/>
          </w:tcPr>
          <w:p w14:paraId="2EB0B1AD">
            <w:pPr>
              <w:keepNext w:val="0"/>
              <w:keepLines w:val="0"/>
              <w:suppressLineNumbers w:val="0"/>
              <w:spacing w:before="0" w:beforeAutospacing="0" w:after="0" w:afterAutospacing="0"/>
              <w:ind w:left="0" w:right="0" w:firstLine="0" w:firstLineChars="0"/>
              <w:jc w:val="center"/>
              <w:rPr>
                <w:rFonts w:hint="default" w:cs="Times New Roman"/>
                <w:color w:val="auto"/>
                <w:highlight w:val="red"/>
              </w:rPr>
            </w:pPr>
            <w:r>
              <w:rPr>
                <w:rFonts w:hint="default" w:cs="Times New Roman"/>
                <w:color w:val="auto"/>
              </w:rPr>
              <w:t>2.39%</w:t>
            </w:r>
          </w:p>
        </w:tc>
        <w:tc>
          <w:tcPr>
            <w:tcW w:w="941" w:type="pct"/>
            <w:vAlign w:val="center"/>
          </w:tcPr>
          <w:p w14:paraId="5F69A5E0">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施工工期</w:t>
            </w:r>
          </w:p>
        </w:tc>
        <w:tc>
          <w:tcPr>
            <w:tcW w:w="1907" w:type="pct"/>
            <w:vAlign w:val="center"/>
          </w:tcPr>
          <w:p w14:paraId="6A662A34">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13个月</w:t>
            </w:r>
          </w:p>
        </w:tc>
      </w:tr>
      <w:tr w14:paraId="2F4D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787965F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是否开工建设</w:t>
            </w:r>
          </w:p>
        </w:tc>
        <w:tc>
          <w:tcPr>
            <w:tcW w:w="1097" w:type="pct"/>
            <w:vAlign w:val="center"/>
          </w:tcPr>
          <w:p w14:paraId="4783AEBE">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sym w:font="Wingdings 2" w:char="0052"/>
            </w:r>
            <w:r>
              <w:rPr>
                <w:rFonts w:hint="default" w:cs="Times New Roman"/>
                <w:color w:val="auto"/>
              </w:rPr>
              <w:t>否</w:t>
            </w:r>
          </w:p>
          <w:p w14:paraId="57A8054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sym w:font="Wingdings 2" w:char="00A3"/>
            </w:r>
            <w:r>
              <w:rPr>
                <w:rFonts w:hint="default" w:cs="Times New Roman"/>
                <w:color w:val="auto"/>
              </w:rPr>
              <w:t>是</w:t>
            </w:r>
          </w:p>
        </w:tc>
        <w:tc>
          <w:tcPr>
            <w:tcW w:w="941" w:type="pct"/>
            <w:vAlign w:val="center"/>
          </w:tcPr>
          <w:p w14:paraId="0B34D8C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用地面积（m</w:t>
            </w:r>
            <w:r>
              <w:rPr>
                <w:rFonts w:hint="default" w:cs="Times New Roman"/>
                <w:color w:val="auto"/>
                <w:vertAlign w:val="superscript"/>
              </w:rPr>
              <w:t>2</w:t>
            </w:r>
            <w:r>
              <w:rPr>
                <w:rFonts w:hint="default" w:cs="Times New Roman"/>
                <w:color w:val="auto"/>
              </w:rPr>
              <w:t>）</w:t>
            </w:r>
          </w:p>
        </w:tc>
        <w:tc>
          <w:tcPr>
            <w:tcW w:w="1907" w:type="pct"/>
            <w:vAlign w:val="center"/>
          </w:tcPr>
          <w:p w14:paraId="3AC3FB8C">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21981</w:t>
            </w:r>
          </w:p>
        </w:tc>
      </w:tr>
      <w:tr w14:paraId="3F61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6480BEB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专项评价</w:t>
            </w:r>
          </w:p>
          <w:p w14:paraId="2D9725E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设置情况</w:t>
            </w:r>
          </w:p>
        </w:tc>
        <w:tc>
          <w:tcPr>
            <w:tcW w:w="3946" w:type="pct"/>
            <w:gridSpan w:val="3"/>
            <w:vAlign w:val="center"/>
          </w:tcPr>
          <w:p w14:paraId="567CD21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影响报告表编制技术指南（污染影响类）（试行）》，建设项目产生的环境影响需要深入论证的，应按照环境影响评价相关技术导则开展专项评价工作。专项评价的类别根据建设项目排污情况及所涉环境敏感程度确定。详见</w:t>
            </w:r>
            <w:r>
              <w:rPr>
                <w:rFonts w:hint="default" w:cs="Times New Roman"/>
                <w:color w:val="auto"/>
              </w:rPr>
              <w:fldChar w:fldCharType="begin"/>
            </w:r>
            <w:r>
              <w:rPr>
                <w:rFonts w:hint="default" w:cs="Times New Roman"/>
                <w:color w:val="auto"/>
              </w:rPr>
              <w:instrText xml:space="preserve"> REF _Ref24693 \n \h </w:instrText>
            </w:r>
            <w:r>
              <w:rPr>
                <w:rFonts w:hint="default" w:cs="Times New Roman"/>
                <w:color w:val="auto"/>
              </w:rPr>
              <w:fldChar w:fldCharType="separate"/>
            </w:r>
            <w:r>
              <w:rPr>
                <w:rFonts w:hint="default" w:cs="Times New Roman"/>
                <w:color w:val="auto"/>
              </w:rPr>
              <w:t>表1-1</w:t>
            </w:r>
            <w:r>
              <w:rPr>
                <w:rFonts w:hint="default" w:cs="Times New Roman"/>
                <w:color w:val="auto"/>
              </w:rPr>
              <w:fldChar w:fldCharType="end"/>
            </w:r>
            <w:r>
              <w:rPr>
                <w:rFonts w:hint="default" w:cs="Times New Roman"/>
                <w:color w:val="auto"/>
              </w:rPr>
              <w:t>。</w:t>
            </w:r>
          </w:p>
          <w:p w14:paraId="5100A941">
            <w:pPr>
              <w:pStyle w:val="30"/>
              <w:keepNext w:val="0"/>
              <w:keepLines w:val="0"/>
              <w:suppressLineNumbers w:val="0"/>
              <w:spacing w:before="0" w:beforeAutospacing="0" w:after="0" w:afterAutospacing="0"/>
              <w:ind w:left="0" w:right="0"/>
              <w:rPr>
                <w:rFonts w:hint="default"/>
                <w:color w:val="auto"/>
              </w:rPr>
            </w:pPr>
            <w:bookmarkStart w:id="10" w:name="_Ref24693"/>
            <w:r>
              <w:rPr>
                <w:rFonts w:hint="default"/>
                <w:color w:val="auto"/>
              </w:rPr>
              <w:t>专项评价设置原则表</w:t>
            </w:r>
            <w:bookmarkEnd w:id="10"/>
          </w:p>
          <w:tbl>
            <w:tblPr>
              <w:tblStyle w:val="1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172"/>
              <w:gridCol w:w="1420"/>
              <w:gridCol w:w="2134"/>
            </w:tblGrid>
            <w:tr w14:paraId="5895FB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321A52BD">
                  <w:pPr>
                    <w:pStyle w:val="28"/>
                    <w:keepNext w:val="0"/>
                    <w:keepLines w:val="0"/>
                    <w:suppressLineNumbers w:val="0"/>
                    <w:spacing w:before="0" w:beforeAutospacing="0" w:after="0" w:afterAutospacing="0"/>
                    <w:ind w:left="0" w:right="0"/>
                    <w:rPr>
                      <w:rFonts w:hint="default"/>
                      <w:color w:val="auto"/>
                    </w:rPr>
                  </w:pPr>
                  <w:bookmarkStart w:id="11" w:name="_Toc26152"/>
                  <w:bookmarkStart w:id="12" w:name="_Toc13993"/>
                  <w:r>
                    <w:rPr>
                      <w:rFonts w:hint="default"/>
                      <w:color w:val="auto"/>
                    </w:rPr>
                    <w:t>专项评价的类别</w:t>
                  </w:r>
                  <w:bookmarkEnd w:id="11"/>
                  <w:bookmarkEnd w:id="12"/>
                </w:p>
              </w:tc>
              <w:tc>
                <w:tcPr>
                  <w:tcW w:w="1621" w:type="pct"/>
                  <w:vAlign w:val="center"/>
                </w:tcPr>
                <w:p w14:paraId="7200BEDF">
                  <w:pPr>
                    <w:pStyle w:val="28"/>
                    <w:keepNext w:val="0"/>
                    <w:keepLines w:val="0"/>
                    <w:suppressLineNumbers w:val="0"/>
                    <w:spacing w:before="0" w:beforeAutospacing="0" w:after="0" w:afterAutospacing="0"/>
                    <w:ind w:left="0" w:right="0"/>
                    <w:rPr>
                      <w:rFonts w:hint="default"/>
                      <w:color w:val="auto"/>
                    </w:rPr>
                  </w:pPr>
                  <w:bookmarkStart w:id="13" w:name="_Toc21081"/>
                  <w:bookmarkStart w:id="14" w:name="_Toc31213"/>
                  <w:r>
                    <w:rPr>
                      <w:rFonts w:hint="default"/>
                      <w:color w:val="auto"/>
                    </w:rPr>
                    <w:t>设置原则</w:t>
                  </w:r>
                  <w:bookmarkEnd w:id="13"/>
                  <w:bookmarkEnd w:id="14"/>
                </w:p>
              </w:tc>
              <w:tc>
                <w:tcPr>
                  <w:tcW w:w="1060" w:type="pct"/>
                  <w:vAlign w:val="center"/>
                </w:tcPr>
                <w:p w14:paraId="74174909">
                  <w:pPr>
                    <w:pStyle w:val="28"/>
                    <w:keepNext w:val="0"/>
                    <w:keepLines w:val="0"/>
                    <w:suppressLineNumbers w:val="0"/>
                    <w:spacing w:before="0" w:beforeAutospacing="0" w:after="0" w:afterAutospacing="0"/>
                    <w:ind w:left="0" w:right="0"/>
                    <w:rPr>
                      <w:rFonts w:hint="default"/>
                      <w:color w:val="auto"/>
                    </w:rPr>
                  </w:pPr>
                  <w:bookmarkStart w:id="15" w:name="_Toc9968"/>
                  <w:bookmarkStart w:id="16" w:name="_Toc26647"/>
                  <w:r>
                    <w:rPr>
                      <w:rFonts w:hint="default"/>
                      <w:color w:val="auto"/>
                    </w:rPr>
                    <w:t>本项目是否设置专项评价</w:t>
                  </w:r>
                  <w:bookmarkEnd w:id="15"/>
                  <w:bookmarkEnd w:id="16"/>
                </w:p>
              </w:tc>
              <w:tc>
                <w:tcPr>
                  <w:tcW w:w="1591" w:type="pct"/>
                  <w:vAlign w:val="center"/>
                </w:tcPr>
                <w:p w14:paraId="2CEC14F0">
                  <w:pPr>
                    <w:pStyle w:val="28"/>
                    <w:keepNext w:val="0"/>
                    <w:keepLines w:val="0"/>
                    <w:suppressLineNumbers w:val="0"/>
                    <w:spacing w:before="0" w:beforeAutospacing="0" w:after="0" w:afterAutospacing="0"/>
                    <w:ind w:left="0" w:right="0"/>
                    <w:rPr>
                      <w:rFonts w:hint="default"/>
                      <w:color w:val="auto"/>
                    </w:rPr>
                  </w:pPr>
                  <w:bookmarkStart w:id="17" w:name="_Toc26022"/>
                  <w:bookmarkStart w:id="18" w:name="_Toc2655"/>
                  <w:r>
                    <w:rPr>
                      <w:rFonts w:hint="default"/>
                      <w:color w:val="auto"/>
                    </w:rPr>
                    <w:t>理由</w:t>
                  </w:r>
                  <w:bookmarkEnd w:id="17"/>
                  <w:bookmarkEnd w:id="18"/>
                </w:p>
              </w:tc>
            </w:tr>
            <w:tr w14:paraId="049FD9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01F48CD6">
                  <w:pPr>
                    <w:pStyle w:val="28"/>
                    <w:keepNext w:val="0"/>
                    <w:keepLines w:val="0"/>
                    <w:suppressLineNumbers w:val="0"/>
                    <w:spacing w:before="0" w:beforeAutospacing="0" w:after="0" w:afterAutospacing="0"/>
                    <w:ind w:left="0" w:right="0"/>
                    <w:rPr>
                      <w:rFonts w:hint="default"/>
                      <w:color w:val="auto"/>
                    </w:rPr>
                  </w:pPr>
                  <w:bookmarkStart w:id="19" w:name="_Toc5290"/>
                  <w:bookmarkStart w:id="20" w:name="_Toc24364"/>
                  <w:r>
                    <w:rPr>
                      <w:rFonts w:hint="default"/>
                      <w:color w:val="auto"/>
                    </w:rPr>
                    <w:t>大气</w:t>
                  </w:r>
                  <w:bookmarkEnd w:id="19"/>
                  <w:bookmarkEnd w:id="20"/>
                </w:p>
              </w:tc>
              <w:tc>
                <w:tcPr>
                  <w:tcW w:w="1621" w:type="pct"/>
                  <w:vAlign w:val="center"/>
                </w:tcPr>
                <w:p w14:paraId="3D76C64F">
                  <w:pPr>
                    <w:pStyle w:val="28"/>
                    <w:keepNext w:val="0"/>
                    <w:keepLines w:val="0"/>
                    <w:suppressLineNumbers w:val="0"/>
                    <w:spacing w:before="0" w:beforeAutospacing="0" w:after="0" w:afterAutospacing="0"/>
                    <w:ind w:left="0" w:right="0"/>
                    <w:rPr>
                      <w:rFonts w:hint="default"/>
                      <w:color w:val="auto"/>
                    </w:rPr>
                  </w:pPr>
                  <w:bookmarkStart w:id="21" w:name="_Toc15176"/>
                  <w:bookmarkStart w:id="22" w:name="_Toc14932"/>
                  <w:r>
                    <w:rPr>
                      <w:rFonts w:hint="default"/>
                      <w:color w:val="auto"/>
                    </w:rPr>
                    <w:t>排放废气含有毒有害污染物</w:t>
                  </w:r>
                  <w:r>
                    <w:rPr>
                      <w:rFonts w:hint="default"/>
                      <w:color w:val="auto"/>
                      <w:vertAlign w:val="superscript"/>
                    </w:rPr>
                    <w:t>1</w:t>
                  </w:r>
                  <w:r>
                    <w:rPr>
                      <w:rFonts w:hint="default"/>
                      <w:color w:val="auto"/>
                    </w:rPr>
                    <w:t>、二噁英、苯并[a]芘、氰化物、氯气且厂界外500m范围内有环境空气保护目标</w:t>
                  </w:r>
                  <w:r>
                    <w:rPr>
                      <w:rFonts w:hint="default"/>
                      <w:color w:val="auto"/>
                      <w:vertAlign w:val="superscript"/>
                    </w:rPr>
                    <w:t>2</w:t>
                  </w:r>
                  <w:r>
                    <w:rPr>
                      <w:rFonts w:hint="default"/>
                      <w:color w:val="auto"/>
                    </w:rPr>
                    <w:t>的建设项目</w:t>
                  </w:r>
                  <w:bookmarkEnd w:id="21"/>
                  <w:bookmarkEnd w:id="22"/>
                </w:p>
              </w:tc>
              <w:tc>
                <w:tcPr>
                  <w:tcW w:w="1060" w:type="pct"/>
                  <w:vAlign w:val="center"/>
                </w:tcPr>
                <w:p w14:paraId="29EC8259">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否</w:t>
                  </w:r>
                </w:p>
              </w:tc>
              <w:tc>
                <w:tcPr>
                  <w:tcW w:w="1591" w:type="pct"/>
                  <w:vAlign w:val="center"/>
                </w:tcPr>
                <w:p w14:paraId="2C90296E">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本项目主要排放废气为颗粒物、硫化氢、非甲烷总烃，不含有毒有害污染物。</w:t>
                  </w:r>
                </w:p>
              </w:tc>
            </w:tr>
            <w:tr w14:paraId="25844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131D3A20">
                  <w:pPr>
                    <w:pStyle w:val="28"/>
                    <w:keepNext w:val="0"/>
                    <w:keepLines w:val="0"/>
                    <w:suppressLineNumbers w:val="0"/>
                    <w:spacing w:before="0" w:beforeAutospacing="0" w:after="0" w:afterAutospacing="0"/>
                    <w:ind w:left="0" w:right="0"/>
                    <w:rPr>
                      <w:rFonts w:hint="default"/>
                      <w:color w:val="auto"/>
                    </w:rPr>
                  </w:pPr>
                  <w:bookmarkStart w:id="23" w:name="_Toc31765"/>
                  <w:bookmarkStart w:id="24" w:name="_Toc22784"/>
                  <w:r>
                    <w:rPr>
                      <w:rFonts w:hint="default"/>
                      <w:color w:val="auto"/>
                    </w:rPr>
                    <w:t>地表水</w:t>
                  </w:r>
                  <w:bookmarkEnd w:id="23"/>
                  <w:bookmarkEnd w:id="24"/>
                </w:p>
              </w:tc>
              <w:tc>
                <w:tcPr>
                  <w:tcW w:w="1621" w:type="pct"/>
                  <w:vAlign w:val="center"/>
                </w:tcPr>
                <w:p w14:paraId="70098331">
                  <w:pPr>
                    <w:pStyle w:val="28"/>
                    <w:keepNext w:val="0"/>
                    <w:keepLines w:val="0"/>
                    <w:suppressLineNumbers w:val="0"/>
                    <w:spacing w:before="0" w:beforeAutospacing="0" w:after="0" w:afterAutospacing="0"/>
                    <w:ind w:left="0" w:right="0"/>
                    <w:rPr>
                      <w:rFonts w:hint="default"/>
                      <w:color w:val="auto"/>
                    </w:rPr>
                  </w:pPr>
                  <w:bookmarkStart w:id="25" w:name="_Toc19064"/>
                  <w:bookmarkStart w:id="26" w:name="_Toc3887"/>
                  <w:r>
                    <w:rPr>
                      <w:rFonts w:hint="default"/>
                      <w:color w:val="auto"/>
                    </w:rPr>
                    <w:t>新增工业废水直排建设项目（槽罐车外送污水处理厂的除外）；新增废水直排的污水集中处理厂</w:t>
                  </w:r>
                  <w:bookmarkEnd w:id="25"/>
                  <w:bookmarkEnd w:id="26"/>
                </w:p>
              </w:tc>
              <w:tc>
                <w:tcPr>
                  <w:tcW w:w="1060" w:type="pct"/>
                  <w:vAlign w:val="center"/>
                </w:tcPr>
                <w:p w14:paraId="03E38514">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否</w:t>
                  </w:r>
                </w:p>
              </w:tc>
              <w:tc>
                <w:tcPr>
                  <w:tcW w:w="1591" w:type="pct"/>
                  <w:vAlign w:val="center"/>
                </w:tcPr>
                <w:p w14:paraId="4D0E10DD">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项目外排废水均进入园区污水处理厂集中处理，不属于新增工业废水直排建设项目。</w:t>
                  </w:r>
                </w:p>
              </w:tc>
            </w:tr>
            <w:tr w14:paraId="4081A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5C6BAFE8">
                  <w:pPr>
                    <w:pStyle w:val="28"/>
                    <w:keepNext w:val="0"/>
                    <w:keepLines w:val="0"/>
                    <w:suppressLineNumbers w:val="0"/>
                    <w:spacing w:before="0" w:beforeAutospacing="0" w:after="0" w:afterAutospacing="0"/>
                    <w:ind w:left="0" w:right="0"/>
                    <w:rPr>
                      <w:rFonts w:hint="default"/>
                      <w:color w:val="auto"/>
                    </w:rPr>
                  </w:pPr>
                  <w:bookmarkStart w:id="27" w:name="_Toc17029"/>
                  <w:bookmarkStart w:id="28" w:name="_Toc6924"/>
                  <w:r>
                    <w:rPr>
                      <w:rFonts w:hint="default"/>
                      <w:color w:val="auto"/>
                    </w:rPr>
                    <w:t>环境风险</w:t>
                  </w:r>
                  <w:bookmarkEnd w:id="27"/>
                  <w:bookmarkEnd w:id="28"/>
                </w:p>
              </w:tc>
              <w:tc>
                <w:tcPr>
                  <w:tcW w:w="1621" w:type="pct"/>
                  <w:vAlign w:val="center"/>
                </w:tcPr>
                <w:p w14:paraId="48CB532E">
                  <w:pPr>
                    <w:pStyle w:val="28"/>
                    <w:keepNext w:val="0"/>
                    <w:keepLines w:val="0"/>
                    <w:suppressLineNumbers w:val="0"/>
                    <w:spacing w:before="0" w:beforeAutospacing="0" w:after="0" w:afterAutospacing="0"/>
                    <w:ind w:left="0" w:right="0"/>
                    <w:rPr>
                      <w:rFonts w:hint="default"/>
                      <w:color w:val="auto"/>
                    </w:rPr>
                  </w:pPr>
                  <w:bookmarkStart w:id="29" w:name="_Toc25125"/>
                  <w:bookmarkStart w:id="30" w:name="_Toc3056"/>
                  <w:r>
                    <w:rPr>
                      <w:rFonts w:hint="default"/>
                      <w:color w:val="auto"/>
                    </w:rPr>
                    <w:t>有毒有害和易燃易爆危险物质存储量超过临界量</w:t>
                  </w:r>
                  <w:r>
                    <w:rPr>
                      <w:rFonts w:hint="default"/>
                      <w:color w:val="auto"/>
                      <w:vertAlign w:val="superscript"/>
                    </w:rPr>
                    <w:t>3</w:t>
                  </w:r>
                  <w:r>
                    <w:rPr>
                      <w:rFonts w:hint="default"/>
                      <w:color w:val="auto"/>
                    </w:rPr>
                    <w:t>的建设项目</w:t>
                  </w:r>
                  <w:bookmarkEnd w:id="29"/>
                  <w:bookmarkEnd w:id="30"/>
                </w:p>
              </w:tc>
              <w:tc>
                <w:tcPr>
                  <w:tcW w:w="1060" w:type="pct"/>
                  <w:vAlign w:val="center"/>
                </w:tcPr>
                <w:p w14:paraId="0A3079F9">
                  <w:pPr>
                    <w:pStyle w:val="50"/>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是</w:t>
                  </w:r>
                </w:p>
              </w:tc>
              <w:tc>
                <w:tcPr>
                  <w:tcW w:w="1591" w:type="pct"/>
                  <w:vAlign w:val="center"/>
                </w:tcPr>
                <w:p w14:paraId="0BF40BD1">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本项目计算Q值117.308，超过临界量，因此本次评价设置环境风险专题</w:t>
                  </w:r>
                </w:p>
              </w:tc>
            </w:tr>
            <w:tr w14:paraId="52D33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4E468E91">
                  <w:pPr>
                    <w:pStyle w:val="28"/>
                    <w:keepNext w:val="0"/>
                    <w:keepLines w:val="0"/>
                    <w:suppressLineNumbers w:val="0"/>
                    <w:spacing w:before="0" w:beforeAutospacing="0" w:after="0" w:afterAutospacing="0"/>
                    <w:ind w:left="0" w:right="0"/>
                    <w:rPr>
                      <w:rFonts w:hint="default"/>
                      <w:color w:val="auto"/>
                    </w:rPr>
                  </w:pPr>
                  <w:bookmarkStart w:id="31" w:name="_Toc19701"/>
                  <w:bookmarkStart w:id="32" w:name="_Toc3338"/>
                  <w:r>
                    <w:rPr>
                      <w:rFonts w:hint="default"/>
                      <w:color w:val="auto"/>
                    </w:rPr>
                    <w:t>生态</w:t>
                  </w:r>
                  <w:bookmarkEnd w:id="31"/>
                  <w:bookmarkEnd w:id="32"/>
                </w:p>
              </w:tc>
              <w:tc>
                <w:tcPr>
                  <w:tcW w:w="1621" w:type="pct"/>
                  <w:vAlign w:val="center"/>
                </w:tcPr>
                <w:p w14:paraId="6EE1BDBA">
                  <w:pPr>
                    <w:pStyle w:val="28"/>
                    <w:keepNext w:val="0"/>
                    <w:keepLines w:val="0"/>
                    <w:suppressLineNumbers w:val="0"/>
                    <w:spacing w:before="0" w:beforeAutospacing="0" w:after="0" w:afterAutospacing="0"/>
                    <w:ind w:left="0" w:right="0"/>
                    <w:rPr>
                      <w:rFonts w:hint="default"/>
                      <w:color w:val="auto"/>
                    </w:rPr>
                  </w:pPr>
                  <w:bookmarkStart w:id="33" w:name="_Toc13486"/>
                  <w:bookmarkStart w:id="34" w:name="_Toc30478"/>
                  <w:r>
                    <w:rPr>
                      <w:rFonts w:hint="default"/>
                      <w:color w:val="auto"/>
                    </w:rPr>
                    <w:t>取水口下游500米范围内有重要水生生物的自然产卵场、索饵场、越冬场和洄游通道的新增河道取水的污染类建设项目</w:t>
                  </w:r>
                  <w:bookmarkEnd w:id="33"/>
                  <w:bookmarkEnd w:id="34"/>
                </w:p>
              </w:tc>
              <w:tc>
                <w:tcPr>
                  <w:tcW w:w="1060" w:type="pct"/>
                  <w:vAlign w:val="center"/>
                </w:tcPr>
                <w:p w14:paraId="581904D3">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否</w:t>
                  </w:r>
                </w:p>
              </w:tc>
              <w:tc>
                <w:tcPr>
                  <w:tcW w:w="1591" w:type="pct"/>
                  <w:vAlign w:val="center"/>
                </w:tcPr>
                <w:p w14:paraId="72DE2DDB">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项目由园区管网供水，不涉及新建取水口</w:t>
                  </w:r>
                </w:p>
              </w:tc>
            </w:tr>
            <w:tr w14:paraId="73507E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pct"/>
                  <w:vAlign w:val="center"/>
                </w:tcPr>
                <w:p w14:paraId="6CAFCBE5">
                  <w:pPr>
                    <w:pStyle w:val="28"/>
                    <w:keepNext w:val="0"/>
                    <w:keepLines w:val="0"/>
                    <w:suppressLineNumbers w:val="0"/>
                    <w:spacing w:before="0" w:beforeAutospacing="0" w:after="0" w:afterAutospacing="0"/>
                    <w:ind w:left="0" w:right="0"/>
                    <w:rPr>
                      <w:rFonts w:hint="default"/>
                      <w:color w:val="auto"/>
                    </w:rPr>
                  </w:pPr>
                  <w:bookmarkStart w:id="35" w:name="_Toc5616"/>
                  <w:bookmarkStart w:id="36" w:name="_Toc7713"/>
                  <w:r>
                    <w:rPr>
                      <w:rFonts w:hint="default"/>
                      <w:color w:val="auto"/>
                    </w:rPr>
                    <w:t>海洋</w:t>
                  </w:r>
                  <w:bookmarkEnd w:id="35"/>
                  <w:bookmarkEnd w:id="36"/>
                </w:p>
              </w:tc>
              <w:tc>
                <w:tcPr>
                  <w:tcW w:w="1621" w:type="pct"/>
                  <w:vAlign w:val="center"/>
                </w:tcPr>
                <w:p w14:paraId="31BD887B">
                  <w:pPr>
                    <w:pStyle w:val="28"/>
                    <w:keepNext w:val="0"/>
                    <w:keepLines w:val="0"/>
                    <w:suppressLineNumbers w:val="0"/>
                    <w:spacing w:before="0" w:beforeAutospacing="0" w:after="0" w:afterAutospacing="0"/>
                    <w:ind w:left="0" w:right="0"/>
                    <w:rPr>
                      <w:rFonts w:hint="default"/>
                      <w:color w:val="auto"/>
                    </w:rPr>
                  </w:pPr>
                  <w:bookmarkStart w:id="37" w:name="_Toc8988"/>
                  <w:bookmarkStart w:id="38" w:name="_Toc9930"/>
                  <w:r>
                    <w:rPr>
                      <w:rFonts w:hint="default"/>
                      <w:color w:val="auto"/>
                    </w:rPr>
                    <w:t>直接向海排放污染物的海洋工程建设项目</w:t>
                  </w:r>
                  <w:bookmarkEnd w:id="37"/>
                  <w:bookmarkEnd w:id="38"/>
                </w:p>
              </w:tc>
              <w:tc>
                <w:tcPr>
                  <w:tcW w:w="1060" w:type="pct"/>
                  <w:vAlign w:val="center"/>
                </w:tcPr>
                <w:p w14:paraId="4CFFEB82">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否</w:t>
                  </w:r>
                </w:p>
              </w:tc>
              <w:tc>
                <w:tcPr>
                  <w:tcW w:w="1591" w:type="pct"/>
                  <w:vAlign w:val="center"/>
                </w:tcPr>
                <w:p w14:paraId="2E6E3984">
                  <w:pPr>
                    <w:pStyle w:val="50"/>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不涉及</w:t>
                  </w:r>
                </w:p>
              </w:tc>
            </w:tr>
            <w:tr w14:paraId="10FDE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3FC6DD2">
                  <w:pPr>
                    <w:pStyle w:val="28"/>
                    <w:keepNext w:val="0"/>
                    <w:keepLines w:val="0"/>
                    <w:suppressLineNumbers w:val="0"/>
                    <w:spacing w:before="0" w:beforeAutospacing="0" w:after="0" w:afterAutospacing="0"/>
                    <w:ind w:left="0" w:right="0"/>
                    <w:jc w:val="both"/>
                    <w:rPr>
                      <w:rFonts w:hint="default"/>
                      <w:color w:val="auto"/>
                    </w:rPr>
                  </w:pPr>
                  <w:bookmarkStart w:id="39" w:name="_Toc133"/>
                  <w:bookmarkStart w:id="40" w:name="_Toc19924"/>
                  <w:r>
                    <w:rPr>
                      <w:rFonts w:hint="default"/>
                      <w:color w:va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bookmarkEnd w:id="39"/>
                  <w:bookmarkEnd w:id="40"/>
                </w:p>
              </w:tc>
            </w:tr>
          </w:tbl>
          <w:p w14:paraId="3B34BB2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综上，本项目仅需设置环境风险专项评价。</w:t>
            </w:r>
          </w:p>
        </w:tc>
      </w:tr>
      <w:tr w14:paraId="6201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44A09805">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规划情况</w:t>
            </w:r>
          </w:p>
        </w:tc>
        <w:tc>
          <w:tcPr>
            <w:tcW w:w="3946" w:type="pct"/>
            <w:gridSpan w:val="3"/>
            <w:vAlign w:val="center"/>
          </w:tcPr>
          <w:p w14:paraId="71E53F1B">
            <w:pPr>
              <w:keepNext w:val="0"/>
              <w:keepLines w:val="0"/>
              <w:numPr>
                <w:ilvl w:val="0"/>
                <w:numId w:val="11"/>
              </w:numPr>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规划名称：《四川达州普光经济开发区总体规划》（2019-2035）</w:t>
            </w:r>
          </w:p>
          <w:p w14:paraId="78DEEFF9">
            <w:pPr>
              <w:keepNext w:val="0"/>
              <w:keepLines w:val="0"/>
              <w:numPr>
                <w:ilvl w:val="0"/>
                <w:numId w:val="11"/>
              </w:numPr>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审批机关：四川省人民政府</w:t>
            </w:r>
          </w:p>
          <w:p w14:paraId="31F6755F">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（3）审批文件名称及文号：《四川省人民政府关于设立四川蒲江经济开发区等64家省级开发区的批复》（川府函〔2019〕20号，2019年1月25日）</w:t>
            </w:r>
          </w:p>
        </w:tc>
      </w:tr>
      <w:tr w14:paraId="30F9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14:paraId="1D20E28C">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规划环境影响评价情况</w:t>
            </w:r>
          </w:p>
        </w:tc>
        <w:tc>
          <w:tcPr>
            <w:tcW w:w="3946" w:type="pct"/>
            <w:gridSpan w:val="3"/>
            <w:vAlign w:val="center"/>
          </w:tcPr>
          <w:p w14:paraId="415E5537">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（1）规划环评名称：《四川达州普光经济开发区总体规划（2019~2035）环境影响报告书》</w:t>
            </w:r>
          </w:p>
          <w:p w14:paraId="6A1E5F34">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（2）审批机关：四川省生态环境厅</w:t>
            </w:r>
          </w:p>
          <w:p w14:paraId="468731AC">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（3）文件名称及文号：《关于印发</w:t>
            </w:r>
            <w:r>
              <w:rPr>
                <w:rFonts w:hint="eastAsia" w:cs="Times New Roman"/>
                <w:color w:val="auto"/>
              </w:rPr>
              <w:t>〈</w:t>
            </w:r>
            <w:r>
              <w:rPr>
                <w:rFonts w:hint="default" w:cs="Times New Roman"/>
                <w:color w:val="auto"/>
              </w:rPr>
              <w:t>四川达州普光经济开发区总体规划（2019-2035）环境影响报告书</w:t>
            </w:r>
            <w:r>
              <w:rPr>
                <w:rFonts w:hint="eastAsia" w:cs="Times New Roman"/>
                <w:color w:val="auto"/>
              </w:rPr>
              <w:t>〉</w:t>
            </w:r>
            <w:r>
              <w:rPr>
                <w:rFonts w:hint="default" w:cs="Times New Roman"/>
                <w:color w:val="auto"/>
              </w:rPr>
              <w:t>审查意见的函》（川环建函〔2021〕9号，2021年3月19日）</w:t>
            </w:r>
          </w:p>
        </w:tc>
      </w:tr>
      <w:tr w14:paraId="35D6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23B5F1A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w:t>规划及规划环境影响评价符合性分析</w:t>
            </w:r>
          </w:p>
        </w:tc>
        <w:tc>
          <w:tcPr>
            <w:tcW w:w="4489" w:type="pct"/>
            <w:gridSpan w:val="4"/>
            <w:vAlign w:val="center"/>
          </w:tcPr>
          <w:p w14:paraId="3403E4FD">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1、与《四川达州普光经济开发区总体规划（2019-2035）》及其规划环评符合性分析</w:t>
            </w:r>
          </w:p>
          <w:p w14:paraId="1A0D730D">
            <w:pPr>
              <w:keepNext w:val="0"/>
              <w:keepLines w:val="0"/>
              <w:suppressLineNumbers w:val="0"/>
              <w:spacing w:before="0" w:beforeAutospacing="0" w:after="0" w:afterAutospacing="0"/>
              <w:ind w:left="0" w:right="0" w:firstLine="480"/>
              <w:rPr>
                <w:rFonts w:hint="default" w:cs="Times New Roman"/>
                <w:color w:val="auto"/>
                <w:lang w:val="en-US"/>
              </w:rPr>
            </w:pPr>
            <w:r>
              <w:rPr>
                <w:rFonts w:hint="eastAsia" w:cs="Times New Roman"/>
                <w:color w:val="auto"/>
                <w:lang w:val="en-US" w:eastAsia="zh-CN"/>
              </w:rPr>
              <w:t>四川达州普光经济开发区（简称“普光经开区”）位于四川省达州市宣汉县，受川东北低山、丘陵地貌制约，经开区呈功能区组团式发展，包含普光、柳池、方斗、南坝、五宝</w:t>
            </w:r>
            <w:r>
              <w:rPr>
                <w:rFonts w:hint="default" w:cs="Times New Roman"/>
                <w:color w:val="auto"/>
                <w:lang w:val="en-US" w:eastAsia="zh-CN"/>
              </w:rPr>
              <w:t>5</w:t>
            </w:r>
            <w:r>
              <w:rPr>
                <w:rFonts w:hint="eastAsia" w:cs="Times New Roman"/>
                <w:color w:val="auto"/>
                <w:lang w:val="en-US" w:eastAsia="zh-CN"/>
              </w:rPr>
              <w:t>个功能区。依托县域内丰富的天然气、硫磺、地下深层卤水资源，经开区围绕中石化达州天然气净化有限公司（普光天然气净化厂）、中国石油天然气股份有限公司西南油气田川东北作业分公司（南坝天然气净化厂）的天然气开发主要发展以天然气为原料或燃料的延链产业，包括天然气化工、硫化工、锂钾综合开发、冶金建材、新材料、农副产品加工等。</w:t>
            </w:r>
          </w:p>
          <w:p w14:paraId="3522F29F">
            <w:pPr>
              <w:keepNext w:val="0"/>
              <w:keepLines w:val="0"/>
              <w:suppressLineNumbers w:val="0"/>
              <w:spacing w:before="0" w:beforeAutospacing="0" w:after="0" w:afterAutospacing="0"/>
              <w:ind w:left="0" w:right="0" w:firstLine="480"/>
              <w:rPr>
                <w:rFonts w:hint="default" w:cs="Times New Roman"/>
                <w:color w:val="auto"/>
                <w:lang w:val="en-US"/>
              </w:rPr>
            </w:pPr>
            <w:r>
              <w:rPr>
                <w:rFonts w:hint="eastAsia" w:cs="Times New Roman"/>
                <w:color w:val="auto"/>
                <w:lang w:val="en-US" w:eastAsia="zh-CN"/>
              </w:rPr>
              <w:t>受产业发展需要和用地条件等制约，普光经开区先后开展了</w:t>
            </w:r>
            <w:r>
              <w:rPr>
                <w:rFonts w:hint="default" w:cs="Times New Roman"/>
                <w:color w:val="auto"/>
                <w:lang w:val="en-US" w:eastAsia="zh-CN"/>
              </w:rPr>
              <w:t>3</w:t>
            </w:r>
            <w:r>
              <w:rPr>
                <w:rFonts w:hint="eastAsia" w:cs="Times New Roman"/>
                <w:color w:val="auto"/>
                <w:lang w:val="en-US" w:eastAsia="zh-CN"/>
              </w:rPr>
              <w:t>次规划和规划环评，规划环评分别于</w:t>
            </w:r>
            <w:r>
              <w:rPr>
                <w:rFonts w:hint="default" w:cs="Times New Roman"/>
                <w:color w:val="auto"/>
                <w:lang w:val="en-US" w:eastAsia="zh-CN"/>
              </w:rPr>
              <w:t>2013</w:t>
            </w:r>
            <w:r>
              <w:rPr>
                <w:rFonts w:hint="eastAsia" w:cs="Times New Roman"/>
                <w:color w:val="auto"/>
                <w:lang w:val="en-US" w:eastAsia="zh-CN"/>
              </w:rPr>
              <w:t>年、</w:t>
            </w:r>
            <w:r>
              <w:rPr>
                <w:rFonts w:hint="default" w:cs="Times New Roman"/>
                <w:color w:val="auto"/>
                <w:lang w:val="en-US" w:eastAsia="zh-CN"/>
              </w:rPr>
              <w:t>2016</w:t>
            </w:r>
            <w:r>
              <w:rPr>
                <w:rFonts w:hint="eastAsia" w:cs="Times New Roman"/>
                <w:color w:val="auto"/>
                <w:lang w:val="en-US" w:eastAsia="zh-CN"/>
              </w:rPr>
              <w:t>年、</w:t>
            </w:r>
            <w:r>
              <w:rPr>
                <w:rFonts w:hint="default" w:cs="Times New Roman"/>
                <w:color w:val="auto"/>
                <w:lang w:val="en-US" w:eastAsia="zh-CN"/>
              </w:rPr>
              <w:t>2021</w:t>
            </w:r>
            <w:r>
              <w:rPr>
                <w:rFonts w:hint="eastAsia" w:cs="Times New Roman"/>
                <w:color w:val="auto"/>
                <w:lang w:val="en-US" w:eastAsia="zh-CN"/>
              </w:rPr>
              <w:t>年取得了省生态环境厅的审查意见（川环建函〔</w:t>
            </w:r>
            <w:r>
              <w:rPr>
                <w:rFonts w:hint="default" w:cs="Times New Roman"/>
                <w:color w:val="auto"/>
                <w:lang w:val="en-US" w:eastAsia="zh-CN"/>
              </w:rPr>
              <w:t>2013</w:t>
            </w:r>
            <w:r>
              <w:rPr>
                <w:rFonts w:hint="eastAsia" w:cs="Times New Roman"/>
                <w:color w:val="auto"/>
                <w:lang w:val="en-US" w:eastAsia="zh-CN"/>
              </w:rPr>
              <w:t>〕</w:t>
            </w:r>
            <w:r>
              <w:rPr>
                <w:rFonts w:hint="default" w:cs="Times New Roman"/>
                <w:color w:val="auto"/>
                <w:lang w:val="en-US" w:eastAsia="zh-CN"/>
              </w:rPr>
              <w:t>196</w:t>
            </w:r>
            <w:r>
              <w:rPr>
                <w:rFonts w:hint="eastAsia" w:cs="Times New Roman"/>
                <w:color w:val="auto"/>
                <w:lang w:val="en-US" w:eastAsia="zh-CN"/>
              </w:rPr>
              <w:t>号、川环建函〔</w:t>
            </w:r>
            <w:r>
              <w:rPr>
                <w:rFonts w:hint="default" w:cs="Times New Roman"/>
                <w:color w:val="auto"/>
                <w:lang w:val="en-US" w:eastAsia="zh-CN"/>
              </w:rPr>
              <w:t>2016</w:t>
            </w:r>
            <w:r>
              <w:rPr>
                <w:rFonts w:hint="eastAsia" w:cs="Times New Roman"/>
                <w:color w:val="auto"/>
                <w:lang w:val="en-US" w:eastAsia="zh-CN"/>
              </w:rPr>
              <w:t>〕</w:t>
            </w:r>
            <w:r>
              <w:rPr>
                <w:rFonts w:hint="default" w:cs="Times New Roman"/>
                <w:color w:val="auto"/>
                <w:lang w:val="en-US" w:eastAsia="zh-CN"/>
              </w:rPr>
              <w:t>3</w:t>
            </w:r>
            <w:r>
              <w:rPr>
                <w:rFonts w:hint="eastAsia" w:cs="Times New Roman"/>
                <w:color w:val="auto"/>
                <w:lang w:val="en-US" w:eastAsia="zh-CN"/>
              </w:rPr>
              <w:t>号、川环建函〔</w:t>
            </w:r>
            <w:r>
              <w:rPr>
                <w:rFonts w:hint="default" w:cs="Times New Roman"/>
                <w:color w:val="auto"/>
                <w:lang w:val="en-US" w:eastAsia="zh-CN"/>
              </w:rPr>
              <w:t>2021</w:t>
            </w:r>
            <w:r>
              <w:rPr>
                <w:rFonts w:hint="eastAsia" w:cs="Times New Roman"/>
                <w:color w:val="auto"/>
                <w:lang w:val="en-US" w:eastAsia="zh-CN"/>
              </w:rPr>
              <w:t>〕</w:t>
            </w:r>
            <w:r>
              <w:rPr>
                <w:rFonts w:hint="default" w:cs="Times New Roman"/>
                <w:color w:val="auto"/>
                <w:lang w:val="en-US" w:eastAsia="zh-CN"/>
              </w:rPr>
              <w:t>9</w:t>
            </w:r>
            <w:r>
              <w:rPr>
                <w:rFonts w:hint="eastAsia" w:cs="Times New Roman"/>
                <w:color w:val="auto"/>
                <w:lang w:val="en-US" w:eastAsia="zh-CN"/>
              </w:rPr>
              <w:t>号）。</w:t>
            </w:r>
            <w:r>
              <w:rPr>
                <w:rFonts w:hint="default" w:cs="Times New Roman"/>
                <w:color w:val="auto"/>
                <w:lang w:val="en-US" w:eastAsia="zh-CN"/>
              </w:rPr>
              <w:t>2018</w:t>
            </w:r>
            <w:r>
              <w:rPr>
                <w:rFonts w:hint="eastAsia" w:cs="Times New Roman"/>
                <w:color w:val="auto"/>
                <w:lang w:val="en-US" w:eastAsia="zh-CN"/>
              </w:rPr>
              <w:t>年，经国务院批准，普光经开区纳入《中国开发区审核公告目录》（</w:t>
            </w:r>
            <w:r>
              <w:rPr>
                <w:rFonts w:hint="default" w:cs="Times New Roman"/>
                <w:color w:val="auto"/>
                <w:lang w:val="en-US" w:eastAsia="zh-CN"/>
              </w:rPr>
              <w:t>2018</w:t>
            </w:r>
            <w:r>
              <w:rPr>
                <w:rFonts w:hint="eastAsia" w:cs="Times New Roman"/>
                <w:color w:val="auto"/>
                <w:lang w:val="en-US" w:eastAsia="zh-CN"/>
              </w:rPr>
              <w:t>年版）；</w:t>
            </w:r>
            <w:r>
              <w:rPr>
                <w:rFonts w:hint="default" w:cs="Times New Roman"/>
                <w:color w:val="auto"/>
                <w:lang w:val="en-US" w:eastAsia="zh-CN"/>
              </w:rPr>
              <w:t>2019</w:t>
            </w:r>
            <w:r>
              <w:rPr>
                <w:rFonts w:hint="eastAsia" w:cs="Times New Roman"/>
                <w:color w:val="auto"/>
                <w:lang w:val="en-US" w:eastAsia="zh-CN"/>
              </w:rPr>
              <w:t>年，经省人民政府批准设立为省级开发区（川府函〔</w:t>
            </w:r>
            <w:r>
              <w:rPr>
                <w:rFonts w:hint="default" w:cs="Times New Roman"/>
                <w:color w:val="auto"/>
                <w:lang w:val="en-US" w:eastAsia="zh-CN"/>
              </w:rPr>
              <w:t>2019</w:t>
            </w:r>
            <w:r>
              <w:rPr>
                <w:rFonts w:hint="eastAsia" w:cs="Times New Roman"/>
                <w:color w:val="auto"/>
                <w:lang w:val="en-US" w:eastAsia="zh-CN"/>
              </w:rPr>
              <w:t>〕</w:t>
            </w:r>
            <w:r>
              <w:rPr>
                <w:rFonts w:hint="default" w:cs="Times New Roman"/>
                <w:color w:val="auto"/>
                <w:lang w:val="en-US" w:eastAsia="zh-CN"/>
              </w:rPr>
              <w:t>20</w:t>
            </w:r>
            <w:r>
              <w:rPr>
                <w:rFonts w:hint="eastAsia" w:cs="Times New Roman"/>
                <w:color w:val="auto"/>
                <w:lang w:val="en-US" w:eastAsia="zh-CN"/>
              </w:rPr>
              <w:t>号），主导产业天然气化工、建材、新材料，核准面积</w:t>
            </w:r>
            <w:bookmarkStart w:id="41" w:name="_Hlk149211807"/>
            <w:r>
              <w:rPr>
                <w:rFonts w:hint="default" w:cs="Times New Roman"/>
                <w:color w:val="auto"/>
                <w:lang w:val="en-US" w:eastAsia="zh-CN"/>
              </w:rPr>
              <w:t>1.0975</w:t>
            </w:r>
            <w:bookmarkStart w:id="42" w:name="_Hlk139552438"/>
            <w:r>
              <w:rPr>
                <w:rFonts w:hint="default" w:cs="Times New Roman"/>
                <w:color w:val="auto"/>
                <w:lang w:val="en-US" w:eastAsia="zh-CN"/>
              </w:rPr>
              <w:t>km</w:t>
            </w:r>
            <w:r>
              <w:rPr>
                <w:rFonts w:hint="default" w:cs="Times New Roman"/>
                <w:color w:val="auto"/>
                <w:vertAlign w:val="superscript"/>
                <w:lang w:val="en-US" w:eastAsia="zh-CN"/>
              </w:rPr>
              <w:t>2</w:t>
            </w:r>
            <w:bookmarkEnd w:id="41"/>
            <w:bookmarkEnd w:id="42"/>
            <w:r>
              <w:rPr>
                <w:rFonts w:hint="eastAsia" w:cs="Times New Roman"/>
                <w:color w:val="auto"/>
                <w:lang w:val="en-US" w:eastAsia="zh-CN"/>
              </w:rPr>
              <w:t>。</w:t>
            </w:r>
            <w:r>
              <w:rPr>
                <w:rFonts w:hint="default" w:cs="Times New Roman"/>
                <w:color w:val="auto"/>
                <w:lang w:val="en-US" w:eastAsia="zh-CN"/>
              </w:rPr>
              <w:t>2022</w:t>
            </w:r>
            <w:r>
              <w:rPr>
                <w:rFonts w:hint="eastAsia" w:cs="Times New Roman"/>
                <w:color w:val="auto"/>
                <w:lang w:val="en-US" w:eastAsia="zh-CN"/>
              </w:rPr>
              <w:t>年</w:t>
            </w:r>
            <w:r>
              <w:rPr>
                <w:rFonts w:hint="default" w:cs="Times New Roman"/>
                <w:color w:val="auto"/>
                <w:lang w:val="en-US" w:eastAsia="zh-CN"/>
              </w:rPr>
              <w:t>6</w:t>
            </w:r>
            <w:r>
              <w:rPr>
                <w:rFonts w:hint="eastAsia" w:cs="Times New Roman"/>
                <w:color w:val="auto"/>
                <w:lang w:val="en-US" w:eastAsia="zh-CN"/>
              </w:rPr>
              <w:t>月，经省人民政府第</w:t>
            </w:r>
            <w:r>
              <w:rPr>
                <w:rFonts w:hint="default" w:cs="Times New Roman"/>
                <w:color w:val="auto"/>
                <w:lang w:val="en-US" w:eastAsia="zh-CN"/>
              </w:rPr>
              <w:t>105</w:t>
            </w:r>
            <w:r>
              <w:rPr>
                <w:rFonts w:hint="eastAsia" w:cs="Times New Roman"/>
                <w:color w:val="auto"/>
                <w:lang w:val="en-US" w:eastAsia="zh-CN"/>
              </w:rPr>
              <w:t>次常务会议审议通过，四川省经济和信息化厅办公室发布《四川省经济和信息化厅等6部门关于公布四川省第二批化工园区的通知》（川经信化工〔2019〕126号），达州普光化工园区作为四川省第二批化工园区之一认定成功，</w:t>
            </w:r>
            <w:bookmarkStart w:id="43" w:name="_Hlk149212617"/>
            <w:r>
              <w:rPr>
                <w:rFonts w:hint="eastAsia" w:cs="Times New Roman"/>
                <w:color w:val="auto"/>
                <w:lang w:val="en-US" w:eastAsia="zh-CN"/>
              </w:rPr>
              <w:t>认定面积</w:t>
            </w:r>
            <w:r>
              <w:rPr>
                <w:rFonts w:hint="default" w:cs="Times New Roman"/>
                <w:color w:val="auto"/>
                <w:lang w:val="en-US" w:eastAsia="zh-CN"/>
              </w:rPr>
              <w:t>3.611km</w:t>
            </w:r>
            <w:r>
              <w:rPr>
                <w:rFonts w:hint="default" w:cs="Times New Roman"/>
                <w:color w:val="auto"/>
                <w:vertAlign w:val="superscript"/>
                <w:lang w:val="en-US" w:eastAsia="zh-CN"/>
              </w:rPr>
              <w:t>2</w:t>
            </w:r>
            <w:r>
              <w:rPr>
                <w:rFonts w:hint="eastAsia" w:cs="Times New Roman"/>
                <w:color w:val="auto"/>
                <w:lang w:val="en-US" w:eastAsia="zh-CN"/>
              </w:rPr>
              <w:t>。</w:t>
            </w:r>
            <w:bookmarkEnd w:id="43"/>
            <w:bookmarkStart w:id="44" w:name="_Hlk149212568"/>
            <w:r>
              <w:rPr>
                <w:rFonts w:hint="eastAsia" w:cs="Times New Roman"/>
                <w:color w:val="auto"/>
                <w:lang w:val="en-US" w:eastAsia="zh-CN"/>
              </w:rPr>
              <w:t>达州普光化工园区位于四川达州普光经济开发区普光功能区，</w:t>
            </w:r>
            <w:bookmarkEnd w:id="44"/>
            <w:r>
              <w:rPr>
                <w:rFonts w:hint="eastAsia" w:cs="Times New Roman"/>
                <w:color w:val="auto"/>
                <w:lang w:val="en-US" w:eastAsia="zh-CN"/>
              </w:rPr>
              <w:t>重点发展产业为天然气化工、硫化工、锂钾综合开发。</w:t>
            </w:r>
          </w:p>
          <w:p w14:paraId="19F6B20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根据《四川达州普光经济开发区总体规划（2019-2035）》，四川达州普光经济开发区（以下简称“普光经开区”）规划范围总计29.95km</w:t>
            </w:r>
            <w:r>
              <w:rPr>
                <w:rFonts w:hint="default" w:cs="Times New Roman"/>
                <w:color w:val="auto"/>
                <w:vertAlign w:val="superscript"/>
              </w:rPr>
              <w:t>2</w:t>
            </w:r>
            <w:r>
              <w:rPr>
                <w:rFonts w:hint="default" w:cs="Times New Roman"/>
                <w:color w:val="auto"/>
              </w:rPr>
              <w:t>，分为东区、西区两个片区，其中西区25.93km</w:t>
            </w:r>
            <w:r>
              <w:rPr>
                <w:rFonts w:hint="default" w:cs="Times New Roman"/>
                <w:color w:val="auto"/>
                <w:vertAlign w:val="superscript"/>
              </w:rPr>
              <w:t>2</w:t>
            </w:r>
            <w:r>
              <w:rPr>
                <w:rFonts w:hint="default" w:cs="Times New Roman"/>
                <w:color w:val="auto"/>
              </w:rPr>
              <w:t>、东区4.02km</w:t>
            </w:r>
            <w:r>
              <w:rPr>
                <w:rFonts w:hint="default" w:cs="Times New Roman"/>
                <w:color w:val="auto"/>
                <w:vertAlign w:val="superscript"/>
              </w:rPr>
              <w:t>2</w:t>
            </w:r>
            <w:r>
              <w:rPr>
                <w:rFonts w:hint="default" w:cs="Times New Roman"/>
                <w:color w:val="auto"/>
              </w:rPr>
              <w:t>。西区包括普光功能区、柳池功能区、方斗功能区，东区包括南坝功能区、独树梁功能区、五宝功能区。</w:t>
            </w:r>
          </w:p>
          <w:p w14:paraId="0348DD13">
            <w:pPr>
              <w:keepNext w:val="0"/>
              <w:keepLines w:val="0"/>
              <w:suppressLineNumbers w:val="0"/>
              <w:spacing w:before="0" w:beforeAutospacing="0" w:after="0" w:afterAutospacing="0" w:line="360" w:lineRule="auto"/>
              <w:ind w:left="0" w:right="0" w:firstLine="482"/>
              <w:rPr>
                <w:rFonts w:hint="default" w:cs="Times New Roman"/>
                <w:color w:val="auto"/>
              </w:rPr>
            </w:pPr>
            <w:r>
              <w:rPr>
                <w:rFonts w:hint="default" w:cs="Times New Roman"/>
                <w:b/>
                <w:bCs/>
                <w:color w:val="auto"/>
              </w:rPr>
              <w:t>发展定位与目标：</w:t>
            </w:r>
            <w:r>
              <w:rPr>
                <w:rFonts w:hint="default" w:cs="Times New Roman"/>
                <w:color w:val="auto"/>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14:paraId="285C5261">
            <w:pPr>
              <w:keepNext w:val="0"/>
              <w:keepLines w:val="0"/>
              <w:suppressLineNumbers w:val="0"/>
              <w:spacing w:before="0" w:beforeAutospacing="0" w:after="0" w:afterAutospacing="0" w:line="360" w:lineRule="auto"/>
              <w:ind w:left="0" w:right="0" w:firstLine="482"/>
              <w:rPr>
                <w:rFonts w:hint="default" w:cs="Times New Roman"/>
                <w:color w:val="auto"/>
              </w:rPr>
            </w:pPr>
            <w:r>
              <w:rPr>
                <w:rFonts w:hint="default" w:cs="Times New Roman"/>
                <w:b/>
                <w:bCs/>
                <w:color w:val="auto"/>
              </w:rPr>
              <w:t>产业布局：</w:t>
            </w:r>
            <w:r>
              <w:rPr>
                <w:rFonts w:hint="default" w:cs="Times New Roman"/>
                <w:color w:val="auto"/>
              </w:rPr>
              <w:t>①西区产业布局：西区规划形成天然气开采及其综合利用组团、锂钾开采及其综合利用组团、农副产品加工组团、机械建材制造组团、冶金制造组团。②东区产业布局结构：东区规划形成三大功能组团，包括天然气净化组团，独树梁、五宝功能区的农副产品加工组团。</w:t>
            </w:r>
          </w:p>
          <w:p w14:paraId="4ADDF8AB">
            <w:pPr>
              <w:keepNext w:val="0"/>
              <w:keepLines w:val="0"/>
              <w:suppressLineNumbers w:val="0"/>
              <w:spacing w:before="0" w:beforeAutospacing="0" w:after="0" w:afterAutospacing="0" w:line="360" w:lineRule="auto"/>
              <w:ind w:left="0" w:right="0" w:firstLine="482"/>
              <w:rPr>
                <w:rFonts w:hint="default" w:cs="Times New Roman"/>
                <w:b/>
                <w:bCs/>
                <w:color w:val="auto"/>
              </w:rPr>
            </w:pPr>
            <w:r>
              <w:rPr>
                <w:rFonts w:hint="default" w:cs="Times New Roman"/>
                <w:b/>
                <w:bCs/>
                <w:color w:val="auto"/>
              </w:rPr>
              <w:t>本项目选址于达州普光化工园区</w:t>
            </w:r>
            <w:r>
              <w:rPr>
                <w:rFonts w:hint="eastAsia" w:cs="Times New Roman"/>
                <w:b/>
                <w:bCs/>
                <w:color w:val="auto"/>
                <w:lang w:eastAsia="zh-CN"/>
              </w:rPr>
              <w:t>的</w:t>
            </w:r>
            <w:r>
              <w:rPr>
                <w:rFonts w:hint="default" w:cs="Times New Roman"/>
                <w:b/>
                <w:bCs/>
                <w:color w:val="auto"/>
              </w:rPr>
              <w:t>工业用地范围内，与园区主导产业相符，符合园区规划要求。</w:t>
            </w:r>
          </w:p>
          <w:p w14:paraId="7E06DF63">
            <w:pPr>
              <w:keepNext w:val="0"/>
              <w:keepLines w:val="0"/>
              <w:suppressLineNumbers w:val="0"/>
              <w:spacing w:before="0" w:beforeAutospacing="0" w:after="0" w:afterAutospacing="0" w:line="360" w:lineRule="auto"/>
              <w:ind w:left="0" w:right="0" w:firstLine="482"/>
              <w:rPr>
                <w:rFonts w:hint="default" w:cs="Times New Roman"/>
                <w:b/>
                <w:bCs/>
                <w:color w:val="auto"/>
              </w:rPr>
            </w:pPr>
            <w:r>
              <w:rPr>
                <w:rFonts w:hint="default" w:cs="Times New Roman"/>
                <w:b/>
                <w:bCs/>
                <w:color w:val="auto"/>
              </w:rPr>
              <w:t>本项目位于四川达州普光经济开发区达州普光化工园区范围内，普光功能区规划如下：</w:t>
            </w:r>
          </w:p>
          <w:p w14:paraId="2FB72E81">
            <w:pPr>
              <w:keepNext w:val="0"/>
              <w:keepLines w:val="0"/>
              <w:suppressLineNumbers w:val="0"/>
              <w:spacing w:before="0" w:beforeAutospacing="0" w:after="0" w:afterAutospacing="0" w:line="360" w:lineRule="auto"/>
              <w:ind w:left="0" w:right="0" w:firstLine="482"/>
              <w:rPr>
                <w:rFonts w:hint="default" w:cs="Times New Roman"/>
                <w:color w:val="auto"/>
              </w:rPr>
            </w:pPr>
            <w:r>
              <w:rPr>
                <w:rFonts w:hint="default" w:cs="Times New Roman"/>
                <w:b/>
                <w:bCs/>
                <w:color w:val="auto"/>
              </w:rPr>
              <w:t>规划范围：</w:t>
            </w:r>
            <w:r>
              <w:rPr>
                <w:rFonts w:hint="default" w:cs="Times New Roman"/>
                <w:color w:val="auto"/>
              </w:rPr>
              <w:t>位于普光镇辖区，西北面向杏树村方向延伸，西南向双树村方向延伸，北面适当延伸，东面、南面范围不变，规划面积15.1227km</w:t>
            </w:r>
            <w:r>
              <w:rPr>
                <w:rFonts w:hint="default" w:cs="Times New Roman"/>
                <w:color w:val="auto"/>
                <w:vertAlign w:val="superscript"/>
              </w:rPr>
              <w:t>2</w:t>
            </w:r>
            <w:r>
              <w:rPr>
                <w:rFonts w:hint="default" w:cs="Times New Roman"/>
                <w:color w:val="auto"/>
              </w:rPr>
              <w:t>。</w:t>
            </w:r>
          </w:p>
          <w:p w14:paraId="672E87B5">
            <w:pPr>
              <w:keepNext w:val="0"/>
              <w:keepLines w:val="0"/>
              <w:suppressLineNumbers w:val="0"/>
              <w:spacing w:before="0" w:beforeAutospacing="0" w:after="0" w:afterAutospacing="0" w:line="360" w:lineRule="auto"/>
              <w:ind w:left="0" w:right="0" w:firstLine="482"/>
              <w:rPr>
                <w:rFonts w:hint="default" w:cs="Times New Roman"/>
                <w:color w:val="auto"/>
              </w:rPr>
            </w:pPr>
            <w:r>
              <w:rPr>
                <w:rFonts w:hint="default" w:cs="Times New Roman"/>
                <w:b/>
                <w:bCs/>
                <w:color w:val="auto"/>
              </w:rPr>
              <w:t>主导产业：</w:t>
            </w:r>
            <w:r>
              <w:rPr>
                <w:rFonts w:hint="default" w:cs="Times New Roman"/>
                <w:color w:val="auto"/>
              </w:rPr>
              <w:t>普光功能区主导产业为天然气相关产业（天然气化工、硫化工）、锂钾综合开发产业（含卤水资源提取、锂离子电池产业）。以天然气净化厂为产业核心，发展天然气化工、硫化工等产业。以锂资源开发为核心，兼顾钾、钠、溴、硼等资源综合利用，同时发展锂离子电池产业。</w:t>
            </w:r>
          </w:p>
          <w:p w14:paraId="524DB31F">
            <w:pPr>
              <w:keepNext w:val="0"/>
              <w:keepLines w:val="0"/>
              <w:suppressLineNumbers w:val="0"/>
              <w:spacing w:before="0" w:beforeAutospacing="0" w:after="0" w:afterAutospacing="0" w:line="360" w:lineRule="auto"/>
              <w:ind w:left="0" w:right="0" w:firstLine="480"/>
              <w:rPr>
                <w:rFonts w:hint="default" w:cs="Times New Roman"/>
                <w:color w:val="auto"/>
              </w:rPr>
            </w:pPr>
            <w:r>
              <w:rPr>
                <w:rFonts w:hint="default" w:cs="Times New Roman"/>
                <w:color w:val="auto"/>
              </w:rPr>
              <w:t>2020年12月，四川省生态环境厅组织审查了《四川达州普光经济开发区总体规划（2019-2035）环境影响报告书》，并于2021年3月出具了审查意见（川环建函〔2021〕9号，见附件），项目与园区环境管控要求和生态环境准入清单的符合性见下表。</w:t>
            </w:r>
          </w:p>
          <w:p w14:paraId="647560EA">
            <w:pPr>
              <w:keepNext w:val="0"/>
              <w:keepLines w:val="0"/>
              <w:suppressLineNumbers w:val="0"/>
              <w:spacing w:before="0" w:beforeAutospacing="0" w:after="0" w:afterAutospacing="0"/>
              <w:ind w:left="0" w:right="0" w:firstLine="480"/>
              <w:rPr>
                <w:rFonts w:hint="default" w:cs="Times New Roman"/>
                <w:color w:val="auto"/>
              </w:rPr>
            </w:pPr>
          </w:p>
          <w:p w14:paraId="005B7CC7">
            <w:pPr>
              <w:keepNext w:val="0"/>
              <w:keepLines w:val="0"/>
              <w:suppressLineNumbers w:val="0"/>
              <w:spacing w:before="0" w:beforeAutospacing="0" w:after="0" w:afterAutospacing="0"/>
              <w:ind w:left="0" w:right="0" w:firstLine="480"/>
              <w:rPr>
                <w:rFonts w:hint="default" w:cs="Times New Roman"/>
                <w:color w:val="auto"/>
              </w:rPr>
            </w:pPr>
          </w:p>
          <w:p w14:paraId="308EAFC1">
            <w:pPr>
              <w:keepNext w:val="0"/>
              <w:keepLines w:val="0"/>
              <w:suppressLineNumbers w:val="0"/>
              <w:spacing w:before="0" w:beforeAutospacing="0" w:after="0" w:afterAutospacing="0"/>
              <w:ind w:left="0" w:right="0" w:firstLine="480"/>
              <w:rPr>
                <w:rFonts w:hint="default" w:cs="Times New Roman"/>
                <w:color w:val="auto"/>
              </w:rPr>
            </w:pPr>
          </w:p>
          <w:p w14:paraId="5D3F884A">
            <w:pPr>
              <w:keepNext w:val="0"/>
              <w:keepLines w:val="0"/>
              <w:suppressLineNumbers w:val="0"/>
              <w:spacing w:before="0" w:beforeAutospacing="0" w:after="0" w:afterAutospacing="0"/>
              <w:ind w:left="0" w:right="0" w:firstLine="480"/>
              <w:rPr>
                <w:rFonts w:hint="default" w:cs="Times New Roman"/>
                <w:color w:val="auto"/>
              </w:rPr>
            </w:pPr>
          </w:p>
          <w:p w14:paraId="1DE75C18">
            <w:pPr>
              <w:keepNext w:val="0"/>
              <w:keepLines w:val="0"/>
              <w:suppressLineNumbers w:val="0"/>
              <w:spacing w:before="0" w:beforeAutospacing="0" w:after="0" w:afterAutospacing="0"/>
              <w:ind w:left="0" w:right="0" w:firstLine="480"/>
              <w:rPr>
                <w:rFonts w:hint="default" w:cs="Times New Roman"/>
                <w:color w:val="auto"/>
              </w:rPr>
            </w:pPr>
          </w:p>
          <w:p w14:paraId="6FB40116">
            <w:pPr>
              <w:pStyle w:val="36"/>
              <w:keepNext w:val="0"/>
              <w:keepLines w:val="0"/>
              <w:suppressLineNumbers w:val="0"/>
              <w:spacing w:before="0" w:beforeAutospacing="0" w:after="0" w:afterAutospacing="0"/>
              <w:ind w:left="0" w:right="0"/>
              <w:rPr>
                <w:rFonts w:hint="default" w:cs="Times New Roman"/>
                <w:color w:val="auto"/>
              </w:rPr>
            </w:pPr>
            <w:r>
              <w:rPr>
                <w:rStyle w:val="37"/>
                <w:rFonts w:hint="default" w:cs="Times New Roman"/>
                <w:color w:val="auto"/>
              </w:rPr>
              <w:t>与普光功能区规划环评要求符合性分析</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40"/>
              <w:gridCol w:w="3142"/>
              <w:gridCol w:w="2360"/>
              <w:gridCol w:w="718"/>
            </w:tblGrid>
            <w:tr w14:paraId="65E24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tblHeader/>
                <w:jc w:val="center"/>
              </w:trPr>
              <w:tc>
                <w:tcPr>
                  <w:tcW w:w="450" w:type="pct"/>
                  <w:tcBorders>
                    <w:tl2br w:val="nil"/>
                    <w:tr2bl w:val="nil"/>
                  </w:tcBorders>
                  <w:vAlign w:val="center"/>
                </w:tcPr>
                <w:p w14:paraId="484C78E7">
                  <w:pPr>
                    <w:pStyle w:val="28"/>
                    <w:keepNext w:val="0"/>
                    <w:keepLines w:val="0"/>
                    <w:suppressLineNumbers w:val="0"/>
                    <w:spacing w:before="0" w:beforeAutospacing="0" w:after="0" w:afterAutospacing="0"/>
                    <w:ind w:left="0" w:right="0"/>
                    <w:rPr>
                      <w:rFonts w:hint="default"/>
                      <w:color w:val="auto"/>
                    </w:rPr>
                  </w:pPr>
                  <w:r>
                    <w:rPr>
                      <w:rFonts w:hint="default"/>
                      <w:color w:val="auto"/>
                    </w:rPr>
                    <w:t>功能区</w:t>
                  </w:r>
                </w:p>
              </w:tc>
              <w:tc>
                <w:tcPr>
                  <w:tcW w:w="484" w:type="pct"/>
                  <w:tcBorders>
                    <w:tl2br w:val="nil"/>
                    <w:tr2bl w:val="nil"/>
                  </w:tcBorders>
                  <w:vAlign w:val="center"/>
                </w:tcPr>
                <w:p w14:paraId="6D2310A2">
                  <w:pPr>
                    <w:pStyle w:val="28"/>
                    <w:keepNext w:val="0"/>
                    <w:keepLines w:val="0"/>
                    <w:suppressLineNumbers w:val="0"/>
                    <w:spacing w:before="0" w:beforeAutospacing="0" w:after="0" w:afterAutospacing="0"/>
                    <w:ind w:left="0" w:right="0"/>
                    <w:rPr>
                      <w:rFonts w:hint="default"/>
                      <w:color w:val="auto"/>
                    </w:rPr>
                  </w:pPr>
                  <w:r>
                    <w:rPr>
                      <w:rFonts w:hint="default"/>
                      <w:color w:val="auto"/>
                    </w:rPr>
                    <w:t>类别</w:t>
                  </w:r>
                </w:p>
              </w:tc>
              <w:tc>
                <w:tcPr>
                  <w:tcW w:w="2054" w:type="pct"/>
                  <w:tcBorders>
                    <w:tl2br w:val="nil"/>
                    <w:tr2bl w:val="nil"/>
                  </w:tcBorders>
                  <w:vAlign w:val="center"/>
                </w:tcPr>
                <w:p w14:paraId="3C4FBB3E">
                  <w:pPr>
                    <w:pStyle w:val="28"/>
                    <w:keepNext w:val="0"/>
                    <w:keepLines w:val="0"/>
                    <w:suppressLineNumbers w:val="0"/>
                    <w:spacing w:before="0" w:beforeAutospacing="0" w:after="0" w:afterAutospacing="0"/>
                    <w:ind w:left="0" w:right="0"/>
                    <w:rPr>
                      <w:rFonts w:hint="default"/>
                      <w:color w:val="auto"/>
                    </w:rPr>
                  </w:pPr>
                  <w:r>
                    <w:rPr>
                      <w:rFonts w:hint="default"/>
                      <w:color w:val="auto"/>
                    </w:rPr>
                    <w:t>禁止准入</w:t>
                  </w:r>
                </w:p>
              </w:tc>
              <w:tc>
                <w:tcPr>
                  <w:tcW w:w="1543" w:type="pct"/>
                  <w:tcBorders>
                    <w:tl2br w:val="nil"/>
                    <w:tr2bl w:val="nil"/>
                  </w:tcBorders>
                  <w:vAlign w:val="center"/>
                </w:tcPr>
                <w:p w14:paraId="24B319D0">
                  <w:pPr>
                    <w:pStyle w:val="28"/>
                    <w:keepNext w:val="0"/>
                    <w:keepLines w:val="0"/>
                    <w:suppressLineNumbers w:val="0"/>
                    <w:spacing w:before="0" w:beforeAutospacing="0" w:after="0" w:afterAutospacing="0"/>
                    <w:ind w:left="0" w:right="0"/>
                    <w:rPr>
                      <w:rFonts w:hint="default"/>
                      <w:color w:val="auto"/>
                    </w:rPr>
                  </w:pPr>
                  <w:r>
                    <w:rPr>
                      <w:rFonts w:hint="default"/>
                      <w:color w:val="auto"/>
                    </w:rPr>
                    <w:t>本项目</w:t>
                  </w:r>
                </w:p>
              </w:tc>
              <w:tc>
                <w:tcPr>
                  <w:tcW w:w="469" w:type="pct"/>
                  <w:tcBorders>
                    <w:tl2br w:val="nil"/>
                    <w:tr2bl w:val="nil"/>
                  </w:tcBorders>
                  <w:vAlign w:val="center"/>
                </w:tcPr>
                <w:p w14:paraId="115731B2">
                  <w:pPr>
                    <w:pStyle w:val="28"/>
                    <w:keepNext w:val="0"/>
                    <w:keepLines w:val="0"/>
                    <w:suppressLineNumbers w:val="0"/>
                    <w:spacing w:before="0" w:beforeAutospacing="0" w:after="0" w:afterAutospacing="0"/>
                    <w:ind w:left="0" w:right="0"/>
                    <w:rPr>
                      <w:rFonts w:hint="default"/>
                      <w:color w:val="auto"/>
                    </w:rPr>
                  </w:pPr>
                  <w:r>
                    <w:rPr>
                      <w:rFonts w:hint="default"/>
                      <w:color w:val="auto"/>
                    </w:rPr>
                    <w:t>符合性</w:t>
                  </w:r>
                </w:p>
              </w:tc>
            </w:tr>
            <w:tr w14:paraId="605A8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50" w:type="pct"/>
                  <w:vMerge w:val="restart"/>
                  <w:tcBorders>
                    <w:tl2br w:val="nil"/>
                    <w:tr2bl w:val="nil"/>
                  </w:tcBorders>
                  <w:vAlign w:val="center"/>
                </w:tcPr>
                <w:p w14:paraId="34F4104C">
                  <w:pPr>
                    <w:pStyle w:val="28"/>
                    <w:keepNext w:val="0"/>
                    <w:keepLines w:val="0"/>
                    <w:suppressLineNumbers w:val="0"/>
                    <w:spacing w:before="0" w:beforeAutospacing="0" w:after="0" w:afterAutospacing="0"/>
                    <w:ind w:left="0" w:right="0"/>
                    <w:rPr>
                      <w:rFonts w:hint="default"/>
                      <w:color w:val="auto"/>
                    </w:rPr>
                  </w:pPr>
                  <w:r>
                    <w:rPr>
                      <w:rFonts w:hint="default"/>
                      <w:color w:val="auto"/>
                    </w:rPr>
                    <w:t>总体管控要求及准入清单</w:t>
                  </w:r>
                </w:p>
              </w:tc>
              <w:tc>
                <w:tcPr>
                  <w:tcW w:w="484" w:type="pct"/>
                  <w:tcBorders>
                    <w:tl2br w:val="nil"/>
                    <w:tr2bl w:val="nil"/>
                  </w:tcBorders>
                  <w:vAlign w:val="center"/>
                </w:tcPr>
                <w:p w14:paraId="54CAA2D7">
                  <w:pPr>
                    <w:pStyle w:val="28"/>
                    <w:keepNext w:val="0"/>
                    <w:keepLines w:val="0"/>
                    <w:suppressLineNumbers w:val="0"/>
                    <w:spacing w:before="0" w:beforeAutospacing="0" w:after="0" w:afterAutospacing="0"/>
                    <w:ind w:left="0" w:right="0"/>
                    <w:rPr>
                      <w:rFonts w:hint="default"/>
                      <w:color w:val="auto"/>
                    </w:rPr>
                  </w:pPr>
                  <w:r>
                    <w:rPr>
                      <w:rFonts w:hint="default"/>
                      <w:color w:val="auto"/>
                    </w:rPr>
                    <w:t>空间布局约束</w:t>
                  </w:r>
                </w:p>
              </w:tc>
              <w:tc>
                <w:tcPr>
                  <w:tcW w:w="2054" w:type="pct"/>
                  <w:tcBorders>
                    <w:tl2br w:val="nil"/>
                    <w:tr2bl w:val="nil"/>
                  </w:tcBorders>
                  <w:vAlign w:val="center"/>
                </w:tcPr>
                <w:p w14:paraId="4F6FF903">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经开区生产生活、开发建设活动应当遵守长江保护相关法律法规的要求；</w:t>
                  </w:r>
                </w:p>
                <w:p w14:paraId="01A31DC3">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2 \* GB3 </w:instrText>
                  </w:r>
                  <w:r>
                    <w:rPr>
                      <w:rFonts w:hint="default"/>
                      <w:color w:val="auto"/>
                    </w:rPr>
                    <w:fldChar w:fldCharType="separate"/>
                  </w:r>
                  <w:r>
                    <w:rPr>
                      <w:rFonts w:hint="default"/>
                      <w:color w:val="auto"/>
                    </w:rPr>
                    <w:t>②</w:t>
                  </w:r>
                  <w:r>
                    <w:rPr>
                      <w:rFonts w:hint="default"/>
                      <w:color w:val="auto"/>
                    </w:rPr>
                    <w:fldChar w:fldCharType="end"/>
                  </w:r>
                  <w:r>
                    <w:rPr>
                      <w:rFonts w:hint="default"/>
                      <w:color w:val="auto"/>
                    </w:rPr>
                    <w:t>禁止引入与功能区主导产业相禁忌、容易形成交叉影响的项目。</w:t>
                  </w:r>
                </w:p>
              </w:tc>
              <w:tc>
                <w:tcPr>
                  <w:tcW w:w="1543" w:type="pct"/>
                  <w:tcBorders>
                    <w:tl2br w:val="nil"/>
                    <w:tr2bl w:val="nil"/>
                  </w:tcBorders>
                  <w:vAlign w:val="center"/>
                </w:tcPr>
                <w:p w14:paraId="58D5F89D">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本项目为食品级硫磺、工业级硫磺等产品生产，满足长江保护相关法律法规要求，不属于与园区主导产业相禁忌、形成交叉影响的项目，为园区鼓励发展的项目。</w:t>
                  </w:r>
                </w:p>
              </w:tc>
              <w:tc>
                <w:tcPr>
                  <w:tcW w:w="469" w:type="pct"/>
                  <w:tcBorders>
                    <w:tl2br w:val="nil"/>
                    <w:tr2bl w:val="nil"/>
                  </w:tcBorders>
                  <w:vAlign w:val="center"/>
                </w:tcPr>
                <w:p w14:paraId="79B734EC">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3D1B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9" w:hRule="atLeast"/>
                <w:jc w:val="center"/>
              </w:trPr>
              <w:tc>
                <w:tcPr>
                  <w:tcW w:w="450" w:type="pct"/>
                  <w:vMerge w:val="continue"/>
                  <w:tcBorders>
                    <w:tl2br w:val="nil"/>
                    <w:tr2bl w:val="nil"/>
                  </w:tcBorders>
                  <w:vAlign w:val="center"/>
                </w:tcPr>
                <w:p w14:paraId="0855F9B9">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4CF3E8F6">
                  <w:pPr>
                    <w:pStyle w:val="28"/>
                    <w:keepNext w:val="0"/>
                    <w:keepLines w:val="0"/>
                    <w:suppressLineNumbers w:val="0"/>
                    <w:spacing w:before="0" w:beforeAutospacing="0" w:after="0" w:afterAutospacing="0"/>
                    <w:ind w:left="0" w:right="0"/>
                    <w:rPr>
                      <w:rFonts w:hint="default"/>
                      <w:color w:val="auto"/>
                    </w:rPr>
                  </w:pPr>
                  <w:r>
                    <w:rPr>
                      <w:rFonts w:hint="default"/>
                      <w:color w:val="auto"/>
                    </w:rPr>
                    <w:t>污染物排放管控</w:t>
                  </w:r>
                </w:p>
              </w:tc>
              <w:tc>
                <w:tcPr>
                  <w:tcW w:w="2054" w:type="pct"/>
                  <w:tcBorders>
                    <w:tl2br w:val="nil"/>
                    <w:tr2bl w:val="nil"/>
                  </w:tcBorders>
                  <w:vAlign w:val="center"/>
                </w:tcPr>
                <w:p w14:paraId="102E408F">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禁止引入不符合国家、省、市重金属污染防治规划相关要求的项目；</w:t>
                  </w:r>
                </w:p>
                <w:p w14:paraId="52C3D9EE">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2 \* GB3 </w:instrText>
                  </w:r>
                  <w:r>
                    <w:rPr>
                      <w:rFonts w:hint="default"/>
                      <w:color w:val="auto"/>
                    </w:rPr>
                    <w:fldChar w:fldCharType="separate"/>
                  </w:r>
                  <w:r>
                    <w:rPr>
                      <w:rFonts w:hint="default"/>
                      <w:color w:val="auto"/>
                    </w:rPr>
                    <w:t>②</w:t>
                  </w:r>
                  <w:r>
                    <w:rPr>
                      <w:rFonts w:hint="default"/>
                      <w:color w:val="auto"/>
                    </w:rPr>
                    <w:fldChar w:fldCharType="end"/>
                  </w:r>
                  <w:r>
                    <w:rPr>
                      <w:rFonts w:hint="default"/>
                      <w:color w:val="auto"/>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543" w:type="pct"/>
                  <w:tcBorders>
                    <w:tl2br w:val="nil"/>
                    <w:tr2bl w:val="nil"/>
                  </w:tcBorders>
                  <w:vAlign w:val="center"/>
                </w:tcPr>
                <w:p w14:paraId="7C8F5039">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本项目不涉及重金属污染物排放；</w:t>
                  </w:r>
                </w:p>
                <w:p w14:paraId="175AD12D">
                  <w:pPr>
                    <w:pStyle w:val="28"/>
                    <w:keepNext w:val="0"/>
                    <w:keepLines w:val="0"/>
                    <w:suppressLineNumbers w:val="0"/>
                    <w:spacing w:before="0" w:beforeAutospacing="0" w:after="0" w:afterAutospacing="0"/>
                    <w:ind w:left="0" w:right="0"/>
                    <w:rPr>
                      <w:rFonts w:hint="default"/>
                      <w:color w:val="auto"/>
                    </w:rPr>
                  </w:pPr>
                  <w:r>
                    <w:rPr>
                      <w:rFonts w:hint="default"/>
                      <w:color w:val="auto"/>
                    </w:rPr>
                    <w:t>本项目废气主要涉及颗粒物及硫化氢，废气排放执行相应行业排放标准，可以满足达标排放要求，对区域环境空气质量影响很小。</w:t>
                  </w:r>
                </w:p>
              </w:tc>
              <w:tc>
                <w:tcPr>
                  <w:tcW w:w="469" w:type="pct"/>
                  <w:tcBorders>
                    <w:tl2br w:val="nil"/>
                    <w:tr2bl w:val="nil"/>
                  </w:tcBorders>
                  <w:vAlign w:val="center"/>
                </w:tcPr>
                <w:p w14:paraId="4964D67A">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0748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450" w:type="pct"/>
                  <w:vMerge w:val="continue"/>
                  <w:tcBorders>
                    <w:tl2br w:val="nil"/>
                    <w:tr2bl w:val="nil"/>
                  </w:tcBorders>
                  <w:vAlign w:val="center"/>
                </w:tcPr>
                <w:p w14:paraId="7E602711">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1B6A6163">
                  <w:pPr>
                    <w:pStyle w:val="28"/>
                    <w:keepNext w:val="0"/>
                    <w:keepLines w:val="0"/>
                    <w:suppressLineNumbers w:val="0"/>
                    <w:spacing w:before="0" w:beforeAutospacing="0" w:after="0" w:afterAutospacing="0"/>
                    <w:ind w:left="0" w:right="0"/>
                    <w:rPr>
                      <w:rFonts w:hint="default"/>
                      <w:color w:val="auto"/>
                    </w:rPr>
                  </w:pPr>
                  <w:r>
                    <w:rPr>
                      <w:rFonts w:hint="default"/>
                      <w:color w:val="auto"/>
                    </w:rPr>
                    <w:t>环境风险防控</w:t>
                  </w:r>
                </w:p>
              </w:tc>
              <w:tc>
                <w:tcPr>
                  <w:tcW w:w="2054" w:type="pct"/>
                  <w:tcBorders>
                    <w:tl2br w:val="nil"/>
                    <w:tr2bl w:val="nil"/>
                  </w:tcBorders>
                  <w:vAlign w:val="center"/>
                </w:tcPr>
                <w:p w14:paraId="5F731AE3">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风险源与环境敏感目标保持符合规范要求的安全距离，切实做好危险化学品贮运、使用过程中的安全防范措施，最大程度降低环境风险事故发生的几率；</w:t>
                  </w:r>
                </w:p>
                <w:p w14:paraId="3C9402E7">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2 \* GB3 </w:instrText>
                  </w:r>
                  <w:r>
                    <w:rPr>
                      <w:rFonts w:hint="default"/>
                      <w:color w:val="auto"/>
                    </w:rPr>
                    <w:fldChar w:fldCharType="separate"/>
                  </w:r>
                  <w:r>
                    <w:rPr>
                      <w:rFonts w:hint="default"/>
                      <w:color w:val="auto"/>
                    </w:rPr>
                    <w:t>②</w:t>
                  </w:r>
                  <w:r>
                    <w:rPr>
                      <w:rFonts w:hint="default"/>
                      <w:color w:val="auto"/>
                    </w:rPr>
                    <w:fldChar w:fldCharType="end"/>
                  </w:r>
                  <w:r>
                    <w:rPr>
                      <w:rFonts w:hint="default"/>
                      <w:color w:val="auto"/>
                    </w:rPr>
                    <w:t>制定切实可行的环境风险应急预案，定期开展环境风险应急演练，建立与敏感目标的环境风险应急联动机制。</w:t>
                  </w:r>
                </w:p>
              </w:tc>
              <w:tc>
                <w:tcPr>
                  <w:tcW w:w="1543" w:type="pct"/>
                  <w:tcBorders>
                    <w:tl2br w:val="nil"/>
                    <w:tr2bl w:val="nil"/>
                  </w:tcBorders>
                  <w:vAlign w:val="center"/>
                </w:tcPr>
                <w:p w14:paraId="22490154">
                  <w:pPr>
                    <w:pStyle w:val="28"/>
                    <w:keepNext w:val="0"/>
                    <w:keepLines w:val="0"/>
                    <w:suppressLineNumbers w:val="0"/>
                    <w:spacing w:before="0" w:beforeAutospacing="0" w:after="0" w:afterAutospacing="0"/>
                    <w:ind w:left="0" w:right="0"/>
                    <w:rPr>
                      <w:rFonts w:hint="default"/>
                      <w:color w:val="auto"/>
                    </w:rPr>
                  </w:pPr>
                  <w:r>
                    <w:rPr>
                      <w:rFonts w:hint="default"/>
                      <w:color w:val="auto"/>
                    </w:rPr>
                    <w:t>项目与周围环境敏感目标的距离符合规范要求；营运中将采取环境风险防范措施，制定环境风险应急预案，定期进行应急演练，项目环境风险可控。</w:t>
                  </w:r>
                </w:p>
              </w:tc>
              <w:tc>
                <w:tcPr>
                  <w:tcW w:w="469" w:type="pct"/>
                  <w:tcBorders>
                    <w:tl2br w:val="nil"/>
                    <w:tr2bl w:val="nil"/>
                  </w:tcBorders>
                  <w:vAlign w:val="center"/>
                </w:tcPr>
                <w:p w14:paraId="317167B3">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0523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450" w:type="pct"/>
                  <w:vMerge w:val="continue"/>
                  <w:tcBorders>
                    <w:tl2br w:val="nil"/>
                    <w:tr2bl w:val="nil"/>
                  </w:tcBorders>
                  <w:vAlign w:val="center"/>
                </w:tcPr>
                <w:p w14:paraId="521E14C0">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17CF04CD">
                  <w:pPr>
                    <w:pStyle w:val="28"/>
                    <w:keepNext w:val="0"/>
                    <w:keepLines w:val="0"/>
                    <w:suppressLineNumbers w:val="0"/>
                    <w:spacing w:before="0" w:beforeAutospacing="0" w:after="0" w:afterAutospacing="0"/>
                    <w:ind w:left="0" w:right="0"/>
                    <w:rPr>
                      <w:rFonts w:hint="default"/>
                      <w:color w:val="auto"/>
                    </w:rPr>
                  </w:pPr>
                  <w:r>
                    <w:rPr>
                      <w:rFonts w:hint="default"/>
                      <w:color w:val="auto"/>
                    </w:rPr>
                    <w:t>资源开发利用要求</w:t>
                  </w:r>
                </w:p>
              </w:tc>
              <w:tc>
                <w:tcPr>
                  <w:tcW w:w="2054" w:type="pct"/>
                  <w:tcBorders>
                    <w:tl2br w:val="nil"/>
                    <w:tr2bl w:val="nil"/>
                  </w:tcBorders>
                  <w:vAlign w:val="center"/>
                </w:tcPr>
                <w:p w14:paraId="6D93F267">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禁止引入不符合国家产业政策、行业准入条件以及国家和地方明令禁止的项目；</w:t>
                  </w:r>
                </w:p>
                <w:p w14:paraId="3E761048">
                  <w:pPr>
                    <w:pStyle w:val="28"/>
                    <w:keepNext w:val="0"/>
                    <w:keepLines w:val="0"/>
                    <w:suppressLineNumbers w:val="0"/>
                    <w:spacing w:before="0" w:beforeAutospacing="0" w:after="0" w:afterAutospacing="0"/>
                    <w:ind w:left="0" w:right="0"/>
                    <w:rPr>
                      <w:rFonts w:hint="default"/>
                      <w:color w:val="auto"/>
                    </w:rPr>
                  </w:pPr>
                  <w:r>
                    <w:rPr>
                      <w:rFonts w:hint="default"/>
                      <w:color w:val="auto"/>
                    </w:rPr>
                    <w:t>②禁止引入清洁生产水平达不到行业清洁生产水平二级标准或低于全国同类企业平均清洁生产水平的项目。</w:t>
                  </w:r>
                </w:p>
              </w:tc>
              <w:tc>
                <w:tcPr>
                  <w:tcW w:w="1543" w:type="pct"/>
                  <w:tcBorders>
                    <w:tl2br w:val="nil"/>
                    <w:tr2bl w:val="nil"/>
                  </w:tcBorders>
                  <w:vAlign w:val="center"/>
                </w:tcPr>
                <w:p w14:paraId="51C8C022">
                  <w:pPr>
                    <w:pStyle w:val="28"/>
                    <w:keepNext w:val="0"/>
                    <w:keepLines w:val="0"/>
                    <w:suppressLineNumbers w:val="0"/>
                    <w:spacing w:before="0" w:beforeAutospacing="0" w:after="0" w:afterAutospacing="0"/>
                    <w:ind w:left="0" w:right="0"/>
                    <w:rPr>
                      <w:rFonts w:hint="default"/>
                      <w:color w:val="auto"/>
                    </w:rPr>
                  </w:pPr>
                  <w:r>
                    <w:rPr>
                      <w:rFonts w:hint="default"/>
                      <w:color w:val="auto"/>
                    </w:rPr>
                    <w:t>本项目符合国家产业政策及行业准入条件；本项目采用国内先进生产工艺、设备，符合清洁生产水平要求。</w:t>
                  </w:r>
                </w:p>
              </w:tc>
              <w:tc>
                <w:tcPr>
                  <w:tcW w:w="469" w:type="pct"/>
                  <w:tcBorders>
                    <w:tl2br w:val="nil"/>
                    <w:tr2bl w:val="nil"/>
                  </w:tcBorders>
                  <w:vAlign w:val="center"/>
                </w:tcPr>
                <w:p w14:paraId="7B0EC3E5">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3A975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50" w:type="pct"/>
                  <w:vMerge w:val="restart"/>
                  <w:tcBorders>
                    <w:tl2br w:val="nil"/>
                    <w:tr2bl w:val="nil"/>
                  </w:tcBorders>
                  <w:vAlign w:val="center"/>
                </w:tcPr>
                <w:p w14:paraId="639CA9BE">
                  <w:pPr>
                    <w:pStyle w:val="28"/>
                    <w:keepNext w:val="0"/>
                    <w:keepLines w:val="0"/>
                    <w:suppressLineNumbers w:val="0"/>
                    <w:spacing w:before="0" w:beforeAutospacing="0" w:after="0" w:afterAutospacing="0"/>
                    <w:ind w:left="0" w:right="0"/>
                    <w:rPr>
                      <w:rFonts w:hint="default"/>
                      <w:color w:val="auto"/>
                    </w:rPr>
                  </w:pPr>
                  <w:r>
                    <w:rPr>
                      <w:rFonts w:hint="default"/>
                      <w:color w:val="auto"/>
                    </w:rPr>
                    <w:t>普光功能区</w:t>
                  </w:r>
                </w:p>
              </w:tc>
              <w:tc>
                <w:tcPr>
                  <w:tcW w:w="484" w:type="pct"/>
                  <w:tcBorders>
                    <w:tl2br w:val="nil"/>
                    <w:tr2bl w:val="nil"/>
                  </w:tcBorders>
                  <w:vAlign w:val="center"/>
                </w:tcPr>
                <w:p w14:paraId="6E2DDF2F">
                  <w:pPr>
                    <w:pStyle w:val="28"/>
                    <w:keepNext w:val="0"/>
                    <w:keepLines w:val="0"/>
                    <w:suppressLineNumbers w:val="0"/>
                    <w:spacing w:before="0" w:beforeAutospacing="0" w:after="0" w:afterAutospacing="0"/>
                    <w:ind w:left="0" w:right="0"/>
                    <w:rPr>
                      <w:rFonts w:hint="default"/>
                      <w:color w:val="auto"/>
                    </w:rPr>
                  </w:pPr>
                  <w:r>
                    <w:rPr>
                      <w:rFonts w:hint="default"/>
                      <w:color w:val="auto"/>
                    </w:rPr>
                    <w:t>空间布局约束</w:t>
                  </w:r>
                </w:p>
              </w:tc>
              <w:tc>
                <w:tcPr>
                  <w:tcW w:w="2054" w:type="pct"/>
                  <w:tcBorders>
                    <w:tl2br w:val="nil"/>
                    <w:tr2bl w:val="nil"/>
                  </w:tcBorders>
                  <w:vAlign w:val="center"/>
                </w:tcPr>
                <w:p w14:paraId="240BAE42">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 xml:space="preserve"> 天然气化工、硫化工等大气污染物排放较大或存在较大风险隐患或涉及异味、恶臭影响的产业布局在西北部扩展区，锂钾综合开发、氯碱化工布局在西部扩展区；</w:t>
                  </w:r>
                </w:p>
                <w:p w14:paraId="01321F33">
                  <w:pPr>
                    <w:pStyle w:val="28"/>
                    <w:keepNext w:val="0"/>
                    <w:keepLines w:val="0"/>
                    <w:suppressLineNumbers w:val="0"/>
                    <w:spacing w:before="0" w:beforeAutospacing="0" w:after="0" w:afterAutospacing="0"/>
                    <w:ind w:left="0" w:right="0"/>
                    <w:rPr>
                      <w:rFonts w:hint="default"/>
                      <w:color w:val="auto"/>
                    </w:rPr>
                  </w:pPr>
                  <w:r>
                    <w:rPr>
                      <w:rFonts w:hint="default"/>
                      <w:color w:val="auto"/>
                    </w:rPr>
                    <w:t>② 引导微玻纤新材料产业向柳池功能区发展。</w:t>
                  </w:r>
                </w:p>
              </w:tc>
              <w:tc>
                <w:tcPr>
                  <w:tcW w:w="1543" w:type="pct"/>
                  <w:tcBorders>
                    <w:tl2br w:val="nil"/>
                    <w:tr2bl w:val="nil"/>
                  </w:tcBorders>
                  <w:vAlign w:val="center"/>
                </w:tcPr>
                <w:p w14:paraId="1D4A1E0B">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本项目为食品级硫磺、工业级硫磺等产品生产，不属于传统硫化工等大气污染物排放较大或存在较大风险隐患或涉及异味、恶臭影响的产业，项目选址符合园区布局规划要求；</w:t>
                  </w:r>
                </w:p>
                <w:p w14:paraId="6511C8CA">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本项目不属于微玻纤新材料产业。</w:t>
                  </w:r>
                </w:p>
              </w:tc>
              <w:tc>
                <w:tcPr>
                  <w:tcW w:w="469" w:type="pct"/>
                  <w:tcBorders>
                    <w:tl2br w:val="nil"/>
                    <w:tr2bl w:val="nil"/>
                  </w:tcBorders>
                  <w:vAlign w:val="center"/>
                </w:tcPr>
                <w:p w14:paraId="185731C0">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29389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0" w:type="pct"/>
                  <w:vMerge w:val="continue"/>
                  <w:tcBorders>
                    <w:tl2br w:val="nil"/>
                    <w:tr2bl w:val="nil"/>
                  </w:tcBorders>
                  <w:vAlign w:val="center"/>
                </w:tcPr>
                <w:p w14:paraId="1881B848">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44739EED">
                  <w:pPr>
                    <w:pStyle w:val="28"/>
                    <w:keepNext w:val="0"/>
                    <w:keepLines w:val="0"/>
                    <w:suppressLineNumbers w:val="0"/>
                    <w:spacing w:before="0" w:beforeAutospacing="0" w:after="0" w:afterAutospacing="0"/>
                    <w:ind w:left="0" w:right="0"/>
                    <w:rPr>
                      <w:rFonts w:hint="default"/>
                      <w:color w:val="auto"/>
                    </w:rPr>
                  </w:pPr>
                  <w:r>
                    <w:rPr>
                      <w:rFonts w:hint="default"/>
                      <w:color w:val="auto"/>
                    </w:rPr>
                    <w:t>污染物排放管控</w:t>
                  </w:r>
                </w:p>
              </w:tc>
              <w:tc>
                <w:tcPr>
                  <w:tcW w:w="2054" w:type="pct"/>
                  <w:tcBorders>
                    <w:tl2br w:val="nil"/>
                    <w:tr2bl w:val="nil"/>
                  </w:tcBorders>
                  <w:vAlign w:val="center"/>
                </w:tcPr>
                <w:p w14:paraId="2721142D">
                  <w:pPr>
                    <w:pStyle w:val="28"/>
                    <w:keepNext w:val="0"/>
                    <w:keepLines w:val="0"/>
                    <w:suppressLineNumbers w:val="0"/>
                    <w:spacing w:before="0" w:beforeAutospacing="0" w:after="0" w:afterAutospacing="0"/>
                    <w:ind w:left="0" w:right="0"/>
                    <w:rPr>
                      <w:rFonts w:hint="default"/>
                      <w:color w:val="auto"/>
                    </w:rPr>
                  </w:pPr>
                  <w:r>
                    <w:rPr>
                      <w:rFonts w:hint="default"/>
                      <w:color w:val="auto"/>
                    </w:rPr>
                    <w:t>禁止引入涉及含铅（pb）、汞（Hg）、镉（Cd）、铬（Cr）、砷（As）五类重金属废水排放的项目。</w:t>
                  </w:r>
                </w:p>
              </w:tc>
              <w:tc>
                <w:tcPr>
                  <w:tcW w:w="1543" w:type="pct"/>
                  <w:tcBorders>
                    <w:tl2br w:val="nil"/>
                    <w:tr2bl w:val="nil"/>
                  </w:tcBorders>
                  <w:vAlign w:val="center"/>
                </w:tcPr>
                <w:p w14:paraId="34F2B389">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本项目不涉及重金属废水排放。</w:t>
                  </w:r>
                </w:p>
              </w:tc>
              <w:tc>
                <w:tcPr>
                  <w:tcW w:w="469" w:type="pct"/>
                  <w:tcBorders>
                    <w:tl2br w:val="nil"/>
                    <w:tr2bl w:val="nil"/>
                  </w:tcBorders>
                  <w:vAlign w:val="center"/>
                </w:tcPr>
                <w:p w14:paraId="09F3774E">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04508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50" w:type="pct"/>
                  <w:vMerge w:val="continue"/>
                  <w:tcBorders>
                    <w:tl2br w:val="nil"/>
                    <w:tr2bl w:val="nil"/>
                  </w:tcBorders>
                  <w:vAlign w:val="center"/>
                </w:tcPr>
                <w:p w14:paraId="5B60664A">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480B8724">
                  <w:pPr>
                    <w:pStyle w:val="28"/>
                    <w:keepNext w:val="0"/>
                    <w:keepLines w:val="0"/>
                    <w:suppressLineNumbers w:val="0"/>
                    <w:spacing w:before="0" w:beforeAutospacing="0" w:after="0" w:afterAutospacing="0"/>
                    <w:ind w:left="0" w:right="0"/>
                    <w:rPr>
                      <w:rFonts w:hint="default"/>
                      <w:color w:val="auto"/>
                    </w:rPr>
                  </w:pPr>
                  <w:r>
                    <w:rPr>
                      <w:rFonts w:hint="default"/>
                      <w:color w:val="auto"/>
                    </w:rPr>
                    <w:t>环境风险防控</w:t>
                  </w:r>
                </w:p>
              </w:tc>
              <w:tc>
                <w:tcPr>
                  <w:tcW w:w="2054" w:type="pct"/>
                  <w:tcBorders>
                    <w:tl2br w:val="nil"/>
                    <w:tr2bl w:val="nil"/>
                  </w:tcBorders>
                  <w:vAlign w:val="center"/>
                </w:tcPr>
                <w:p w14:paraId="6BD980C5">
                  <w:pPr>
                    <w:pStyle w:val="28"/>
                    <w:keepNext w:val="0"/>
                    <w:keepLines w:val="0"/>
                    <w:suppressLineNumbers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 xml:space="preserve"> 天然气化工中禁止发展合成氨、硝酸铵、有机硫化工、氢氰酸等高污染、高风险项目。</w:t>
                  </w:r>
                </w:p>
                <w:p w14:paraId="794D5C4C">
                  <w:pPr>
                    <w:pStyle w:val="28"/>
                    <w:keepNext w:val="0"/>
                    <w:keepLines w:val="0"/>
                    <w:suppressLineNumbers w:val="0"/>
                    <w:spacing w:before="0" w:beforeAutospacing="0" w:after="0" w:afterAutospacing="0"/>
                    <w:ind w:left="0" w:right="0"/>
                    <w:rPr>
                      <w:rFonts w:hint="default"/>
                      <w:color w:val="auto"/>
                    </w:rPr>
                  </w:pPr>
                  <w:r>
                    <w:rPr>
                      <w:rFonts w:hint="default"/>
                      <w:color w:val="auto"/>
                    </w:rPr>
                    <w:t>② 有重大涉水风险隐患的项目投产前，应完成宣汉县城市集中式饮用水水源取水口的调整。</w:t>
                  </w:r>
                </w:p>
              </w:tc>
              <w:tc>
                <w:tcPr>
                  <w:tcW w:w="1543" w:type="pct"/>
                  <w:tcBorders>
                    <w:tl2br w:val="nil"/>
                    <w:tr2bl w:val="nil"/>
                  </w:tcBorders>
                  <w:vAlign w:val="center"/>
                </w:tcPr>
                <w:p w14:paraId="51D4ED62">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本项目为食品级硫磺、工业级硫磺等产品生产，不属于有机硫化工等禁止发展的行业；项目外排废水为生活污水、软水制备废水，经收集后排入园区污水处理厂处理，项目所排废水不存在重大涉水风险隐患。</w:t>
                  </w:r>
                </w:p>
              </w:tc>
              <w:tc>
                <w:tcPr>
                  <w:tcW w:w="469" w:type="pct"/>
                  <w:tcBorders>
                    <w:tl2br w:val="nil"/>
                    <w:tr2bl w:val="nil"/>
                  </w:tcBorders>
                  <w:vAlign w:val="center"/>
                </w:tcPr>
                <w:p w14:paraId="3512E5DD">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76D6B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50" w:type="pct"/>
                  <w:vMerge w:val="continue"/>
                  <w:tcBorders>
                    <w:tl2br w:val="nil"/>
                    <w:tr2bl w:val="nil"/>
                  </w:tcBorders>
                  <w:vAlign w:val="center"/>
                </w:tcPr>
                <w:p w14:paraId="35022479">
                  <w:pPr>
                    <w:pStyle w:val="28"/>
                    <w:keepNext w:val="0"/>
                    <w:keepLines w:val="0"/>
                    <w:suppressLineNumbers w:val="0"/>
                    <w:spacing w:before="0" w:beforeAutospacing="0" w:after="0" w:afterAutospacing="0"/>
                    <w:ind w:left="0" w:right="0"/>
                    <w:rPr>
                      <w:rFonts w:hint="default"/>
                      <w:color w:val="auto"/>
                    </w:rPr>
                  </w:pPr>
                </w:p>
              </w:tc>
              <w:tc>
                <w:tcPr>
                  <w:tcW w:w="484" w:type="pct"/>
                  <w:tcBorders>
                    <w:tl2br w:val="nil"/>
                    <w:tr2bl w:val="nil"/>
                  </w:tcBorders>
                  <w:vAlign w:val="center"/>
                </w:tcPr>
                <w:p w14:paraId="6ADDCD70">
                  <w:pPr>
                    <w:pStyle w:val="28"/>
                    <w:keepNext w:val="0"/>
                    <w:keepLines w:val="0"/>
                    <w:suppressLineNumbers w:val="0"/>
                    <w:spacing w:before="0" w:beforeAutospacing="0" w:after="0" w:afterAutospacing="0"/>
                    <w:ind w:left="0" w:right="0"/>
                    <w:rPr>
                      <w:rFonts w:hint="default"/>
                      <w:color w:val="auto"/>
                    </w:rPr>
                  </w:pPr>
                  <w:r>
                    <w:rPr>
                      <w:rFonts w:hint="default"/>
                      <w:color w:val="auto"/>
                    </w:rPr>
                    <w:t>资源开发</w:t>
                  </w:r>
                </w:p>
                <w:p w14:paraId="58947446">
                  <w:pPr>
                    <w:pStyle w:val="28"/>
                    <w:keepNext w:val="0"/>
                    <w:keepLines w:val="0"/>
                    <w:suppressLineNumbers w:val="0"/>
                    <w:spacing w:before="0" w:beforeAutospacing="0" w:after="0" w:afterAutospacing="0"/>
                    <w:ind w:left="0" w:right="0"/>
                    <w:rPr>
                      <w:rFonts w:hint="default"/>
                      <w:color w:val="auto"/>
                    </w:rPr>
                  </w:pPr>
                  <w:r>
                    <w:rPr>
                      <w:rFonts w:hint="default"/>
                      <w:color w:val="auto"/>
                    </w:rPr>
                    <w:t>利用要求</w:t>
                  </w:r>
                </w:p>
              </w:tc>
              <w:tc>
                <w:tcPr>
                  <w:tcW w:w="2054" w:type="pct"/>
                  <w:tcBorders>
                    <w:tl2br w:val="nil"/>
                    <w:tr2bl w:val="nil"/>
                  </w:tcBorders>
                  <w:vAlign w:val="center"/>
                </w:tcPr>
                <w:p w14:paraId="1C0848CF">
                  <w:pPr>
                    <w:pStyle w:val="28"/>
                    <w:keepNext w:val="0"/>
                    <w:keepLines w:val="0"/>
                    <w:suppressLineNumbers w:val="0"/>
                    <w:spacing w:before="0" w:beforeAutospacing="0" w:after="0" w:afterAutospacing="0"/>
                    <w:ind w:left="0" w:right="0"/>
                    <w:rPr>
                      <w:rFonts w:hint="default"/>
                      <w:color w:val="auto"/>
                    </w:rPr>
                  </w:pPr>
                  <w:r>
                    <w:rPr>
                      <w:rFonts w:hint="default"/>
                      <w:color w:val="auto"/>
                    </w:rPr>
                    <w:t>执行“总体管控要求及准入清单”。</w:t>
                  </w:r>
                </w:p>
              </w:tc>
              <w:tc>
                <w:tcPr>
                  <w:tcW w:w="1543" w:type="pct"/>
                  <w:tcBorders>
                    <w:tl2br w:val="nil"/>
                    <w:tr2bl w:val="nil"/>
                  </w:tcBorders>
                  <w:vAlign w:val="center"/>
                </w:tcPr>
                <w:p w14:paraId="5FBC6D3C">
                  <w:pPr>
                    <w:pStyle w:val="28"/>
                    <w:keepNext w:val="0"/>
                    <w:keepLines w:val="0"/>
                    <w:suppressLineNumbers w:val="0"/>
                    <w:spacing w:before="0" w:beforeAutospacing="0" w:after="0" w:afterAutospacing="0"/>
                    <w:ind w:left="0" w:right="0"/>
                    <w:rPr>
                      <w:rFonts w:hint="default"/>
                      <w:color w:val="auto"/>
                    </w:rPr>
                  </w:pPr>
                  <w:r>
                    <w:rPr>
                      <w:rFonts w:hint="default"/>
                      <w:color w:val="auto"/>
                    </w:rPr>
                    <w:t>具体见前页表内“总体管控要求及准入清单”分析。</w:t>
                  </w:r>
                </w:p>
              </w:tc>
              <w:tc>
                <w:tcPr>
                  <w:tcW w:w="469" w:type="pct"/>
                  <w:tcBorders>
                    <w:tl2br w:val="nil"/>
                    <w:tr2bl w:val="nil"/>
                  </w:tcBorders>
                  <w:vAlign w:val="center"/>
                </w:tcPr>
                <w:p w14:paraId="7E7E88F3">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bl>
          <w:p w14:paraId="192EC89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kern w:val="0"/>
                <w:lang w:val="zh-CN"/>
              </w:rPr>
              <w:t>本项目位于达州普光化工园区，</w:t>
            </w:r>
            <w:r>
              <w:rPr>
                <w:rFonts w:hint="default" w:cs="Times New Roman"/>
                <w:color w:val="auto"/>
              </w:rPr>
              <w:t>在《四川达州普光经济开发区总体规划（2019-2035）》的规划范围及规划期限内实施。本项目为食品级硫磺、工业级硫磺等产品生产制造，属于园区允许发展项目，与周边企业不相禁忌和不形成交叉影响，与主导产业不冲突。项目建设符合国家产业政策和行业准入条件，不属于国家和地方禁止或清洁生产水平不能达到二级的项目，本项目不涉及重金属污染物排放，项目建设符合《四川达州普光经济开发区总体规划（2019-2035）》《四川达州普光经济开发区总体规划（2019-2035）环境影响报告书》及其审查意见</w:t>
            </w:r>
            <w:r>
              <w:rPr>
                <w:rFonts w:hint="default" w:cs="Times New Roman"/>
                <w:color w:val="auto"/>
                <w:kern w:val="0"/>
              </w:rPr>
              <w:t>（川环建函〔2021〕9号）</w:t>
            </w:r>
            <w:r>
              <w:rPr>
                <w:rFonts w:hint="default" w:cs="Times New Roman"/>
                <w:color w:val="auto"/>
              </w:rPr>
              <w:t>中相关要求。</w:t>
            </w:r>
          </w:p>
          <w:p w14:paraId="07589C87">
            <w:pPr>
              <w:keepNext w:val="0"/>
              <w:keepLines w:val="0"/>
              <w:suppressLineNumbers w:val="0"/>
              <w:spacing w:before="0" w:beforeAutospacing="0" w:after="0" w:afterAutospacing="0"/>
              <w:ind w:left="0" w:right="0" w:firstLine="480"/>
              <w:rPr>
                <w:rFonts w:hint="default" w:cs="Times New Roman"/>
                <w:color w:val="auto"/>
              </w:rPr>
            </w:pPr>
          </w:p>
          <w:p w14:paraId="0F39F9E9">
            <w:pPr>
              <w:keepNext w:val="0"/>
              <w:keepLines w:val="0"/>
              <w:suppressLineNumbers w:val="0"/>
              <w:spacing w:before="0" w:beforeAutospacing="0" w:after="0" w:afterAutospacing="0"/>
              <w:ind w:left="0" w:right="0" w:firstLine="480"/>
              <w:rPr>
                <w:rFonts w:hint="default" w:cs="Times New Roman"/>
                <w:color w:val="auto"/>
              </w:rPr>
            </w:pPr>
          </w:p>
          <w:p w14:paraId="6AED7C52">
            <w:pPr>
              <w:keepNext w:val="0"/>
              <w:keepLines w:val="0"/>
              <w:suppressLineNumbers w:val="0"/>
              <w:spacing w:before="0" w:beforeAutospacing="0" w:after="0" w:afterAutospacing="0"/>
              <w:ind w:left="0" w:right="0" w:firstLine="480"/>
              <w:rPr>
                <w:rFonts w:hint="default" w:cs="Times New Roman"/>
                <w:color w:val="auto"/>
              </w:rPr>
            </w:pPr>
          </w:p>
          <w:p w14:paraId="3EE8CF07">
            <w:pPr>
              <w:keepNext w:val="0"/>
              <w:keepLines w:val="0"/>
              <w:suppressLineNumbers w:val="0"/>
              <w:spacing w:before="0" w:beforeAutospacing="0" w:after="0" w:afterAutospacing="0"/>
              <w:ind w:left="0" w:right="0" w:firstLine="480"/>
              <w:rPr>
                <w:rFonts w:hint="default" w:cs="Times New Roman"/>
                <w:color w:val="auto"/>
              </w:rPr>
            </w:pPr>
          </w:p>
          <w:p w14:paraId="6C873BB7">
            <w:pPr>
              <w:keepNext w:val="0"/>
              <w:keepLines w:val="0"/>
              <w:suppressLineNumbers w:val="0"/>
              <w:spacing w:before="0" w:beforeAutospacing="0" w:after="0" w:afterAutospacing="0"/>
              <w:ind w:left="0" w:right="0" w:firstLine="480"/>
              <w:rPr>
                <w:rFonts w:hint="default" w:cs="Times New Roman"/>
                <w:color w:val="auto"/>
              </w:rPr>
            </w:pPr>
          </w:p>
        </w:tc>
      </w:tr>
      <w:tr w14:paraId="016F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8" w:hRule="atLeast"/>
          <w:jc w:val="center"/>
        </w:trPr>
        <w:tc>
          <w:tcPr>
            <w:tcW w:w="510" w:type="pct"/>
            <w:vAlign w:val="center"/>
          </w:tcPr>
          <w:p w14:paraId="395D33EB">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其他符合性分析</w:t>
            </w:r>
          </w:p>
        </w:tc>
        <w:tc>
          <w:tcPr>
            <w:tcW w:w="4489" w:type="pct"/>
            <w:gridSpan w:val="4"/>
            <w:vAlign w:val="center"/>
          </w:tcPr>
          <w:p w14:paraId="133BE40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一、产业政策符合性分析</w:t>
            </w:r>
          </w:p>
          <w:p w14:paraId="7EE97AC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根据《国民经济行业分类》（GB/T4754-2017），本项目食品级硫磺产品属于“C1495 食品及饲料添加剂制造”，工业级硫磺产品及其他产品均属于“C2619 其他基础化学原料制造”。根据《产业结构调整指导目录（2024年本）》有关政策规定，本项目为食品级硫磺、工业级硫磺等制造，本项目既不属于鼓励类项目，也不属于限制类、淘汰类项目，项目所用设备均未列为“淘汰类—落后工艺生产装备”之列，故属于允许建设项目，因此项目的建设符合国家产业政策。本项目所属行业类别均不在2025年4月16日国家发展改革委、商务部、市场监管总局联合发布的《市场准入负面清单（2025年版）》（发改体改规〔2025〕466号）内。</w:t>
            </w:r>
          </w:p>
          <w:p w14:paraId="1CFBBAC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此外，本项目已于2024年9月3日在宣汉县发改局完成备案工作，备案号：川投资备【2310-511722-04-01-799815】FGQB-0542号。</w:t>
            </w:r>
          </w:p>
          <w:p w14:paraId="00AC4EE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因此，本项目符合相关法律法规和政策规定，符合国家和地方产业政策要求。</w:t>
            </w:r>
          </w:p>
          <w:p w14:paraId="6E57892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二、用地规划符合性分析</w:t>
            </w:r>
          </w:p>
          <w:p w14:paraId="76D3B29D">
            <w:pPr>
              <w:keepNext w:val="0"/>
              <w:keepLines w:val="0"/>
              <w:suppressLineNumbers w:val="0"/>
              <w:spacing w:before="0" w:beforeAutospacing="0" w:after="0" w:afterAutospacing="0"/>
              <w:ind w:left="0" w:right="0" w:firstLine="480"/>
              <w:rPr>
                <w:rFonts w:hint="default" w:cs="Times New Roman"/>
                <w:color w:val="auto"/>
              </w:rPr>
            </w:pPr>
            <w:bookmarkStart w:id="45" w:name="_Toc500497264"/>
            <w:bookmarkStart w:id="46" w:name="_Toc19708"/>
            <w:bookmarkStart w:id="47" w:name="_Toc500497075"/>
            <w:bookmarkStart w:id="48" w:name="_Toc22624"/>
            <w:bookmarkStart w:id="49" w:name="_Toc500790307"/>
            <w:bookmarkStart w:id="50" w:name="_Toc501457519"/>
            <w:bookmarkStart w:id="51" w:name="_Toc500497145"/>
            <w:r>
              <w:rPr>
                <w:rFonts w:hint="default" w:cs="Times New Roman"/>
                <w:color w:val="auto"/>
              </w:rPr>
              <w:t>本项目位于四川达州普光经济开发区达州普光化工园区，为新建项目，宣汉县自然资源局出具了《宣汉县自然资源局宣汉县CB2022-18号地块（普光园区）用地规划条件指标》（宣自然资规〔2022〕28号），文件载明规划建设用地面积为14163m</w:t>
            </w:r>
            <w:r>
              <w:rPr>
                <w:rFonts w:hint="default" w:cs="Times New Roman"/>
                <w:color w:val="auto"/>
                <w:vertAlign w:val="superscript"/>
              </w:rPr>
              <w:t>2</w:t>
            </w:r>
            <w:r>
              <w:rPr>
                <w:rFonts w:hint="default" w:cs="Times New Roman"/>
                <w:color w:val="auto"/>
              </w:rPr>
              <w:t>、土地使用性质为工业用地（三类100103）；《宣汉县CB2024-04号地块（工业园区）用地规划条件指标》（宣自然资规〔2024〕4号），文件载明规划建设用地面积为7818m</w:t>
            </w:r>
            <w:r>
              <w:rPr>
                <w:rFonts w:hint="default" w:cs="Times New Roman"/>
                <w:color w:val="auto"/>
                <w:vertAlign w:val="superscript"/>
              </w:rPr>
              <w:t>2</w:t>
            </w:r>
            <w:r>
              <w:rPr>
                <w:rFonts w:hint="default" w:cs="Times New Roman"/>
                <w:color w:val="auto"/>
              </w:rPr>
              <w:t>、土地使用性质为工业用地（三类100103）。</w:t>
            </w:r>
          </w:p>
          <w:p w14:paraId="6F64469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本项目为化工项目建设，场地面积约为21981m</w:t>
            </w:r>
            <w:r>
              <w:rPr>
                <w:rFonts w:hint="default" w:cs="Times New Roman"/>
                <w:color w:val="auto"/>
                <w:vertAlign w:val="superscript"/>
              </w:rPr>
              <w:t>2</w:t>
            </w:r>
            <w:r>
              <w:rPr>
                <w:rFonts w:hint="default" w:cs="Times New Roman"/>
                <w:color w:val="auto"/>
              </w:rPr>
              <w:t>，属于规划的三类工业项目。目前，建设单位已办理上述地块的用地手续，取得《中华人民共和国不动产权证书》（</w:t>
            </w:r>
            <w:r>
              <w:rPr>
                <w:rFonts w:hint="default" w:cs="Times New Roman"/>
                <w:color w:val="auto"/>
                <w:u w:val="single"/>
              </w:rPr>
              <w:t>川</w:t>
            </w:r>
            <w:r>
              <w:rPr>
                <w:rFonts w:hint="default" w:cs="Times New Roman"/>
                <w:color w:val="auto"/>
              </w:rPr>
              <w:t>（2025）</w:t>
            </w:r>
            <w:r>
              <w:rPr>
                <w:rFonts w:hint="default" w:cs="Times New Roman"/>
                <w:color w:val="auto"/>
                <w:u w:val="single"/>
              </w:rPr>
              <w:t>宣汉县</w:t>
            </w:r>
            <w:r>
              <w:rPr>
                <w:rFonts w:hint="default" w:cs="Times New Roman"/>
                <w:color w:val="auto"/>
              </w:rPr>
              <w:t>不动产权第0002003号），另外，根据“四川达州普光经济开发区总体规划（2019-2035）——西区用地布局规划图”（见附图），项目用地规划为三类工业用地。</w:t>
            </w:r>
          </w:p>
          <w:p w14:paraId="5EB6C62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因此，本项目用地符合国土空间规划和园区发展规划。</w:t>
            </w:r>
          </w:p>
          <w:bookmarkEnd w:id="45"/>
          <w:bookmarkEnd w:id="46"/>
          <w:bookmarkEnd w:id="47"/>
          <w:bookmarkEnd w:id="48"/>
          <w:bookmarkEnd w:id="49"/>
          <w:bookmarkEnd w:id="50"/>
          <w:bookmarkEnd w:id="51"/>
          <w:p w14:paraId="0AEE594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三、相关政策文件符合性分析</w:t>
            </w:r>
          </w:p>
          <w:p w14:paraId="403946DA">
            <w:pPr>
              <w:keepNext w:val="0"/>
              <w:keepLines w:val="0"/>
              <w:suppressLineNumbers w:val="0"/>
              <w:spacing w:before="0" w:beforeAutospacing="0" w:after="0" w:afterAutospacing="0"/>
              <w:ind w:left="480" w:leftChars="200" w:right="0" w:firstLine="0" w:firstLineChars="0"/>
              <w:rPr>
                <w:rFonts w:hint="default" w:cs="Times New Roman"/>
                <w:color w:val="auto"/>
              </w:rPr>
            </w:pPr>
            <w:r>
              <w:rPr>
                <w:rFonts w:hint="default" w:cs="Times New Roman"/>
                <w:b/>
                <w:bCs/>
                <w:color w:val="auto"/>
              </w:rPr>
              <w:t>1、与大气污染防治相关法律法规、规范符合性分析</w:t>
            </w:r>
          </w:p>
          <w:p w14:paraId="2AD5A40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本项目与大气污染防治相关法律法规、规范符合性分析见下表。</w:t>
            </w:r>
          </w:p>
          <w:p w14:paraId="08F64F70">
            <w:pPr>
              <w:pStyle w:val="36"/>
              <w:keepNext w:val="0"/>
              <w:keepLines w:val="0"/>
              <w:suppressLineNumbers w:val="0"/>
              <w:spacing w:before="32" w:beforeAutospacing="0" w:after="32" w:afterAutospacing="0"/>
              <w:ind w:left="0" w:right="0"/>
              <w:rPr>
                <w:rFonts w:hint="default" w:cs="Times New Roman"/>
                <w:color w:val="auto"/>
              </w:rPr>
            </w:pPr>
            <w:r>
              <w:rPr>
                <w:rFonts w:hint="default" w:cs="Times New Roman"/>
                <w:color w:val="auto"/>
              </w:rPr>
              <w:t>本项目与大气污染防治相关法律法规、规范符合性分析一览表</w:t>
            </w:r>
          </w:p>
          <w:tbl>
            <w:tblPr>
              <w:tblStyle w:val="5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3467"/>
              <w:gridCol w:w="2272"/>
              <w:gridCol w:w="771"/>
            </w:tblGrid>
            <w:tr w14:paraId="60FF9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44" w:type="pct"/>
                  <w:vAlign w:val="center"/>
                </w:tcPr>
                <w:p w14:paraId="00973286">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文件</w:t>
                  </w:r>
                </w:p>
              </w:tc>
              <w:tc>
                <w:tcPr>
                  <w:tcW w:w="2266" w:type="pct"/>
                  <w:vAlign w:val="center"/>
                </w:tcPr>
                <w:p w14:paraId="25099C8D">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相关要求</w:t>
                  </w:r>
                </w:p>
              </w:tc>
              <w:tc>
                <w:tcPr>
                  <w:tcW w:w="1485" w:type="pct"/>
                  <w:vAlign w:val="center"/>
                </w:tcPr>
                <w:p w14:paraId="1CDFF742">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本项目情况</w:t>
                  </w:r>
                </w:p>
              </w:tc>
              <w:tc>
                <w:tcPr>
                  <w:tcW w:w="503" w:type="pct"/>
                  <w:vAlign w:val="center"/>
                </w:tcPr>
                <w:p w14:paraId="54CFBE30">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符合性</w:t>
                  </w:r>
                </w:p>
              </w:tc>
            </w:tr>
            <w:tr w14:paraId="40F05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restart"/>
                  <w:vAlign w:val="center"/>
                </w:tcPr>
                <w:p w14:paraId="452239D4">
                  <w:pPr>
                    <w:pStyle w:val="50"/>
                    <w:keepNext w:val="0"/>
                    <w:keepLines w:val="0"/>
                    <w:suppressLineNumbers w:val="0"/>
                    <w:spacing w:before="0" w:beforeAutospacing="0" w:after="0" w:afterAutospacing="0"/>
                    <w:ind w:left="0" w:right="0"/>
                    <w:rPr>
                      <w:rFonts w:hint="default" w:cs="Times New Roman" w:eastAsiaTheme="minorEastAsia"/>
                      <w:color w:val="auto"/>
                    </w:rPr>
                  </w:pPr>
                  <w:bookmarkStart w:id="52" w:name="_Hlk203574879"/>
                  <w:r>
                    <w:rPr>
                      <w:rFonts w:hint="default" w:cs="Times New Roman" w:eastAsiaTheme="minorEastAsia"/>
                      <w:color w:val="auto"/>
                    </w:rPr>
                    <w:t>《中华人民共和国大气污染防治法》（2018年修订）</w:t>
                  </w:r>
                </w:p>
              </w:tc>
              <w:tc>
                <w:tcPr>
                  <w:tcW w:w="2266" w:type="pct"/>
                  <w:vAlign w:val="center"/>
                </w:tcPr>
                <w:p w14:paraId="06C9FD07">
                  <w:pPr>
                    <w:keepNext w:val="0"/>
                    <w:keepLines w:val="0"/>
                    <w:suppressLineNumbers w:val="0"/>
                    <w:adjustRightInd w:val="0"/>
                    <w:spacing w:before="0" w:beforeAutospacing="0" w:after="0" w:afterAutospacing="0" w:line="280" w:lineRule="exact"/>
                    <w:ind w:left="0" w:right="0" w:firstLine="0" w:firstLineChars="0"/>
                    <w:jc w:val="left"/>
                    <w:rPr>
                      <w:rFonts w:hint="default" w:cs="Times New Roman" w:eastAsiaTheme="minorEastAsia"/>
                      <w:color w:val="auto"/>
                      <w:sz w:val="18"/>
                      <w:szCs w:val="18"/>
                    </w:rPr>
                  </w:pPr>
                  <w:r>
                    <w:rPr>
                      <w:rFonts w:hint="default" w:cs="Times New Roman" w:eastAsiaTheme="minorEastAsia"/>
                      <w:color w:val="auto"/>
                      <w:sz w:val="18"/>
                      <w:szCs w:val="18"/>
                    </w:rPr>
                    <w:t>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tc>
              <w:tc>
                <w:tcPr>
                  <w:tcW w:w="1485" w:type="pct"/>
                  <w:vAlign w:val="center"/>
                </w:tcPr>
                <w:p w14:paraId="4C7D0E19">
                  <w:pPr>
                    <w:keepNext w:val="0"/>
                    <w:keepLines w:val="0"/>
                    <w:suppressLineNumbers w:val="0"/>
                    <w:adjustRightInd w:val="0"/>
                    <w:spacing w:before="0" w:beforeAutospacing="0" w:after="0" w:afterAutospacing="0" w:line="280" w:lineRule="exact"/>
                    <w:ind w:left="0" w:right="0" w:firstLine="0" w:firstLineChars="0"/>
                    <w:jc w:val="left"/>
                    <w:rPr>
                      <w:rFonts w:hint="default" w:cs="Times New Roman" w:eastAsiaTheme="minorEastAsia"/>
                      <w:color w:val="auto"/>
                      <w:sz w:val="18"/>
                      <w:szCs w:val="18"/>
                    </w:rPr>
                  </w:pPr>
                  <w:r>
                    <w:rPr>
                      <w:rFonts w:hint="default" w:cs="Times New Roman" w:eastAsiaTheme="minorEastAsia"/>
                      <w:color w:val="auto"/>
                      <w:sz w:val="18"/>
                      <w:szCs w:val="18"/>
                    </w:rPr>
                    <w:t>本项目不涉及煤炭的使用，采用电加热的方式对液硫进行供热保温，对周围大气环境造成的影响较小。</w:t>
                  </w:r>
                </w:p>
              </w:tc>
              <w:tc>
                <w:tcPr>
                  <w:tcW w:w="503" w:type="pct"/>
                  <w:vAlign w:val="center"/>
                </w:tcPr>
                <w:p w14:paraId="521807DD">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5E9A1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vAlign w:val="center"/>
                </w:tcPr>
                <w:p w14:paraId="10B7401D">
                  <w:pPr>
                    <w:pStyle w:val="50"/>
                    <w:keepNext w:val="0"/>
                    <w:keepLines w:val="0"/>
                    <w:suppressLineNumbers w:val="0"/>
                    <w:spacing w:before="0" w:beforeAutospacing="0" w:after="0" w:afterAutospacing="0"/>
                    <w:ind w:left="0" w:right="0"/>
                    <w:rPr>
                      <w:rFonts w:hint="default" w:cs="Times New Roman" w:eastAsiaTheme="minorEastAsia"/>
                      <w:color w:val="auto"/>
                    </w:rPr>
                  </w:pPr>
                </w:p>
              </w:tc>
              <w:tc>
                <w:tcPr>
                  <w:tcW w:w="2266" w:type="pct"/>
                  <w:vAlign w:val="center"/>
                </w:tcPr>
                <w:p w14:paraId="6CC356C0">
                  <w:pPr>
                    <w:keepNext w:val="0"/>
                    <w:keepLines w:val="0"/>
                    <w:suppressLineNumbers w:val="0"/>
                    <w:adjustRightInd w:val="0"/>
                    <w:spacing w:before="0" w:beforeAutospacing="0" w:after="0" w:afterAutospacing="0" w:line="280" w:lineRule="exact"/>
                    <w:ind w:left="0" w:right="0" w:firstLine="0" w:firstLineChars="0"/>
                    <w:jc w:val="left"/>
                    <w:rPr>
                      <w:rFonts w:hint="default" w:cs="Times New Roman" w:eastAsiaTheme="minorEastAsia"/>
                      <w:color w:val="auto"/>
                      <w:sz w:val="18"/>
                      <w:szCs w:val="18"/>
                    </w:rPr>
                  </w:pPr>
                  <w:r>
                    <w:rPr>
                      <w:rFonts w:hint="default" w:cs="Times New Roman" w:eastAsiaTheme="minorEastAsia"/>
                      <w:color w:val="auto"/>
                      <w:sz w:val="18"/>
                      <w:szCs w:val="18"/>
                    </w:rPr>
                    <w:t>在禁燃区内，禁止销售、燃用高污染燃料；禁止新建、扩建燃用高污染燃料的设施，已建成的，应当在城市人民政府规定的期限内改用天然气、页岩气、液化石油气、电或者其他清洁能源。</w:t>
                  </w:r>
                </w:p>
              </w:tc>
              <w:tc>
                <w:tcPr>
                  <w:tcW w:w="1485" w:type="pct"/>
                  <w:vAlign w:val="center"/>
                </w:tcPr>
                <w:p w14:paraId="6BADCF59">
                  <w:pPr>
                    <w:keepNext w:val="0"/>
                    <w:keepLines w:val="0"/>
                    <w:suppressLineNumbers w:val="0"/>
                    <w:adjustRightInd w:val="0"/>
                    <w:spacing w:before="0" w:beforeAutospacing="0" w:after="0" w:afterAutospacing="0" w:line="280" w:lineRule="exact"/>
                    <w:ind w:left="0" w:right="0" w:firstLine="0" w:firstLineChars="0"/>
                    <w:jc w:val="left"/>
                    <w:rPr>
                      <w:rFonts w:hint="default" w:cs="Times New Roman" w:eastAsiaTheme="minorEastAsia"/>
                      <w:color w:val="auto"/>
                      <w:sz w:val="18"/>
                      <w:szCs w:val="18"/>
                    </w:rPr>
                  </w:pPr>
                  <w:r>
                    <w:rPr>
                      <w:rFonts w:hint="default" w:cs="Times New Roman" w:eastAsiaTheme="minorEastAsia"/>
                      <w:color w:val="auto"/>
                      <w:sz w:val="18"/>
                      <w:szCs w:val="18"/>
                    </w:rPr>
                    <w:t>本项目位于四川达州普光经济开发区达州普光化工园区，属于大气环境高排放重点管控区，本项目不涉及使用高污染燃料</w:t>
                  </w:r>
                  <w:r>
                    <w:rPr>
                      <w:rFonts w:hint="default" w:cs="Times New Roman" w:eastAsiaTheme="minorEastAsia"/>
                      <w:color w:val="auto"/>
                    </w:rPr>
                    <w:t>。</w:t>
                  </w:r>
                </w:p>
              </w:tc>
              <w:tc>
                <w:tcPr>
                  <w:tcW w:w="503" w:type="pct"/>
                  <w:vAlign w:val="center"/>
                </w:tcPr>
                <w:p w14:paraId="0F92E776">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25D82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14:paraId="547D27D6">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《国务院关于印发大气污染物防治行动计划的通知》（国发〔2013〕37号）</w:t>
                  </w:r>
                </w:p>
              </w:tc>
              <w:tc>
                <w:tcPr>
                  <w:tcW w:w="2266" w:type="pct"/>
                  <w:vAlign w:val="center"/>
                </w:tcPr>
                <w:p w14:paraId="74B43791">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加强工业企业大气污染综合治理。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1485" w:type="pct"/>
                  <w:vAlign w:val="center"/>
                </w:tcPr>
                <w:p w14:paraId="52285EF5">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本项目为食品级硫磺、工业级硫磺等产品制造，本项目不设锅炉，采用电加热的方式对液硫进行供热保温，项目不涉及使用燃煤锅炉。</w:t>
                  </w:r>
                </w:p>
              </w:tc>
              <w:tc>
                <w:tcPr>
                  <w:tcW w:w="503" w:type="pct"/>
                  <w:vAlign w:val="center"/>
                </w:tcPr>
                <w:p w14:paraId="6438AEF5">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24D47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4" w:type="pct"/>
                  <w:vAlign w:val="center"/>
                </w:tcPr>
                <w:p w14:paraId="29AFEE57">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《国务院关于印发</w:t>
                  </w:r>
                  <w:r>
                    <w:rPr>
                      <w:rFonts w:hint="eastAsia" w:cs="Times New Roman" w:eastAsiaTheme="minorEastAsia"/>
                      <w:color w:val="auto"/>
                    </w:rPr>
                    <w:t>〈</w:t>
                  </w:r>
                  <w:r>
                    <w:rPr>
                      <w:rFonts w:hint="default" w:cs="Times New Roman" w:eastAsiaTheme="minorEastAsia"/>
                      <w:color w:val="auto"/>
                    </w:rPr>
                    <w:t>空气质量持续改善行动计划〉的通知》（国发〔2023〕24号）</w:t>
                  </w:r>
                </w:p>
              </w:tc>
              <w:tc>
                <w:tcPr>
                  <w:tcW w:w="2266" w:type="pct"/>
                  <w:vAlign w:val="center"/>
                </w:tcPr>
                <w:p w14:paraId="3A9366AF">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0A5EE840">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（2）优化含VOCs原辅材料和产品结构。严格控制生产和使用高VOCs含量涂料、油墨、胶粘剂、清洗剂等建设项目，提高低</w:t>
                  </w:r>
                  <w:r>
                    <w:rPr>
                      <w:rFonts w:hint="eastAsia" w:cs="Times New Roman" w:eastAsiaTheme="minorEastAsia"/>
                      <w:color w:val="auto"/>
                      <w:szCs w:val="18"/>
                    </w:rPr>
                    <w:t>（</w:t>
                  </w:r>
                  <w:r>
                    <w:rPr>
                      <w:rFonts w:hint="default" w:cs="Times New Roman" w:eastAsiaTheme="minorEastAsia"/>
                      <w:color w:val="auto"/>
                      <w:szCs w:val="18"/>
                    </w:rPr>
                    <w:t>无</w:t>
                  </w:r>
                  <w:r>
                    <w:rPr>
                      <w:rFonts w:hint="eastAsia" w:cs="Times New Roman" w:eastAsiaTheme="minorEastAsia"/>
                      <w:color w:val="auto"/>
                      <w:szCs w:val="18"/>
                    </w:rPr>
                    <w:t>）</w:t>
                  </w:r>
                  <w:r>
                    <w:rPr>
                      <w:rFonts w:hint="default" w:cs="Times New Roman" w:eastAsiaTheme="minorEastAsia"/>
                      <w:color w:val="auto"/>
                      <w:szCs w:val="18"/>
                    </w:rPr>
                    <w:t>VOCs含量产品比重。实施源头替代工程，加大工业涂装、包装印刷和电子行业低</w:t>
                  </w:r>
                  <w:r>
                    <w:rPr>
                      <w:rFonts w:hint="eastAsia" w:cs="Times New Roman" w:eastAsiaTheme="minorEastAsia"/>
                      <w:color w:val="auto"/>
                      <w:szCs w:val="18"/>
                    </w:rPr>
                    <w:t>（</w:t>
                  </w:r>
                  <w:r>
                    <w:rPr>
                      <w:rFonts w:hint="default" w:cs="Times New Roman" w:eastAsiaTheme="minorEastAsia"/>
                      <w:color w:val="auto"/>
                      <w:szCs w:val="18"/>
                    </w:rPr>
                    <w:t>无</w:t>
                  </w:r>
                  <w:r>
                    <w:rPr>
                      <w:rFonts w:hint="eastAsia" w:cs="Times New Roman" w:eastAsiaTheme="minorEastAsia"/>
                      <w:color w:val="auto"/>
                      <w:szCs w:val="18"/>
                    </w:rPr>
                    <w:t>）</w:t>
                  </w:r>
                  <w:r>
                    <w:rPr>
                      <w:rFonts w:hint="default" w:cs="Times New Roman" w:eastAsiaTheme="minorEastAsia"/>
                      <w:color w:val="auto"/>
                      <w:szCs w:val="18"/>
                    </w:rPr>
                    <w:t>VOCs含量原辅材料替代力度。室外构筑物防护和城市道路交通标志推广使用低</w:t>
                  </w:r>
                  <w:r>
                    <w:rPr>
                      <w:rFonts w:hint="eastAsia" w:cs="Times New Roman" w:eastAsiaTheme="minorEastAsia"/>
                      <w:color w:val="auto"/>
                      <w:szCs w:val="18"/>
                    </w:rPr>
                    <w:t>（</w:t>
                  </w:r>
                  <w:r>
                    <w:rPr>
                      <w:rFonts w:hint="default" w:cs="Times New Roman" w:eastAsiaTheme="minorEastAsia"/>
                      <w:color w:val="auto"/>
                      <w:szCs w:val="18"/>
                    </w:rPr>
                    <w:t>无</w:t>
                  </w:r>
                  <w:r>
                    <w:rPr>
                      <w:rFonts w:hint="eastAsia" w:cs="Times New Roman" w:eastAsiaTheme="minorEastAsia"/>
                      <w:color w:val="auto"/>
                      <w:szCs w:val="18"/>
                    </w:rPr>
                    <w:t>）</w:t>
                  </w:r>
                  <w:r>
                    <w:rPr>
                      <w:rFonts w:hint="default" w:cs="Times New Roman" w:eastAsiaTheme="minorEastAsia"/>
                      <w:color w:val="auto"/>
                      <w:szCs w:val="18"/>
                    </w:rPr>
                    <w:t>VOCs含量涂料。在生产、销售、进口、使用等环节严格执行VOCs含量限值标准。</w:t>
                  </w:r>
                </w:p>
                <w:p w14:paraId="6357FDCE">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3）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cs="Times New Roman" w:eastAsiaTheme="minorEastAsia"/>
                      <w:color w:val="auto"/>
                      <w:szCs w:val="18"/>
                      <w:vertAlign w:val="subscript"/>
                    </w:rPr>
                    <w:t>2.5</w:t>
                  </w:r>
                  <w:r>
                    <w:rPr>
                      <w:rFonts w:hint="default" w:cs="Times New Roman" w:eastAsiaTheme="minorEastAsia"/>
                      <w:color w:val="auto"/>
                      <w:szCs w:val="18"/>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w:t>
                  </w:r>
                  <w:r>
                    <w:rPr>
                      <w:rFonts w:hint="eastAsia" w:cs="Times New Roman" w:eastAsiaTheme="minorEastAsia"/>
                      <w:color w:val="auto"/>
                      <w:szCs w:val="18"/>
                    </w:rPr>
                    <w:t>（</w:t>
                  </w:r>
                  <w:r>
                    <w:rPr>
                      <w:rFonts w:hint="default" w:cs="Times New Roman" w:eastAsiaTheme="minorEastAsia"/>
                      <w:color w:val="auto"/>
                      <w:szCs w:val="18"/>
                    </w:rPr>
                    <w:t>含自备电厂</w:t>
                  </w:r>
                  <w:r>
                    <w:rPr>
                      <w:rFonts w:hint="eastAsia" w:cs="Times New Roman" w:eastAsiaTheme="minorEastAsia"/>
                      <w:color w:val="auto"/>
                      <w:szCs w:val="18"/>
                    </w:rPr>
                    <w:t>）</w:t>
                  </w:r>
                  <w:r>
                    <w:rPr>
                      <w:rFonts w:hint="default" w:cs="Times New Roman" w:eastAsiaTheme="minorEastAsia"/>
                      <w:color w:val="auto"/>
                      <w:szCs w:val="18"/>
                    </w:rPr>
                    <w:t>进行关停或整合。</w:t>
                  </w:r>
                </w:p>
                <w:p w14:paraId="008789CD">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rPr>
                  </w:pPr>
                  <w:r>
                    <w:rPr>
                      <w:rFonts w:hint="default" w:cs="Times New Roman" w:eastAsiaTheme="minorEastAsia"/>
                      <w:color w:val="auto"/>
                      <w:szCs w:val="18"/>
                    </w:rPr>
                    <w:t>（4）全面保障成品油质量。加强油品进口、生产、仓储、销售、运输、使用全环节监管，全面清理整顿自建油罐、流动加油车</w:t>
                  </w:r>
                  <w:r>
                    <w:rPr>
                      <w:rFonts w:hint="eastAsia" w:cs="Times New Roman" w:eastAsiaTheme="minorEastAsia"/>
                      <w:color w:val="auto"/>
                      <w:szCs w:val="18"/>
                    </w:rPr>
                    <w:t>（</w:t>
                  </w:r>
                  <w:r>
                    <w:rPr>
                      <w:rFonts w:hint="default" w:cs="Times New Roman" w:eastAsiaTheme="minorEastAsia"/>
                      <w:color w:val="auto"/>
                      <w:szCs w:val="18"/>
                    </w:rPr>
                    <w:t>船</w:t>
                  </w:r>
                  <w:r>
                    <w:rPr>
                      <w:rFonts w:hint="eastAsia" w:cs="Times New Roman" w:eastAsiaTheme="minorEastAsia"/>
                      <w:color w:val="auto"/>
                      <w:szCs w:val="18"/>
                    </w:rPr>
                    <w:t>）</w:t>
                  </w:r>
                  <w:r>
                    <w:rPr>
                      <w:rFonts w:hint="default" w:cs="Times New Roman" w:eastAsiaTheme="minorEastAsia"/>
                      <w:color w:val="auto"/>
                      <w:szCs w:val="18"/>
                    </w:rPr>
                    <w:t>和黑加油站点，坚决打击将非标油品作为发动机燃料销售等行为。提升货车、非道路移动机械、船舶油箱中柴油抽测频次，对发现的线索进行溯源，严厉追究相关生产、销售、运输者主体责任。</w:t>
                  </w:r>
                </w:p>
                <w:p w14:paraId="55158AFA">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（5）强化VOCs全流程、全环节综合治理。鼓励储罐使用低泄漏的呼吸阀、紧急泄压阀，定期开展密封性检测。汽车罐车推广使用密封式快速接头。污水处理场所高浓度有机废气要单独收集处理</w:t>
                  </w:r>
                  <w:r>
                    <w:rPr>
                      <w:rFonts w:hint="eastAsia" w:cs="Times New Roman" w:eastAsiaTheme="minorEastAsia"/>
                      <w:color w:val="auto"/>
                      <w:szCs w:val="18"/>
                    </w:rPr>
                    <w:t>；</w:t>
                  </w:r>
                  <w:r>
                    <w:rPr>
                      <w:rFonts w:hint="default" w:cs="Times New Roman" w:eastAsiaTheme="minorEastAsia"/>
                      <w:color w:val="auto"/>
                      <w:szCs w:val="18"/>
                    </w:rPr>
                    <w:t>含VOCs有机废水储罐、装置区集水井</w:t>
                  </w:r>
                  <w:r>
                    <w:rPr>
                      <w:rFonts w:hint="eastAsia" w:cs="Times New Roman" w:eastAsiaTheme="minorEastAsia"/>
                      <w:color w:val="auto"/>
                      <w:szCs w:val="18"/>
                    </w:rPr>
                    <w:t>（</w:t>
                  </w:r>
                  <w:r>
                    <w:rPr>
                      <w:rFonts w:hint="default" w:cs="Times New Roman" w:eastAsiaTheme="minorEastAsia"/>
                      <w:color w:val="auto"/>
                      <w:szCs w:val="18"/>
                    </w:rPr>
                    <w:t>池</w:t>
                  </w:r>
                  <w:r>
                    <w:rPr>
                      <w:rFonts w:hint="eastAsia" w:cs="Times New Roman" w:eastAsiaTheme="minorEastAsia"/>
                      <w:color w:val="auto"/>
                      <w:szCs w:val="18"/>
                    </w:rPr>
                    <w:t>）</w:t>
                  </w:r>
                  <w:r>
                    <w:rPr>
                      <w:rFonts w:hint="default" w:cs="Times New Roman" w:eastAsiaTheme="minorEastAsia"/>
                      <w:color w:val="auto"/>
                      <w:szCs w:val="18"/>
                    </w:rPr>
                    <w:t>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1485" w:type="pct"/>
                  <w:vAlign w:val="center"/>
                </w:tcPr>
                <w:p w14:paraId="7885F55B">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（1）本项目不属于“两高一低”项目类型；</w:t>
                  </w:r>
                </w:p>
                <w:p w14:paraId="759BB152">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（2）本项目不属于前述受控行业类型，建筑装修过程中严格使用低VOCs原辅材料。</w:t>
                  </w:r>
                </w:p>
                <w:p w14:paraId="60E5AA93">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（3）本项目为食品级硫磺、工业级硫磺等产品制造，本项目不设锅炉，采用电加热的方式对液硫进行供热保温，项目不涉及使用燃煤锅炉。</w:t>
                  </w:r>
                </w:p>
                <w:p w14:paraId="573D01EE">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（4）本项目建设自用加油站、LNG加注站，将采购符合国标的油品作为原料。</w:t>
                  </w:r>
                </w:p>
                <w:p w14:paraId="68CBC84F">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（5）本项目自用加油设施、LNG加注设施均采用低泄漏的呼吸阀等设施，确保VOCs排放得到有效控制。</w:t>
                  </w:r>
                </w:p>
              </w:tc>
              <w:tc>
                <w:tcPr>
                  <w:tcW w:w="503" w:type="pct"/>
                  <w:vAlign w:val="center"/>
                </w:tcPr>
                <w:p w14:paraId="584C79A7">
                  <w:pPr>
                    <w:pStyle w:val="50"/>
                    <w:keepNext w:val="0"/>
                    <w:keepLines w:val="0"/>
                    <w:suppressLineNumbers w:val="0"/>
                    <w:spacing w:before="0" w:beforeAutospacing="0" w:after="0" w:afterAutospacing="0"/>
                    <w:ind w:left="0" w:right="0"/>
                    <w:rPr>
                      <w:rFonts w:hint="default" w:cs="Times New Roman" w:eastAsiaTheme="minorEastAsia"/>
                      <w:color w:val="auto"/>
                    </w:rPr>
                  </w:pPr>
                </w:p>
              </w:tc>
            </w:tr>
            <w:bookmarkEnd w:id="52"/>
            <w:tr w14:paraId="23576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uto"/>
                  <w:vAlign w:val="center"/>
                </w:tcPr>
                <w:p w14:paraId="2EF200B3">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《四川省空气质量持续改善行动计划实施方案》（川府发〔2024〕15号）</w:t>
                  </w:r>
                </w:p>
              </w:tc>
              <w:tc>
                <w:tcPr>
                  <w:tcW w:w="2266" w:type="pct"/>
                  <w:shd w:val="clear" w:color="auto" w:fill="auto"/>
                  <w:vAlign w:val="center"/>
                </w:tcPr>
                <w:p w14:paraId="04BB72FC">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严格产业准入。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原则上采用清洁运输方式。</w:t>
                  </w:r>
                </w:p>
                <w:p w14:paraId="672373FF">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（2）加强含VOCs原辅材料源头管控。严格控制生产和使用高VOCs含量涂料、油墨、胶粘剂、清洗剂等建设项目。定期编制发布低</w:t>
                  </w:r>
                  <w:r>
                    <w:rPr>
                      <w:rFonts w:hint="eastAsia" w:cs="Times New Roman" w:eastAsiaTheme="minorEastAsia"/>
                      <w:color w:val="auto"/>
                      <w:szCs w:val="18"/>
                    </w:rPr>
                    <w:t>（</w:t>
                  </w:r>
                  <w:r>
                    <w:rPr>
                      <w:rFonts w:hint="default" w:cs="Times New Roman" w:eastAsiaTheme="minorEastAsia"/>
                      <w:color w:val="auto"/>
                      <w:szCs w:val="18"/>
                    </w:rPr>
                    <w:t>无</w:t>
                  </w:r>
                  <w:r>
                    <w:rPr>
                      <w:rFonts w:hint="eastAsia" w:cs="Times New Roman" w:eastAsiaTheme="minorEastAsia"/>
                      <w:color w:val="auto"/>
                      <w:szCs w:val="18"/>
                    </w:rPr>
                    <w:t>）</w:t>
                  </w:r>
                  <w:r>
                    <w:rPr>
                      <w:rFonts w:hint="default" w:cs="Times New Roman" w:eastAsiaTheme="minorEastAsia"/>
                      <w:color w:val="auto"/>
                      <w:szCs w:val="18"/>
                    </w:rPr>
                    <w:t>VOCs原辅材料和产品目录。在生产、销售、进口、使用等环节严格执行VOCs含量限值标准</w:t>
                  </w:r>
                  <w:r>
                    <w:rPr>
                      <w:rFonts w:hint="eastAsia" w:cs="Times New Roman" w:eastAsiaTheme="minorEastAsia"/>
                      <w:color w:val="auto"/>
                      <w:szCs w:val="18"/>
                    </w:rPr>
                    <w:t>，</w:t>
                  </w:r>
                  <w:r>
                    <w:rPr>
                      <w:rFonts w:hint="default" w:cs="Times New Roman" w:eastAsiaTheme="minorEastAsia"/>
                      <w:color w:val="auto"/>
                      <w:szCs w:val="18"/>
                    </w:rPr>
                    <w:t>建立低</w:t>
                  </w:r>
                  <w:r>
                    <w:rPr>
                      <w:rFonts w:hint="eastAsia" w:cs="Times New Roman" w:eastAsiaTheme="minorEastAsia"/>
                      <w:color w:val="auto"/>
                      <w:szCs w:val="18"/>
                    </w:rPr>
                    <w:t>（</w:t>
                  </w:r>
                  <w:r>
                    <w:rPr>
                      <w:rFonts w:hint="default" w:cs="Times New Roman" w:eastAsiaTheme="minorEastAsia"/>
                      <w:color w:val="auto"/>
                      <w:szCs w:val="18"/>
                    </w:rPr>
                    <w:t>无</w:t>
                  </w:r>
                  <w:r>
                    <w:rPr>
                      <w:rFonts w:hint="eastAsia" w:cs="Times New Roman" w:eastAsiaTheme="minorEastAsia"/>
                      <w:color w:val="auto"/>
                      <w:szCs w:val="18"/>
                    </w:rPr>
                    <w:t>）</w:t>
                  </w:r>
                  <w:r>
                    <w:rPr>
                      <w:rFonts w:hint="default" w:cs="Times New Roman" w:eastAsiaTheme="minorEastAsia"/>
                      <w:color w:val="auto"/>
                      <w:szCs w:val="18"/>
                    </w:rPr>
                    <w:t>VOCs含量产品标识制度。全面推广房屋建筑和市政工程涉VOCs工序环节使用低VOCs含量涂料和胶粘剂；重点区域除特殊功能要求外的室内地坪施工室外构筑物防护和城市道路交通标志基本使用低VOCs含量涂料。</w:t>
                  </w:r>
                </w:p>
                <w:p w14:paraId="7CD2060D">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3）积极推进锅炉淘汰。重点区域原则上不再新建燃煤锅炉，其余县级及以上城市建成区原则上不再新增35蒸吨/小时及以下燃煤锅炉。淘汰10蒸吨/小时及以下燃煤锅炉和2蒸吨/小时及以下生物质锅炉。加快推进35蒸吨/小时及以下的燃煤锅炉及茶水炉、经营性炉灶、储粮烘干设备、农产品加工等燃煤设施淘汰，重点区域城市建成区到2025年基本完成。</w:t>
                  </w:r>
                </w:p>
                <w:p w14:paraId="6719E419">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（4）加强成品油质量监管。加强油品全环节监管，全面清理整顿自建油罐、流动加油车</w:t>
                  </w:r>
                  <w:r>
                    <w:rPr>
                      <w:rFonts w:hint="eastAsia" w:cs="Times New Roman" w:eastAsiaTheme="minorEastAsia"/>
                      <w:color w:val="auto"/>
                      <w:szCs w:val="18"/>
                    </w:rPr>
                    <w:t>（</w:t>
                  </w:r>
                  <w:r>
                    <w:rPr>
                      <w:rFonts w:hint="default" w:cs="Times New Roman" w:eastAsiaTheme="minorEastAsia"/>
                      <w:color w:val="auto"/>
                      <w:szCs w:val="18"/>
                    </w:rPr>
                    <w:t>船</w:t>
                  </w:r>
                  <w:r>
                    <w:rPr>
                      <w:rFonts w:hint="eastAsia" w:cs="Times New Roman" w:eastAsiaTheme="minorEastAsia"/>
                      <w:color w:val="auto"/>
                      <w:szCs w:val="18"/>
                    </w:rPr>
                    <w:t>）</w:t>
                  </w:r>
                  <w:r>
                    <w:rPr>
                      <w:rFonts w:hint="default" w:cs="Times New Roman" w:eastAsiaTheme="minorEastAsia"/>
                      <w:color w:val="auto"/>
                      <w:szCs w:val="18"/>
                    </w:rPr>
                    <w:t>和黑加油站点</w:t>
                  </w:r>
                  <w:r>
                    <w:rPr>
                      <w:rFonts w:hint="eastAsia" w:cs="Times New Roman" w:eastAsiaTheme="minorEastAsia"/>
                      <w:color w:val="auto"/>
                      <w:szCs w:val="18"/>
                    </w:rPr>
                    <w:t>，</w:t>
                  </w:r>
                  <w:r>
                    <w:rPr>
                      <w:rFonts w:hint="default" w:cs="Times New Roman" w:eastAsiaTheme="minorEastAsia"/>
                      <w:color w:val="auto"/>
                      <w:szCs w:val="18"/>
                    </w:rPr>
                    <w:t>坚决打击将非标油品作为发动机燃料销售等行为。提升货车、非道路移动机械船舶油箱中柴油抽测频次</w:t>
                  </w:r>
                  <w:r>
                    <w:rPr>
                      <w:rFonts w:hint="eastAsia" w:cs="Times New Roman" w:eastAsiaTheme="minorEastAsia"/>
                      <w:color w:val="auto"/>
                      <w:szCs w:val="18"/>
                    </w:rPr>
                    <w:t>，</w:t>
                  </w:r>
                  <w:r>
                    <w:rPr>
                      <w:rFonts w:hint="default" w:cs="Times New Roman" w:eastAsiaTheme="minorEastAsia"/>
                      <w:color w:val="auto"/>
                      <w:szCs w:val="18"/>
                    </w:rPr>
                    <w:t>对发现线索进行</w:t>
                  </w:r>
                  <w:r>
                    <w:rPr>
                      <w:rFonts w:hint="eastAsia" w:cs="Times New Roman" w:eastAsiaTheme="minorEastAsia"/>
                      <w:color w:val="auto"/>
                      <w:szCs w:val="18"/>
                    </w:rPr>
                    <w:t>溯源</w:t>
                  </w:r>
                  <w:r>
                    <w:rPr>
                      <w:rFonts w:hint="default" w:cs="Times New Roman" w:eastAsiaTheme="minorEastAsia"/>
                      <w:color w:val="auto"/>
                      <w:szCs w:val="18"/>
                    </w:rPr>
                    <w:t>，严厉追究相关生产、销售、运输者主体责任。</w:t>
                  </w:r>
                </w:p>
                <w:p w14:paraId="178E1517">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5）强化VOCs全过程管控。开展低效失效VOCs处理设施排查整治。储罐使用低泄漏的呼吸阀、紧急泄压阀，定期开展密封性检测。汽车罐车推广使用密封式快速接头。污水处理场所高浓度有机废气要单独收集处理；含VOCs有机废水储罐、装置区集水井</w:t>
                  </w:r>
                  <w:r>
                    <w:rPr>
                      <w:rFonts w:hint="eastAsia" w:cs="Times New Roman" w:eastAsiaTheme="minorEastAsia"/>
                      <w:color w:val="auto"/>
                      <w:szCs w:val="18"/>
                    </w:rPr>
                    <w:t>（</w:t>
                  </w:r>
                  <w:r>
                    <w:rPr>
                      <w:rFonts w:hint="default" w:cs="Times New Roman" w:eastAsiaTheme="minorEastAsia"/>
                      <w:color w:val="auto"/>
                      <w:szCs w:val="18"/>
                    </w:rPr>
                    <w:t>池</w:t>
                  </w:r>
                  <w:r>
                    <w:rPr>
                      <w:rFonts w:hint="eastAsia" w:cs="Times New Roman" w:eastAsiaTheme="minorEastAsia"/>
                      <w:color w:val="auto"/>
                      <w:szCs w:val="18"/>
                    </w:rPr>
                    <w:t>）</w:t>
                  </w:r>
                  <w:r>
                    <w:rPr>
                      <w:rFonts w:hint="default" w:cs="Times New Roman" w:eastAsiaTheme="minorEastAsia"/>
                      <w:color w:val="auto"/>
                      <w:szCs w:val="18"/>
                    </w:rPr>
                    <w:t>有机废气要密闭收集处理。推动各市</w:t>
                  </w:r>
                  <w:r>
                    <w:rPr>
                      <w:rFonts w:hint="eastAsia" w:cs="Times New Roman" w:eastAsiaTheme="minorEastAsia"/>
                      <w:color w:val="auto"/>
                      <w:szCs w:val="18"/>
                    </w:rPr>
                    <w:t>（</w:t>
                  </w:r>
                  <w:r>
                    <w:rPr>
                      <w:rFonts w:hint="default" w:cs="Times New Roman" w:eastAsiaTheme="minorEastAsia"/>
                      <w:color w:val="auto"/>
                      <w:szCs w:val="18"/>
                    </w:rPr>
                    <w:t>州</w:t>
                  </w:r>
                  <w:r>
                    <w:rPr>
                      <w:rFonts w:hint="eastAsia" w:cs="Times New Roman" w:eastAsiaTheme="minorEastAsia"/>
                      <w:color w:val="auto"/>
                      <w:szCs w:val="18"/>
                    </w:rPr>
                    <w:t>）</w:t>
                  </w:r>
                  <w:r>
                    <w:rPr>
                      <w:rFonts w:hint="default" w:cs="Times New Roman" w:eastAsiaTheme="minorEastAsia"/>
                      <w:color w:val="auto"/>
                      <w:szCs w:val="18"/>
                    </w:rPr>
                    <w:t>和重点工业园区的泄漏检测与修复管理规范化、信息化。加强非正常工况废气排放管控，企业开停工、检维修期间，及时收集处理退料、清洗、吹扫等作业产生的VOCs废气。企业不得将火炬燃烧装置作为日常大气污染处理设施。</w:t>
                  </w:r>
                </w:p>
              </w:tc>
              <w:tc>
                <w:tcPr>
                  <w:tcW w:w="1485" w:type="pct"/>
                  <w:vAlign w:val="center"/>
                </w:tcPr>
                <w:p w14:paraId="6C7AC823">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（1）本项目不属于“两高一低”项目类型，项目建设严格落实规划环评、生态环境分区管控等要求；</w:t>
                  </w:r>
                </w:p>
                <w:p w14:paraId="3CA33FD7">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（2）本项目不属于前述受控行业类型，建筑装修过程中严格使用低VOCs原辅材料。</w:t>
                  </w:r>
                </w:p>
                <w:p w14:paraId="10D64590">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（3）本项目为食品级硫磺、工业级硫磺等产品制造，本项目不设锅炉，采用电加热的方式对液硫进行供热保温，项目不涉及使用燃煤锅炉。</w:t>
                  </w:r>
                </w:p>
                <w:p w14:paraId="6C06C4EF">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（4）本项目建设自用加油站、LNG加注站，将采购符合国标的油品作为原料。</w:t>
                  </w:r>
                </w:p>
                <w:p w14:paraId="215C2216">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（5）本项目自用加油设施、LNG加注设施均采用低泄漏的呼吸阀等设施，确保VOCs排放得到有效控制。</w:t>
                  </w:r>
                </w:p>
              </w:tc>
              <w:tc>
                <w:tcPr>
                  <w:tcW w:w="503" w:type="pct"/>
                  <w:vAlign w:val="center"/>
                </w:tcPr>
                <w:p w14:paraId="0FB938D8">
                  <w:pPr>
                    <w:pStyle w:val="50"/>
                    <w:keepNext w:val="0"/>
                    <w:keepLines w:val="0"/>
                    <w:suppressLineNumbers w:val="0"/>
                    <w:spacing w:before="0" w:beforeAutospacing="0" w:after="0" w:afterAutospacing="0"/>
                    <w:ind w:left="0" w:right="0"/>
                    <w:rPr>
                      <w:rFonts w:hint="default" w:cs="Times New Roman" w:eastAsiaTheme="minorEastAsia"/>
                      <w:color w:val="auto"/>
                    </w:rPr>
                  </w:pPr>
                </w:p>
              </w:tc>
            </w:tr>
            <w:tr w14:paraId="6D286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uto"/>
                  <w:vAlign w:val="center"/>
                </w:tcPr>
                <w:p w14:paraId="7F99A5D6">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《四川省打赢蓝天保卫战实施方案》（川府发〔2019〕4号）</w:t>
                  </w:r>
                </w:p>
              </w:tc>
              <w:tc>
                <w:tcPr>
                  <w:tcW w:w="2266" w:type="pct"/>
                  <w:shd w:val="clear" w:color="auto" w:fill="auto"/>
                  <w:vAlign w:val="center"/>
                </w:tcPr>
                <w:p w14:paraId="4A2AB769">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新、改、扩建涉及VOC</w:t>
                  </w:r>
                  <w:r>
                    <w:rPr>
                      <w:rFonts w:hint="default" w:cs="Times New Roman" w:eastAsiaTheme="minorEastAsia"/>
                      <w:color w:val="auto"/>
                      <w:vertAlign w:val="subscript"/>
                    </w:rPr>
                    <w:t>S</w:t>
                  </w:r>
                  <w:r>
                    <w:rPr>
                      <w:rFonts w:hint="default" w:cs="Times New Roman" w:eastAsiaTheme="minorEastAsia"/>
                      <w:color w:val="auto"/>
                    </w:rPr>
                    <w:t>排放项目，从原辅材料和工艺过程大力推广使用低（无）VOC</w:t>
                  </w:r>
                  <w:r>
                    <w:rPr>
                      <w:rFonts w:hint="default" w:cs="Times New Roman" w:eastAsiaTheme="minorEastAsia"/>
                      <w:color w:val="auto"/>
                      <w:vertAlign w:val="subscript"/>
                    </w:rPr>
                    <w:t>S</w:t>
                  </w:r>
                  <w:r>
                    <w:rPr>
                      <w:rFonts w:hint="default" w:cs="Times New Roman" w:eastAsiaTheme="minorEastAsia"/>
                      <w:color w:val="auto"/>
                    </w:rPr>
                    <w:t>含量的涂料、有机溶剂、胶黏剂、油墨等原辅材料，配套改进生产工艺。严格涉及VOC</w:t>
                  </w:r>
                  <w:r>
                    <w:rPr>
                      <w:rFonts w:hint="default" w:cs="Times New Roman" w:eastAsiaTheme="minorEastAsia"/>
                      <w:color w:val="auto"/>
                      <w:vertAlign w:val="subscript"/>
                    </w:rPr>
                    <w:t>S</w:t>
                  </w:r>
                  <w:r>
                    <w:rPr>
                      <w:rFonts w:hint="default" w:cs="Times New Roman" w:eastAsiaTheme="minorEastAsia"/>
                      <w:color w:val="auto"/>
                    </w:rPr>
                    <w:t>排放的建设项目环境准入，加强源头控制。提高涉及VOC</w:t>
                  </w:r>
                  <w:r>
                    <w:rPr>
                      <w:rFonts w:hint="default" w:cs="Times New Roman" w:eastAsiaTheme="minorEastAsia"/>
                      <w:color w:val="auto"/>
                      <w:vertAlign w:val="subscript"/>
                    </w:rPr>
                    <w:t>S</w:t>
                  </w:r>
                  <w:r>
                    <w:rPr>
                      <w:rFonts w:hint="default" w:cs="Times New Roman" w:eastAsiaTheme="minorEastAsia"/>
                      <w:color w:val="auto"/>
                    </w:rPr>
                    <w:t>排放行业环保准入门槛，新建涉及VOC</w:t>
                  </w:r>
                  <w:r>
                    <w:rPr>
                      <w:rFonts w:hint="default" w:cs="Times New Roman" w:eastAsiaTheme="minorEastAsia"/>
                      <w:color w:val="auto"/>
                      <w:vertAlign w:val="subscript"/>
                    </w:rPr>
                    <w:t>S</w:t>
                  </w:r>
                  <w:r>
                    <w:rPr>
                      <w:rFonts w:hint="default" w:cs="Times New Roman" w:eastAsiaTheme="minorEastAsia"/>
                      <w:color w:val="auto"/>
                    </w:rPr>
                    <w:t>排放的工业企业入驻园区，实行区域内VOC</w:t>
                  </w:r>
                  <w:r>
                    <w:rPr>
                      <w:rFonts w:hint="default" w:cs="Times New Roman" w:eastAsiaTheme="minorEastAsia"/>
                      <w:color w:val="auto"/>
                      <w:vertAlign w:val="subscript"/>
                    </w:rPr>
                    <w:t>S</w:t>
                  </w:r>
                  <w:r>
                    <w:rPr>
                      <w:rFonts w:hint="default" w:cs="Times New Roman" w:eastAsiaTheme="minorEastAsia"/>
                      <w:color w:val="auto"/>
                    </w:rPr>
                    <w:t>排放等量或者倍量削减替代。</w:t>
                  </w:r>
                </w:p>
              </w:tc>
              <w:tc>
                <w:tcPr>
                  <w:tcW w:w="1485" w:type="pct"/>
                  <w:shd w:val="clear" w:color="auto" w:fill="auto"/>
                  <w:vAlign w:val="center"/>
                </w:tcPr>
                <w:p w14:paraId="77E230A5">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本项目位于普光经开区，所在区域为达标区，项目将加强无组织废气（含VOCs）排放控制。</w:t>
                  </w:r>
                </w:p>
              </w:tc>
              <w:tc>
                <w:tcPr>
                  <w:tcW w:w="503" w:type="pct"/>
                  <w:vAlign w:val="center"/>
                </w:tcPr>
                <w:p w14:paraId="52AE0755">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1B452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uto"/>
                  <w:vAlign w:val="center"/>
                </w:tcPr>
                <w:p w14:paraId="3C32C109">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《达州市大气环境质量限期达标规划（2018—2030年）》（达市府发〔2018〕20号）</w:t>
                  </w:r>
                </w:p>
              </w:tc>
              <w:tc>
                <w:tcPr>
                  <w:tcW w:w="2266" w:type="pct"/>
                  <w:shd w:val="clear" w:color="auto" w:fill="auto"/>
                  <w:vAlign w:val="center"/>
                </w:tcPr>
                <w:p w14:paraId="1C9BDE27">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以大气环境质量达标为核心，以PM</w:t>
                  </w:r>
                  <w:r>
                    <w:rPr>
                      <w:rFonts w:hint="default" w:cs="Times New Roman" w:eastAsiaTheme="minorEastAsia"/>
                      <w:color w:val="auto"/>
                      <w:vertAlign w:val="subscript"/>
                    </w:rPr>
                    <w:t>2.5</w:t>
                  </w:r>
                  <w:r>
                    <w:rPr>
                      <w:rFonts w:hint="default" w:cs="Times New Roman" w:eastAsiaTheme="minorEastAsia"/>
                      <w:color w:val="auto"/>
                    </w:rPr>
                    <w:t>作为重点控制对象，实施空气质量达标战略，包括：优化产业结构和布局，推进能源结构调整，深化火电超低排放、工业锅炉、建材行业、冶金行业治理整顿，有效控制扬尘、移动源、</w:t>
                  </w:r>
                  <w:bookmarkStart w:id="127" w:name="_GoBack"/>
                  <w:r>
                    <w:rPr>
                      <w:rFonts w:hint="default" w:cs="Times New Roman" w:eastAsiaTheme="minorEastAsia"/>
                      <w:color w:val="auto"/>
                    </w:rPr>
                    <w:t>秸秆焚烧</w:t>
                  </w:r>
                  <w:bookmarkEnd w:id="127"/>
                  <w:r>
                    <w:rPr>
                      <w:rFonts w:hint="default" w:cs="Times New Roman" w:eastAsiaTheme="minorEastAsia"/>
                      <w:color w:val="auto"/>
                    </w:rPr>
                    <w:t>的污染排放，加快推进VOCs综合整治，促进多污染物协同控制及区域联防联控，提升大气污染精细化防控能力。</w:t>
                  </w:r>
                </w:p>
              </w:tc>
              <w:tc>
                <w:tcPr>
                  <w:tcW w:w="1485" w:type="pct"/>
                  <w:shd w:val="clear" w:color="auto" w:fill="auto"/>
                  <w:vAlign w:val="center"/>
                </w:tcPr>
                <w:p w14:paraId="5DC14879">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本项目位于普光经开区，所在区域为达标区，项目将加强无组织废气（含VOCs）排放控制。</w:t>
                  </w:r>
                </w:p>
              </w:tc>
              <w:tc>
                <w:tcPr>
                  <w:tcW w:w="503" w:type="pct"/>
                  <w:vAlign w:val="center"/>
                </w:tcPr>
                <w:p w14:paraId="7AF653E4">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428F7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uto"/>
                  <w:vAlign w:val="center"/>
                </w:tcPr>
                <w:p w14:paraId="0C908A90">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《达州市“十四五”生态环境保护规划》（达府办发〔2022〕18号）</w:t>
                  </w:r>
                </w:p>
              </w:tc>
              <w:tc>
                <w:tcPr>
                  <w:tcW w:w="2266" w:type="pct"/>
                  <w:shd w:val="clear" w:color="auto" w:fill="auto"/>
                  <w:vAlign w:val="center"/>
                </w:tcPr>
                <w:p w14:paraId="4D6170CC">
                  <w:pPr>
                    <w:pStyle w:val="50"/>
                    <w:keepNext w:val="0"/>
                    <w:keepLines w:val="0"/>
                    <w:numPr>
                      <w:ilvl w:val="0"/>
                      <w:numId w:val="12"/>
                    </w:numPr>
                    <w:suppressLineNumbers w:val="0"/>
                    <w:spacing w:before="0" w:beforeAutospacing="0" w:after="0" w:afterAutospacing="0"/>
                    <w:ind w:left="0" w:right="0"/>
                    <w:jc w:val="both"/>
                    <w:rPr>
                      <w:rFonts w:hint="default" w:cs="Times New Roman" w:eastAsiaTheme="minorEastAsia"/>
                      <w:color w:val="auto"/>
                    </w:rPr>
                  </w:pPr>
                  <w:r>
                    <w:rPr>
                      <w:rFonts w:hint="default" w:cs="Times New Roman" w:eastAsiaTheme="minorEastAsia"/>
                      <w:color w:val="auto"/>
                    </w:rPr>
                    <w:t>推进“3+3+N”（能源化工、新材料、农产品加工三大千亿集群，电子信息、智能装备制造、轻纺服饰三大五百亿产业集群，医药健康、绿色建材等N个特色百亿产业集群）产业集群建设加快钢铁、火电、水泥等传统产业全流程清洁化、循环化、低碳化改造，严格控制新（改、扩）建、高耗能、高排放项目，严格执行钢铁、水泥等行业产能置换政策，加快推进城市建成区内四川省达州钢铁集团有限责任公司等重污染企业关闭、搬迁、改造或转型升级。加快煤炭采选、钢铁冶炼等行业生产工艺改造，推进工矿企业实施清洁生产、节能减排和工业废弃物资源化综合利用。</w:t>
                  </w:r>
                </w:p>
                <w:p w14:paraId="6C4248C9">
                  <w:pPr>
                    <w:pStyle w:val="50"/>
                    <w:keepNext w:val="0"/>
                    <w:keepLines w:val="0"/>
                    <w:numPr>
                      <w:ilvl w:val="0"/>
                      <w:numId w:val="12"/>
                    </w:numPr>
                    <w:suppressLineNumbers w:val="0"/>
                    <w:spacing w:before="0" w:beforeAutospacing="0" w:after="0" w:afterAutospacing="0"/>
                    <w:ind w:left="0" w:right="0"/>
                    <w:jc w:val="both"/>
                    <w:rPr>
                      <w:rFonts w:hint="default" w:cs="Times New Roman" w:eastAsiaTheme="minorEastAsia"/>
                      <w:color w:val="auto"/>
                    </w:rPr>
                  </w:pPr>
                  <w:r>
                    <w:rPr>
                      <w:rFonts w:hint="default" w:cs="Times New Roman" w:eastAsiaTheme="minorEastAsia"/>
                      <w:color w:val="auto"/>
                    </w:rPr>
                    <w:t>深化挥发性有机物（VOCs）综合整治。强化VOCs源头控制，以工业涂装、包装印刷、汽修等行业为重点，大力推进低</w:t>
                  </w:r>
                  <w:r>
                    <w:rPr>
                      <w:rFonts w:hint="eastAsia" w:cs="Times New Roman" w:eastAsiaTheme="minorEastAsia"/>
                      <w:color w:val="auto"/>
                    </w:rPr>
                    <w:t>（</w:t>
                  </w:r>
                  <w:r>
                    <w:rPr>
                      <w:rFonts w:hint="default" w:cs="Times New Roman" w:eastAsiaTheme="minorEastAsia"/>
                      <w:color w:val="auto"/>
                    </w:rPr>
                    <w:t>无</w:t>
                  </w:r>
                  <w:r>
                    <w:rPr>
                      <w:rFonts w:hint="eastAsia" w:cs="Times New Roman" w:eastAsiaTheme="minorEastAsia"/>
                      <w:color w:val="auto"/>
                    </w:rPr>
                    <w:t>）</w:t>
                  </w:r>
                  <w:r>
                    <w:rPr>
                      <w:rFonts w:hint="default" w:cs="Times New Roman" w:eastAsiaTheme="minorEastAsia"/>
                      <w:color w:val="auto"/>
                    </w:rPr>
                    <w:t>挥发性有机物含量、辅材料替代。</w:t>
                  </w:r>
                </w:p>
              </w:tc>
              <w:tc>
                <w:tcPr>
                  <w:tcW w:w="1485" w:type="pct"/>
                  <w:shd w:val="clear" w:color="auto" w:fill="auto"/>
                  <w:vAlign w:val="center"/>
                </w:tcPr>
                <w:p w14:paraId="5613B9AE">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（1）本项目不属于“两高一低”项目类型；本项目为食品级硫磺、工业级硫磺等产品制造，本项目不设锅炉，采用电加热的方式对液硫进行供热保温，项目不涉及使用燃煤锅炉。</w:t>
                  </w:r>
                </w:p>
                <w:p w14:paraId="1223DFA0">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（2）本项目虽属于化工行业，但主要进行物理分离，不涉及所列化工行业；项目将加强无组织废气（含VOCs）排放控制。建筑装修过程中严格使用低VOCs原辅材料。</w:t>
                  </w:r>
                </w:p>
              </w:tc>
              <w:tc>
                <w:tcPr>
                  <w:tcW w:w="503" w:type="pct"/>
                  <w:shd w:val="clear" w:color="auto" w:fill="auto"/>
                  <w:vAlign w:val="center"/>
                </w:tcPr>
                <w:p w14:paraId="5A520ABC">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7E257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14:paraId="4C957834">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《达州市“十四五”环境空气质量达标规划》（达市府办发〔2024〕3号）</w:t>
                  </w:r>
                </w:p>
              </w:tc>
              <w:tc>
                <w:tcPr>
                  <w:tcW w:w="2266" w:type="pct"/>
                  <w:vAlign w:val="center"/>
                </w:tcPr>
                <w:p w14:paraId="60DDB78C">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1）严格环境准入，强化源头管理严把环境准入关。严格控制高耗能、高排放、低水平项目建设，严禁新批产能过剩行业新增产能项目，禁止新建不符合国家产业政策和行业准入条件的高耗能、高排放、低水平项目，城市建成区、工业园区禁止新建35蒸吨/小时及以下的燃煤锅炉，开展重点产业园区“负面清单管理”试点。</w:t>
                  </w:r>
                </w:p>
                <w:p w14:paraId="1B78E1FE">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2）严格控制污染物新增排放量。加强对“高污染、高能耗”项目环评审批程序、审批结果的监督与评估。严格实施环评制度，将细颗粒物达标情况纳入规划环评和相关项目环评内容。差异化制定NOx、VOCs排放总量配套管理政策。对空气质量达标县</w:t>
                  </w:r>
                  <w:r>
                    <w:rPr>
                      <w:rFonts w:hint="eastAsia" w:cs="Times New Roman" w:eastAsiaTheme="minorEastAsia"/>
                      <w:color w:val="auto"/>
                    </w:rPr>
                    <w:t>（</w:t>
                  </w:r>
                  <w:r>
                    <w:rPr>
                      <w:rFonts w:hint="default" w:cs="Times New Roman" w:eastAsiaTheme="minorEastAsia"/>
                      <w:color w:val="auto"/>
                    </w:rPr>
                    <w:t>市、区</w:t>
                  </w:r>
                  <w:r>
                    <w:rPr>
                      <w:rFonts w:hint="eastAsia" w:cs="Times New Roman" w:eastAsiaTheme="minorEastAsia"/>
                      <w:color w:val="auto"/>
                    </w:rPr>
                    <w:t>）</w:t>
                  </w:r>
                  <w:r>
                    <w:rPr>
                      <w:rFonts w:hint="default" w:cs="Times New Roman" w:eastAsiaTheme="minorEastAsia"/>
                      <w:color w:val="auto"/>
                    </w:rPr>
                    <w:t>的新建项目大气污染物总量指标实施现役源1.5倍或等量替代。对达州高新区、达州东部经开区和达州普光经济开发区大气污染物总量指标实现现役源等量替代。提高VOCs污染企业环境准入门槛。按照国家、省级有关要求，严格把关VOCs排放类项目建设，严格执行《四川省固定污染源大气挥发性有机物排放标准》</w:t>
                  </w:r>
                  <w:r>
                    <w:rPr>
                      <w:rFonts w:hint="eastAsia" w:cs="Times New Roman" w:eastAsiaTheme="minorEastAsia"/>
                      <w:color w:val="auto"/>
                    </w:rPr>
                    <w:t>（</w:t>
                  </w:r>
                  <w:r>
                    <w:rPr>
                      <w:rFonts w:hint="default" w:cs="Times New Roman" w:eastAsiaTheme="minorEastAsia"/>
                      <w:color w:val="auto"/>
                    </w:rPr>
                    <w:t>DB5112377-2017</w:t>
                  </w:r>
                  <w:r>
                    <w:rPr>
                      <w:rFonts w:hint="eastAsia" w:cs="Times New Roman" w:eastAsiaTheme="minorEastAsia"/>
                      <w:color w:val="auto"/>
                    </w:rPr>
                    <w:t>）</w:t>
                  </w:r>
                  <w:r>
                    <w:rPr>
                      <w:rFonts w:hint="default" w:cs="Times New Roman" w:eastAsiaTheme="minorEastAsia"/>
                      <w:color w:val="auto"/>
                    </w:rPr>
                    <w:t>，对有VOCs污染的项目应把VOCs污染控制作为建设项目环境影响评价的重要内容，采取严格的污染控制措施，新建VOCs企业进入工业园区必须符合园区的相应规划要求。对涉VOCs新建项目进行严格把关，要求各类涉VOCs的建设项目在设计、建设中使用先进的清洁生产和密闭化工艺。推广环境友好型原辅材料使用，鼓励VOCs重点企业优先采用具有环境标志的原辅材料。实施原料替代工程。对于涂料行业，重点推广水性涂料、粉末涂料、高固体分涂料、无溶剂涂料、辐射固化涂料</w:t>
                  </w:r>
                  <w:r>
                    <w:rPr>
                      <w:rFonts w:hint="eastAsia" w:cs="Times New Roman" w:eastAsiaTheme="minorEastAsia"/>
                      <w:color w:val="auto"/>
                    </w:rPr>
                    <w:t>（</w:t>
                  </w:r>
                  <w:r>
                    <w:rPr>
                      <w:rFonts w:hint="default" w:cs="Times New Roman" w:eastAsiaTheme="minorEastAsia"/>
                      <w:color w:val="auto"/>
                    </w:rPr>
                    <w:t>UV涂料</w:t>
                  </w:r>
                  <w:r>
                    <w:rPr>
                      <w:rFonts w:hint="eastAsia" w:cs="Times New Roman" w:eastAsiaTheme="minorEastAsia"/>
                      <w:color w:val="auto"/>
                    </w:rPr>
                    <w:t>）</w:t>
                  </w:r>
                  <w:r>
                    <w:rPr>
                      <w:rFonts w:hint="default" w:cs="Times New Roman" w:eastAsiaTheme="minorEastAsia"/>
                      <w:color w:val="auto"/>
                    </w:rPr>
                    <w:t>等绿色涂料产品。对于农药行业，开发绿色农药剂型，加快绿色溶剂替代轻芳烃和有害有机溶剂，大力推广水基化、无尘化、控制释放等剂型。对于油墨行业，重点研发推广使用低</w:t>
                  </w:r>
                  <w:r>
                    <w:rPr>
                      <w:rFonts w:hint="eastAsia" w:cs="Times New Roman" w:eastAsiaTheme="minorEastAsia"/>
                      <w:color w:val="auto"/>
                    </w:rPr>
                    <w:t>（</w:t>
                  </w:r>
                  <w:r>
                    <w:rPr>
                      <w:rFonts w:hint="default" w:cs="Times New Roman" w:eastAsiaTheme="minorEastAsia"/>
                      <w:color w:val="auto"/>
                    </w:rPr>
                    <w:t>无</w:t>
                  </w:r>
                  <w:r>
                    <w:rPr>
                      <w:rFonts w:hint="eastAsia" w:cs="Times New Roman" w:eastAsiaTheme="minorEastAsia"/>
                      <w:color w:val="auto"/>
                    </w:rPr>
                    <w:t>）</w:t>
                  </w:r>
                  <w:r>
                    <w:rPr>
                      <w:rFonts w:hint="default" w:cs="Times New Roman" w:eastAsiaTheme="minorEastAsia"/>
                      <w:color w:val="auto"/>
                    </w:rPr>
                    <w:t>VOCs的非吸收性基材的水性油墨、单一溶剂型凹印油墨、辐射固化油墨。对于胶粘剂行业，加快推广水基型、热熔型、无溶剂型、紫外光固化型、高固含量型及生物降解型等绿色产品，限制有害溶剂、助剂使用。</w:t>
                  </w:r>
                </w:p>
                <w:p w14:paraId="350A1325">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3）加强化工行业VOCs综合治理。对有机化学原料制造、农药制造、医药化工、涂料油墨颜料制造、化学纤维制造、橡胶和塑料制品制造、煤化工等化工行业实施VOCs综合整治。参照石化行业VOCs治理任务要求，全面推进化工企业设备动静密封点储存、装卸、废水系统、有组织工艺废气和非正常工况等污染治理。加强无组织废气排放控制，含VOCs物料的储存、输送、投料、卸料，涉及VOCs物料的生产及含VOCs产品分装等过程</w:t>
                  </w:r>
                </w:p>
              </w:tc>
              <w:tc>
                <w:tcPr>
                  <w:tcW w:w="1485" w:type="pct"/>
                  <w:shd w:val="clear" w:color="auto" w:fill="auto"/>
                  <w:vAlign w:val="center"/>
                </w:tcPr>
                <w:p w14:paraId="71C419EA">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（1）本项目不属于“两高一低”项目类型；本项目为食品级硫磺、工业级硫磺等产品制造，本项目不设锅炉，采用电加热的方式对液硫进行供热保温，项目不涉及使用燃煤锅炉。</w:t>
                  </w:r>
                </w:p>
                <w:p w14:paraId="3667DE95">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（2）本项目自用加油站及LNG加注站涉及少量VOCs排放，由于属于无组织排放且其排放量极小，不作总量控制。</w:t>
                  </w:r>
                </w:p>
                <w:p w14:paraId="491A63C2">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（2）项目建设严格落实规划环评、生态环境分区管控等要求；</w:t>
                  </w:r>
                </w:p>
                <w:p w14:paraId="0058F29A">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rPr>
                  </w:pPr>
                  <w:r>
                    <w:rPr>
                      <w:rFonts w:hint="default" w:cs="Times New Roman" w:eastAsiaTheme="minorEastAsia"/>
                      <w:color w:val="auto"/>
                      <w:szCs w:val="18"/>
                    </w:rPr>
                    <w:t>（3）本项目虽属于化工行业，但主要进行物理分离，不涉及所列化工行业；项目将加强无组织废气（含VOCs）排放控制。</w:t>
                  </w:r>
                </w:p>
              </w:tc>
              <w:tc>
                <w:tcPr>
                  <w:tcW w:w="503" w:type="pct"/>
                  <w:vAlign w:val="center"/>
                </w:tcPr>
                <w:p w14:paraId="37C07DB8">
                  <w:pPr>
                    <w:pStyle w:val="50"/>
                    <w:keepNext w:val="0"/>
                    <w:keepLines w:val="0"/>
                    <w:suppressLineNumbers w:val="0"/>
                    <w:spacing w:before="0" w:beforeAutospacing="0" w:after="0" w:afterAutospacing="0"/>
                    <w:ind w:left="0" w:right="0"/>
                    <w:rPr>
                      <w:rFonts w:hint="default" w:cs="Times New Roman" w:eastAsiaTheme="minorEastAsia"/>
                      <w:color w:val="auto"/>
                    </w:rPr>
                  </w:pPr>
                  <w:r>
                    <w:rPr>
                      <w:rFonts w:hint="default" w:cs="Times New Roman" w:eastAsiaTheme="minorEastAsia"/>
                      <w:color w:val="auto"/>
                    </w:rPr>
                    <w:t>符合</w:t>
                  </w:r>
                </w:p>
              </w:tc>
            </w:tr>
            <w:tr w14:paraId="48202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restart"/>
                  <w:vAlign w:val="center"/>
                </w:tcPr>
                <w:p w14:paraId="56A8D868">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《挥发性有机物（VOCs）污染防治技术政策》（公告2013年第31号）</w:t>
                  </w:r>
                </w:p>
              </w:tc>
              <w:tc>
                <w:tcPr>
                  <w:tcW w:w="2266" w:type="pct"/>
                  <w:vAlign w:val="center"/>
                </w:tcPr>
                <w:p w14:paraId="0057A665">
                  <w:pPr>
                    <w:pStyle w:val="50"/>
                    <w:keepNext w:val="0"/>
                    <w:keepLines w:val="0"/>
                    <w:suppressLineNumbers w:val="0"/>
                    <w:spacing w:before="0" w:beforeAutospacing="0" w:after="0" w:afterAutospacing="0"/>
                    <w:ind w:left="0" w:right="0"/>
                    <w:jc w:val="left"/>
                    <w:rPr>
                      <w:rFonts w:hint="default" w:cs="Times New Roman" w:eastAsiaTheme="minorEastAsia"/>
                      <w:color w:val="auto"/>
                    </w:rPr>
                  </w:pPr>
                  <w:r>
                    <w:rPr>
                      <w:rFonts w:hint="default" w:cs="Times New Roman" w:eastAsiaTheme="minorEastAsia"/>
                      <w:color w:val="auto"/>
                    </w:rPr>
                    <w:t>含VOCs产品的使用过程中，应采取废气收集措施，提高废气收集效率，减少废气的无组织排放与逸散，并对收集后的废气进行回收或处理后达标排放。</w:t>
                  </w:r>
                </w:p>
              </w:tc>
              <w:tc>
                <w:tcPr>
                  <w:tcW w:w="1485" w:type="pct"/>
                  <w:shd w:val="clear" w:color="auto" w:fill="auto"/>
                  <w:vAlign w:val="center"/>
                </w:tcPr>
                <w:p w14:paraId="498F7002">
                  <w:pPr>
                    <w:pStyle w:val="50"/>
                    <w:keepNext w:val="0"/>
                    <w:keepLines w:val="0"/>
                    <w:suppressLineNumbers w:val="0"/>
                    <w:spacing w:before="0" w:beforeAutospacing="0" w:after="0" w:afterAutospacing="0" w:line="240" w:lineRule="auto"/>
                    <w:ind w:left="0" w:right="0"/>
                    <w:jc w:val="left"/>
                    <w:rPr>
                      <w:rFonts w:hint="default" w:cs="Times New Roman" w:eastAsiaTheme="minorEastAsia"/>
                      <w:color w:val="auto"/>
                      <w:szCs w:val="18"/>
                      <w:lang w:val="en-US" w:eastAsia="zh-CN"/>
                    </w:rPr>
                  </w:pPr>
                  <w:r>
                    <w:rPr>
                      <w:rFonts w:hint="eastAsia" w:cs="Times New Roman" w:eastAsiaTheme="minorEastAsia"/>
                      <w:color w:val="auto"/>
                      <w:szCs w:val="18"/>
                      <w:lang w:eastAsia="zh-CN"/>
                    </w:rPr>
                    <w:t>本项目生产过程不涉及VOCs原料、产品。</w:t>
                  </w:r>
                </w:p>
              </w:tc>
              <w:tc>
                <w:tcPr>
                  <w:tcW w:w="503" w:type="pct"/>
                  <w:vAlign w:val="center"/>
                </w:tcPr>
                <w:p w14:paraId="5B635475">
                  <w:pPr>
                    <w:pStyle w:val="50"/>
                    <w:keepNext w:val="0"/>
                    <w:keepLines w:val="0"/>
                    <w:suppressLineNumbers w:val="0"/>
                    <w:spacing w:before="0" w:beforeAutospacing="0" w:after="0" w:afterAutospacing="0"/>
                    <w:ind w:left="0" w:right="0"/>
                    <w:rPr>
                      <w:rFonts w:hint="eastAsia" w:cs="Times New Roman" w:eastAsiaTheme="minorEastAsia"/>
                      <w:color w:val="auto"/>
                      <w:lang w:eastAsia="zh-CN"/>
                    </w:rPr>
                  </w:pPr>
                  <w:r>
                    <w:rPr>
                      <w:rFonts w:hint="eastAsia" w:cs="Times New Roman" w:eastAsiaTheme="minorEastAsia"/>
                      <w:color w:val="auto"/>
                      <w:lang w:eastAsia="zh-CN"/>
                    </w:rPr>
                    <w:t>符合</w:t>
                  </w:r>
                </w:p>
              </w:tc>
            </w:tr>
            <w:tr w14:paraId="6F61F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vAlign w:val="center"/>
                </w:tcPr>
                <w:p w14:paraId="5C245221">
                  <w:pPr>
                    <w:pStyle w:val="50"/>
                    <w:keepNext w:val="0"/>
                    <w:keepLines w:val="0"/>
                    <w:suppressLineNumbers w:val="0"/>
                    <w:spacing w:before="0" w:beforeAutospacing="0" w:after="0" w:afterAutospacing="0"/>
                    <w:ind w:left="0" w:right="0"/>
                    <w:jc w:val="left"/>
                    <w:rPr>
                      <w:rFonts w:hint="default" w:cs="Times New Roman" w:eastAsiaTheme="minorEastAsia"/>
                      <w:color w:val="auto"/>
                    </w:rPr>
                  </w:pPr>
                </w:p>
              </w:tc>
              <w:tc>
                <w:tcPr>
                  <w:tcW w:w="2266" w:type="pct"/>
                  <w:vAlign w:val="center"/>
                </w:tcPr>
                <w:p w14:paraId="6B80ED16">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第二条“源头和过程控制”中第8款在油类（燃油、溶剂）的储存、运输和销售过程中的VOC</w:t>
                  </w:r>
                  <w:r>
                    <w:rPr>
                      <w:rFonts w:hint="eastAsia" w:ascii="Times New Roman" w:hAnsi="Times New Roman" w:cs="Times New Roman" w:eastAsiaTheme="minorEastAsia"/>
                      <w:color w:val="auto"/>
                      <w:lang w:val="en-US" w:eastAsia="zh-CN"/>
                    </w:rPr>
                    <w:t>s</w:t>
                  </w:r>
                  <w:r>
                    <w:rPr>
                      <w:rFonts w:hint="default" w:ascii="Times New Roman" w:hAnsi="Times New Roman" w:cs="Times New Roman" w:eastAsiaTheme="minorEastAsia"/>
                      <w:color w:val="auto"/>
                    </w:rPr>
                    <w:t>污染防治技术措施包括：</w:t>
                  </w:r>
                </w:p>
                <w:p w14:paraId="2EF095DB">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（1）储油库、加油站和油罐车宜配备相应的油气收集系统，储油库、加油站宜配备相应的油气回收系统；</w:t>
                  </w:r>
                </w:p>
                <w:p w14:paraId="74FFC0E2">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（2）油类（燃油、溶剂等）储罐宜采用高效密封的内（外）浮顶罐，当采用固定顶罐时，通过密闭排气系统将含VOC</w:t>
                  </w:r>
                  <w:r>
                    <w:rPr>
                      <w:rFonts w:hint="eastAsia" w:ascii="Times New Roman" w:hAnsi="Times New Roman" w:cs="Times New Roman" w:eastAsiaTheme="minorEastAsia"/>
                      <w:color w:val="auto"/>
                      <w:lang w:val="en-US" w:eastAsia="zh-CN"/>
                    </w:rPr>
                    <w:t>s</w:t>
                  </w:r>
                  <w:r>
                    <w:rPr>
                      <w:rFonts w:hint="default" w:ascii="Times New Roman" w:hAnsi="Times New Roman" w:cs="Times New Roman" w:eastAsiaTheme="minorEastAsia"/>
                      <w:color w:val="auto"/>
                    </w:rPr>
                    <w:t>气体输送至回收设备；</w:t>
                  </w:r>
                </w:p>
                <w:p w14:paraId="1C1C0F49">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（3）油类（燃油、溶剂等）运载工具（汽车油罐车、铁路油槽车、油轮等）在装载过程中排放的VOC</w:t>
                  </w:r>
                  <w:r>
                    <w:rPr>
                      <w:rFonts w:hint="eastAsia" w:ascii="Times New Roman" w:hAnsi="Times New Roman" w:cs="Times New Roman" w:eastAsiaTheme="minorEastAsia"/>
                      <w:color w:val="auto"/>
                      <w:lang w:val="en-US" w:eastAsia="zh-CN"/>
                    </w:rPr>
                    <w:t>s</w:t>
                  </w:r>
                  <w:r>
                    <w:rPr>
                      <w:rFonts w:hint="default" w:ascii="Times New Roman" w:hAnsi="Times New Roman" w:cs="Times New Roman" w:eastAsiaTheme="minorEastAsia"/>
                      <w:color w:val="auto"/>
                    </w:rPr>
                    <w:t>密闭收集输送至回收设备，也可返回储罐或送入气体管网。</w:t>
                  </w:r>
                </w:p>
                <w:p w14:paraId="1F9DC6C2">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p>
              </w:tc>
              <w:tc>
                <w:tcPr>
                  <w:tcW w:w="1485" w:type="pct"/>
                  <w:shd w:val="clear" w:color="auto" w:fill="auto"/>
                  <w:vAlign w:val="center"/>
                </w:tcPr>
                <w:p w14:paraId="4AE74931">
                  <w:pPr>
                    <w:pStyle w:val="50"/>
                    <w:keepNext w:val="0"/>
                    <w:keepLines w:val="0"/>
                    <w:suppressLineNumbers w:val="0"/>
                    <w:spacing w:before="0" w:beforeAutospacing="0" w:after="0" w:afterAutospacing="0"/>
                    <w:ind w:left="0" w:right="0"/>
                    <w:jc w:val="left"/>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柴油撬装站设置油气回收系统，用于收集卸油产生废气；在撬装顶部设置2根DN50通气立管，通气立管口设阻火呼吸阀。</w:t>
                  </w:r>
                </w:p>
              </w:tc>
              <w:tc>
                <w:tcPr>
                  <w:tcW w:w="503" w:type="pct"/>
                  <w:vAlign w:val="center"/>
                </w:tcPr>
                <w:p w14:paraId="5C7E5692">
                  <w:pPr>
                    <w:pStyle w:val="50"/>
                    <w:keepNext w:val="0"/>
                    <w:keepLines w:val="0"/>
                    <w:suppressLineNumbers w:val="0"/>
                    <w:spacing w:before="0" w:beforeAutospacing="0" w:after="0" w:afterAutospacing="0"/>
                    <w:ind w:left="0" w:right="0"/>
                    <w:rPr>
                      <w:rFonts w:hint="eastAsia" w:cs="Times New Roman" w:eastAsiaTheme="minorEastAsia"/>
                      <w:color w:val="auto"/>
                      <w:lang w:eastAsia="zh-CN"/>
                    </w:rPr>
                  </w:pPr>
                  <w:r>
                    <w:rPr>
                      <w:rFonts w:hint="eastAsia" w:cs="Times New Roman" w:eastAsiaTheme="minorEastAsia"/>
                      <w:color w:val="auto"/>
                      <w:lang w:eastAsia="zh-CN"/>
                    </w:rPr>
                    <w:t>符合</w:t>
                  </w:r>
                </w:p>
              </w:tc>
            </w:tr>
            <w:tr w14:paraId="0129C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14:paraId="0AD9B5AB">
                  <w:pPr>
                    <w:pStyle w:val="50"/>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关于印发《重点行业挥发性有机物综合治理方案》的通知（环大气〔20</w:t>
                  </w:r>
                  <w:r>
                    <w:rPr>
                      <w:rFonts w:hint="eastAsia" w:ascii="Times New Roman" w:hAnsi="Times New Roman" w:cs="Times New Roman" w:eastAsiaTheme="minorEastAsia"/>
                      <w:color w:val="auto"/>
                      <w:lang w:val="en-US" w:eastAsia="zh-CN"/>
                    </w:rPr>
                    <w:t>19</w:t>
                  </w:r>
                  <w:r>
                    <w:rPr>
                      <w:rFonts w:hint="default" w:ascii="Times New Roman" w:hAnsi="Times New Roman" w:cs="Times New Roman" w:eastAsiaTheme="minorEastAsia"/>
                      <w:color w:val="auto"/>
                    </w:rPr>
                    <w:t>〕53号）</w:t>
                  </w:r>
                </w:p>
              </w:tc>
              <w:tc>
                <w:tcPr>
                  <w:tcW w:w="2266" w:type="pct"/>
                  <w:vAlign w:val="center"/>
                </w:tcPr>
                <w:p w14:paraId="06931D67">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lang w:val="en-US"/>
                    </w:rPr>
                  </w:pPr>
                  <w:r>
                    <w:rPr>
                      <w:rFonts w:hint="eastAsia" w:ascii="Times New Roman" w:hAnsi="Times New Roman" w:cs="Times New Roman" w:eastAsiaTheme="minorEastAsia"/>
                      <w:color w:val="auto"/>
                      <w:lang w:val="en-US" w:eastAsia="zh-CN"/>
                    </w:rPr>
                    <w:t>（五）油品储运销</w:t>
                  </w:r>
                  <w:r>
                    <w:rPr>
                      <w:rFonts w:hint="default" w:ascii="Times New Roman" w:hAnsi="Times New Roman" w:cs="Times New Roman" w:eastAsiaTheme="minorEastAsia"/>
                      <w:color w:val="auto"/>
                      <w:lang w:val="en-US" w:eastAsia="zh-CN"/>
                    </w:rPr>
                    <w:t>VOCs</w:t>
                  </w:r>
                  <w:r>
                    <w:rPr>
                      <w:rFonts w:hint="eastAsia" w:ascii="Times New Roman" w:hAnsi="Times New Roman" w:cs="Times New Roman" w:eastAsiaTheme="minorEastAsia"/>
                      <w:color w:val="auto"/>
                      <w:lang w:val="en-US" w:eastAsia="zh-CN"/>
                    </w:rPr>
                    <w:t>综合治理。加大汽油（含乙醇汽油）、石脑油、煤油（含航空煤油）以及原油等</w:t>
                  </w:r>
                  <w:r>
                    <w:rPr>
                      <w:rFonts w:hint="default" w:ascii="Times New Roman" w:hAnsi="Times New Roman" w:cs="Times New Roman" w:eastAsiaTheme="minorEastAsia"/>
                      <w:color w:val="auto"/>
                      <w:lang w:val="en-US" w:eastAsia="zh-CN"/>
                    </w:rPr>
                    <w:t>VOCs</w:t>
                  </w:r>
                  <w:r>
                    <w:rPr>
                      <w:rFonts w:hint="eastAsia" w:ascii="Times New Roman" w:hAnsi="Times New Roman" w:cs="Times New Roman" w:eastAsiaTheme="minorEastAsia"/>
                      <w:color w:val="auto"/>
                      <w:lang w:val="en-US" w:eastAsia="zh-CN"/>
                    </w:rPr>
                    <w:t>排放控制，重点推进加油站、油罐车、储油库油气回收治理。重点区域还应推进油船油气回收治理工作。</w:t>
                  </w:r>
                </w:p>
                <w:p w14:paraId="6793A8B9">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深化加油站油气回收工作。</w:t>
                  </w:r>
                  <w:r>
                    <w:rPr>
                      <w:rFonts w:hint="default" w:ascii="Times New Roman" w:hAnsi="Times New Roman" w:cs="Times New Roman" w:eastAsiaTheme="minorEastAsia"/>
                      <w:color w:val="auto"/>
                      <w:lang w:val="en-US" w:eastAsia="zh-CN"/>
                    </w:rPr>
                    <w:t>O</w:t>
                  </w:r>
                  <w:r>
                    <w:rPr>
                      <w:rFonts w:hint="default" w:ascii="Times New Roman" w:hAnsi="Times New Roman" w:cs="Times New Roman" w:eastAsiaTheme="minorEastAsia"/>
                      <w:color w:val="auto"/>
                      <w:vertAlign w:val="subscript"/>
                      <w:lang w:val="en-US" w:eastAsia="zh-CN"/>
                    </w:rPr>
                    <w:t>3</w:t>
                  </w:r>
                  <w:r>
                    <w:rPr>
                      <w:rFonts w:hint="eastAsia" w:ascii="Times New Roman" w:hAnsi="Times New Roman" w:cs="Times New Roman" w:eastAsiaTheme="minorEastAsia"/>
                      <w:color w:val="auto"/>
                      <w:lang w:val="en-US" w:eastAsia="zh-CN"/>
                    </w:rPr>
                    <w:t>污染较重的地区，行政区域内大力推进加油站储油、加油油气回收治理工作，重点区域</w:t>
                  </w:r>
                  <w:r>
                    <w:rPr>
                      <w:rFonts w:hint="default" w:ascii="Times New Roman" w:hAnsi="Times New Roman" w:cs="Times New Roman" w:eastAsiaTheme="minorEastAsia"/>
                      <w:color w:val="auto"/>
                      <w:lang w:val="en-US" w:eastAsia="zh-CN"/>
                    </w:rPr>
                    <w:t>2019</w:t>
                  </w:r>
                  <w:r>
                    <w:rPr>
                      <w:rFonts w:hint="eastAsia" w:ascii="Times New Roman" w:hAnsi="Times New Roman" w:cs="Times New Roman" w:eastAsiaTheme="minorEastAsia"/>
                      <w:color w:val="auto"/>
                      <w:lang w:val="en-US" w:eastAsia="zh-CN"/>
                    </w:rPr>
                    <w:t>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重点区域加快推进年销售汽油量大于</w:t>
                  </w:r>
                  <w:r>
                    <w:rPr>
                      <w:rFonts w:hint="default" w:ascii="Times New Roman" w:hAnsi="Times New Roman" w:cs="Times New Roman" w:eastAsiaTheme="minorEastAsia"/>
                      <w:color w:val="auto"/>
                      <w:lang w:val="en-US" w:eastAsia="zh-CN"/>
                    </w:rPr>
                    <w:t>5000</w:t>
                  </w:r>
                  <w:r>
                    <w:rPr>
                      <w:rFonts w:hint="eastAsia" w:ascii="Times New Roman" w:hAnsi="Times New Roman" w:cs="Times New Roman" w:eastAsiaTheme="minorEastAsia"/>
                      <w:color w:val="auto"/>
                      <w:lang w:val="en-US" w:eastAsia="zh-CN"/>
                    </w:rPr>
                    <w:t>吨的加油站安装油气回收自动监控设备，并与生态环境部门联网，</w:t>
                  </w:r>
                  <w:r>
                    <w:rPr>
                      <w:rFonts w:hint="default" w:ascii="Times New Roman" w:hAnsi="Times New Roman" w:cs="Times New Roman" w:eastAsiaTheme="minorEastAsia"/>
                      <w:color w:val="auto"/>
                      <w:lang w:val="en-US" w:eastAsia="zh-CN"/>
                    </w:rPr>
                    <w:t>2020</w:t>
                  </w:r>
                  <w:r>
                    <w:rPr>
                      <w:rFonts w:hint="eastAsia" w:ascii="Times New Roman" w:hAnsi="Times New Roman" w:cs="Times New Roman" w:eastAsiaTheme="minorEastAsia"/>
                      <w:color w:val="auto"/>
                      <w:lang w:val="en-US" w:eastAsia="zh-CN"/>
                    </w:rPr>
                    <w:t>年年底前基本完成。</w:t>
                  </w:r>
                </w:p>
              </w:tc>
              <w:tc>
                <w:tcPr>
                  <w:tcW w:w="1485" w:type="pct"/>
                  <w:shd w:val="clear" w:color="auto" w:fill="auto"/>
                  <w:vAlign w:val="center"/>
                </w:tcPr>
                <w:p w14:paraId="6CA5C596">
                  <w:pPr>
                    <w:pStyle w:val="50"/>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eastAsia" w:ascii="Times New Roman" w:hAnsi="Times New Roman" w:cs="Times New Roman" w:eastAsiaTheme="minorEastAsia"/>
                      <w:color w:val="auto"/>
                      <w:lang w:eastAsia="zh-CN"/>
                    </w:rPr>
                    <w:t>柴油撬装站设置油气回收系统，用于收集卸油产生废气；在撬装顶部设置2根DN50通气立管，通气立管口设阻火呼吸阀。</w:t>
                  </w:r>
                </w:p>
              </w:tc>
              <w:tc>
                <w:tcPr>
                  <w:tcW w:w="503" w:type="pct"/>
                  <w:vAlign w:val="center"/>
                </w:tcPr>
                <w:p w14:paraId="5BDDD57E">
                  <w:pPr>
                    <w:pStyle w:val="50"/>
                    <w:keepNext w:val="0"/>
                    <w:keepLines w:val="0"/>
                    <w:suppressLineNumbers w:val="0"/>
                    <w:spacing w:before="0" w:beforeAutospacing="0" w:after="0" w:afterAutospacing="0"/>
                    <w:ind w:left="0" w:right="0"/>
                    <w:rPr>
                      <w:rFonts w:hint="eastAsia" w:cs="Times New Roman" w:eastAsiaTheme="minorEastAsia"/>
                      <w:color w:val="auto"/>
                      <w:lang w:eastAsia="zh-CN"/>
                    </w:rPr>
                  </w:pPr>
                  <w:r>
                    <w:rPr>
                      <w:rFonts w:hint="eastAsia" w:cs="Times New Roman" w:eastAsiaTheme="minorEastAsia"/>
                      <w:color w:val="auto"/>
                      <w:lang w:eastAsia="zh-CN"/>
                    </w:rPr>
                    <w:t>符合</w:t>
                  </w:r>
                </w:p>
              </w:tc>
            </w:tr>
            <w:tr w14:paraId="6DE15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14:paraId="003BA438">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《挥发性有机污染物无组织排放控制标准》（</w:t>
                  </w:r>
                  <w:r>
                    <w:rPr>
                      <w:rFonts w:hint="default" w:ascii="Times New Roman" w:hAnsi="Times New Roman" w:cs="Times New Roman" w:eastAsiaTheme="minorEastAsia"/>
                      <w:color w:val="auto"/>
                      <w:lang w:val="en-US" w:eastAsia="zh-CN"/>
                    </w:rPr>
                    <w:t>GB37822-2019</w:t>
                  </w:r>
                  <w:r>
                    <w:rPr>
                      <w:rFonts w:hint="eastAsia" w:ascii="Times New Roman" w:hAnsi="Times New Roman" w:cs="Times New Roman" w:eastAsiaTheme="minorEastAsia"/>
                      <w:color w:val="auto"/>
                      <w:lang w:val="en-US" w:eastAsia="zh-CN"/>
                    </w:rPr>
                    <w:t>）</w:t>
                  </w:r>
                </w:p>
              </w:tc>
              <w:tc>
                <w:tcPr>
                  <w:tcW w:w="2266" w:type="pct"/>
                  <w:vAlign w:val="center"/>
                </w:tcPr>
                <w:p w14:paraId="6AD9B607">
                  <w:pPr>
                    <w:pStyle w:val="50"/>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7.2</w:t>
                  </w:r>
                  <w:r>
                    <w:rPr>
                      <w:rFonts w:hint="eastAsia" w:ascii="Times New Roman" w:hAnsi="Times New Roman" w:cs="Times New Roman" w:eastAsiaTheme="minorEastAsia"/>
                      <w:color w:val="auto"/>
                      <w:lang w:val="en-US" w:eastAsia="zh-CN"/>
                    </w:rPr>
                    <w:t>含</w:t>
                  </w:r>
                  <w:r>
                    <w:rPr>
                      <w:rFonts w:hint="default" w:ascii="Times New Roman" w:hAnsi="Times New Roman" w:cs="Times New Roman" w:eastAsiaTheme="minorEastAsia"/>
                      <w:color w:val="auto"/>
                      <w:lang w:val="en-US" w:eastAsia="zh-CN"/>
                    </w:rPr>
                    <w:t>VOCs</w:t>
                  </w:r>
                  <w:r>
                    <w:rPr>
                      <w:rFonts w:hint="eastAsia" w:ascii="Times New Roman" w:hAnsi="Times New Roman" w:cs="Times New Roman" w:eastAsiaTheme="minorEastAsia"/>
                      <w:color w:val="auto"/>
                      <w:lang w:val="en-US" w:eastAsia="zh-CN"/>
                    </w:rPr>
                    <w:t>产品的使用过程：要求使用过程应采用密闭设备或在密闭空间内操作，废气应排至</w:t>
                  </w:r>
                  <w:r>
                    <w:rPr>
                      <w:rFonts w:hint="default" w:ascii="Times New Roman" w:hAnsi="Times New Roman" w:cs="Times New Roman" w:eastAsiaTheme="minorEastAsia"/>
                      <w:color w:val="auto"/>
                      <w:lang w:val="en-US" w:eastAsia="zh-CN"/>
                    </w:rPr>
                    <w:t>VOCs</w:t>
                  </w:r>
                  <w:r>
                    <w:rPr>
                      <w:rFonts w:hint="eastAsia" w:ascii="Times New Roman" w:hAnsi="Times New Roman" w:cs="Times New Roman" w:eastAsiaTheme="minorEastAsia"/>
                      <w:color w:val="auto"/>
                      <w:lang w:val="en-US" w:eastAsia="zh-CN"/>
                    </w:rPr>
                    <w:t>废气收集处理系统：无法密闭的，应采取局部气体收集措施，废气应排至</w:t>
                  </w:r>
                  <w:r>
                    <w:rPr>
                      <w:rFonts w:hint="default" w:ascii="Times New Roman" w:hAnsi="Times New Roman" w:cs="Times New Roman" w:eastAsiaTheme="minorEastAsia"/>
                      <w:color w:val="auto"/>
                      <w:lang w:val="en-US" w:eastAsia="zh-CN"/>
                    </w:rPr>
                    <w:t>VOCs</w:t>
                  </w:r>
                  <w:r>
                    <w:rPr>
                      <w:rFonts w:hint="eastAsia" w:ascii="Times New Roman" w:hAnsi="Times New Roman" w:cs="Times New Roman" w:eastAsiaTheme="minorEastAsia"/>
                      <w:color w:val="auto"/>
                      <w:lang w:val="en-US" w:eastAsia="zh-CN"/>
                    </w:rPr>
                    <w:t>废气收集处理系统。</w:t>
                  </w:r>
                </w:p>
              </w:tc>
              <w:tc>
                <w:tcPr>
                  <w:tcW w:w="1485" w:type="pct"/>
                  <w:shd w:val="clear" w:color="auto" w:fill="auto"/>
                  <w:vAlign w:val="center"/>
                </w:tcPr>
                <w:p w14:paraId="4F944E21">
                  <w:pPr>
                    <w:pStyle w:val="50"/>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eastAsia" w:ascii="Times New Roman" w:hAnsi="Times New Roman" w:cs="Times New Roman" w:eastAsiaTheme="minorEastAsia"/>
                      <w:color w:val="auto"/>
                      <w:lang w:eastAsia="zh-CN"/>
                    </w:rPr>
                    <w:t>柴油撬装站设置油气回收系统，用于收集卸油产生废气；在撬装顶部设置2根DN50通气立管，通气立管口设阻火呼吸阀。</w:t>
                  </w:r>
                </w:p>
              </w:tc>
              <w:tc>
                <w:tcPr>
                  <w:tcW w:w="503" w:type="pct"/>
                  <w:vAlign w:val="center"/>
                </w:tcPr>
                <w:p w14:paraId="28010CD4">
                  <w:pPr>
                    <w:pStyle w:val="50"/>
                    <w:keepNext w:val="0"/>
                    <w:keepLines w:val="0"/>
                    <w:suppressLineNumbers w:val="0"/>
                    <w:spacing w:before="0" w:beforeAutospacing="0" w:after="0" w:afterAutospacing="0"/>
                    <w:ind w:left="0" w:right="0"/>
                    <w:rPr>
                      <w:rFonts w:hint="eastAsia" w:cs="Times New Roman" w:eastAsiaTheme="minorEastAsia"/>
                      <w:color w:val="auto"/>
                      <w:lang w:eastAsia="zh-CN"/>
                    </w:rPr>
                  </w:pPr>
                  <w:r>
                    <w:rPr>
                      <w:rFonts w:hint="eastAsia" w:cs="Times New Roman" w:eastAsiaTheme="minorEastAsia"/>
                      <w:color w:val="auto"/>
                      <w:lang w:eastAsia="zh-CN"/>
                    </w:rPr>
                    <w:t>符合</w:t>
                  </w:r>
                </w:p>
              </w:tc>
            </w:tr>
            <w:tr w14:paraId="200B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restart"/>
                  <w:shd w:val="clear" w:color="auto" w:fill="auto"/>
                  <w:vAlign w:val="center"/>
                </w:tcPr>
                <w:p w14:paraId="48E3BC16">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default"/>
                      <w:color w:val="auto"/>
                    </w:rPr>
                    <w:t>《四川省加油站大气污染物排放标准》（DB51/2865-2021）</w:t>
                  </w:r>
                </w:p>
              </w:tc>
              <w:tc>
                <w:tcPr>
                  <w:tcW w:w="2266" w:type="pct"/>
                  <w:shd w:val="clear" w:color="auto" w:fill="auto"/>
                  <w:vAlign w:val="center"/>
                </w:tcPr>
                <w:p w14:paraId="1B42B06F">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4.1.6 </w:t>
                  </w:r>
                  <w:r>
                    <w:rPr>
                      <w:rFonts w:hint="eastAsia" w:ascii="Times New Roman" w:hAnsi="Times New Roman" w:eastAsia="宋体" w:cs="Times New Roman"/>
                      <w:color w:val="auto"/>
                      <w:lang w:val="en-US" w:eastAsia="zh-CN"/>
                    </w:rPr>
                    <w:t>油气回收系统、油气处理装置和在线监测系统应采用标准化连接。</w:t>
                  </w:r>
                </w:p>
              </w:tc>
              <w:tc>
                <w:tcPr>
                  <w:tcW w:w="1485" w:type="pct"/>
                  <w:shd w:val="clear" w:color="auto" w:fill="auto"/>
                  <w:vAlign w:val="center"/>
                </w:tcPr>
                <w:p w14:paraId="4B713ADF">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项目设置标准化连接的油气回收系统。</w:t>
                  </w:r>
                </w:p>
              </w:tc>
              <w:tc>
                <w:tcPr>
                  <w:tcW w:w="503" w:type="pct"/>
                  <w:shd w:val="clear" w:color="auto" w:fill="auto"/>
                  <w:vAlign w:val="center"/>
                </w:tcPr>
                <w:p w14:paraId="5DFE09EA">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5F8A9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20B4BAE4">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27A859BE">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4.2.1 </w:t>
                  </w:r>
                  <w:r>
                    <w:rPr>
                      <w:rFonts w:hint="eastAsia" w:ascii="Times New Roman" w:hAnsi="Times New Roman" w:eastAsia="宋体" w:cs="Times New Roman"/>
                      <w:color w:val="auto"/>
                      <w:lang w:val="en-US" w:eastAsia="zh-CN"/>
                    </w:rPr>
                    <w:t>所有影响储油油气密闭性的部件，包括油气管线和所连接的法兰、阀门、快速接头以及其他相关部件在正常工作状况下应保持密闭。</w:t>
                  </w:r>
                </w:p>
              </w:tc>
              <w:tc>
                <w:tcPr>
                  <w:tcW w:w="1485" w:type="pct"/>
                  <w:shd w:val="clear" w:color="auto" w:fill="auto"/>
                  <w:vAlign w:val="center"/>
                </w:tcPr>
                <w:p w14:paraId="52E44F07">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项目涉及储油油气密闭性的部件平时均保持密闭。</w:t>
                  </w:r>
                </w:p>
              </w:tc>
              <w:tc>
                <w:tcPr>
                  <w:tcW w:w="503" w:type="pct"/>
                  <w:shd w:val="clear" w:color="auto" w:fill="auto"/>
                  <w:vAlign w:val="center"/>
                </w:tcPr>
                <w:p w14:paraId="5A2389C9">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320FD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66DDF1E8">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36B95117">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4.2.3 </w:t>
                  </w:r>
                  <w:r>
                    <w:rPr>
                      <w:rFonts w:hint="eastAsia" w:ascii="Times New Roman" w:hAnsi="Times New Roman" w:eastAsia="宋体" w:cs="Times New Roman"/>
                      <w:color w:val="auto"/>
                      <w:lang w:val="en-US" w:eastAsia="zh-CN"/>
                    </w:rPr>
                    <w:t>埋地油罐应采用电子式液位计对汽油进行密闭测量。</w:t>
                  </w:r>
                </w:p>
              </w:tc>
              <w:tc>
                <w:tcPr>
                  <w:tcW w:w="1485" w:type="pct"/>
                  <w:shd w:val="clear" w:color="auto" w:fill="auto"/>
                  <w:vAlign w:val="center"/>
                </w:tcPr>
                <w:p w14:paraId="7BC57F4E">
                  <w:pPr>
                    <w:pStyle w:val="28"/>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本项目不设置埋地油罐。</w:t>
                  </w:r>
                </w:p>
              </w:tc>
              <w:tc>
                <w:tcPr>
                  <w:tcW w:w="503" w:type="pct"/>
                  <w:shd w:val="clear" w:color="auto" w:fill="auto"/>
                  <w:vAlign w:val="center"/>
                </w:tcPr>
                <w:p w14:paraId="2CE19458">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30066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615CE2EE">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5ED0266E">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4.3.1 </w:t>
                  </w:r>
                  <w:r>
                    <w:rPr>
                      <w:rFonts w:hint="eastAsia" w:ascii="Times New Roman" w:hAnsi="Times New Roman" w:eastAsia="宋体" w:cs="Times New Roman"/>
                      <w:color w:val="auto"/>
                      <w:lang w:val="en-US" w:eastAsia="zh-CN"/>
                    </w:rPr>
                    <w:t>加油站应采用浸没式卸油方式，卸油管出油口距罐底高度应小于</w:t>
                  </w:r>
                  <w:r>
                    <w:rPr>
                      <w:rFonts w:hint="default" w:ascii="Times New Roman" w:hAnsi="Times New Roman" w:eastAsia="宋体" w:cs="Times New Roman"/>
                      <w:color w:val="auto"/>
                      <w:lang w:val="en-US" w:eastAsia="zh-CN"/>
                    </w:rPr>
                    <w:t>200 mm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 xml:space="preserve"> </w:t>
                  </w:r>
                </w:p>
              </w:tc>
              <w:tc>
                <w:tcPr>
                  <w:tcW w:w="1485" w:type="pct"/>
                  <w:shd w:val="clear" w:color="auto" w:fill="auto"/>
                  <w:vAlign w:val="center"/>
                </w:tcPr>
                <w:p w14:paraId="21C87C33">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项目拟采用密闭卸油方式，且卸油管出油口距罐底高度小于</w:t>
                  </w:r>
                  <w:r>
                    <w:rPr>
                      <w:rFonts w:hint="default" w:ascii="Times New Roman" w:hAnsi="Times New Roman" w:eastAsia="宋体" w:cs="Times New Roman"/>
                      <w:color w:val="auto"/>
                      <w:lang w:val="en-US" w:eastAsia="zh-CN"/>
                    </w:rPr>
                    <w:t>200mm</w:t>
                  </w:r>
                  <w:r>
                    <w:rPr>
                      <w:rFonts w:hint="eastAsia" w:ascii="Times New Roman" w:hAnsi="Times New Roman" w:eastAsia="宋体" w:cs="Times New Roman"/>
                      <w:color w:val="auto"/>
                      <w:lang w:val="en-US" w:eastAsia="zh-CN"/>
                    </w:rPr>
                    <w:t>。</w:t>
                  </w:r>
                </w:p>
              </w:tc>
              <w:tc>
                <w:tcPr>
                  <w:tcW w:w="503" w:type="pct"/>
                  <w:shd w:val="clear" w:color="auto" w:fill="auto"/>
                  <w:vAlign w:val="center"/>
                </w:tcPr>
                <w:p w14:paraId="63C56294">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7B4DD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0CA8CC6C">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24B3B462">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4.3.2 </w:t>
                  </w:r>
                  <w:r>
                    <w:rPr>
                      <w:rFonts w:hint="eastAsia" w:ascii="Times New Roman" w:hAnsi="Times New Roman" w:eastAsia="宋体" w:cs="Times New Roman"/>
                      <w:color w:val="auto"/>
                      <w:lang w:val="en-US" w:eastAsia="zh-CN"/>
                    </w:rPr>
                    <w:t>加油站卸油应安装卸油油气回收系统。</w:t>
                  </w:r>
                </w:p>
              </w:tc>
              <w:tc>
                <w:tcPr>
                  <w:tcW w:w="1485" w:type="pct"/>
                  <w:shd w:val="clear" w:color="auto" w:fill="auto"/>
                  <w:vAlign w:val="center"/>
                </w:tcPr>
                <w:p w14:paraId="7DB3D047">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项目安装卸油油气回收系统。</w:t>
                  </w:r>
                </w:p>
              </w:tc>
              <w:tc>
                <w:tcPr>
                  <w:tcW w:w="503" w:type="pct"/>
                  <w:shd w:val="clear" w:color="auto" w:fill="auto"/>
                  <w:vAlign w:val="center"/>
                </w:tcPr>
                <w:p w14:paraId="502BD676">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61898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133F1B8C">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222D38F6">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4.4.1 </w:t>
                  </w:r>
                  <w:r>
                    <w:rPr>
                      <w:rFonts w:hint="eastAsia" w:ascii="Times New Roman" w:hAnsi="Times New Roman" w:eastAsia="宋体" w:cs="Times New Roman"/>
                      <w:color w:val="auto"/>
                      <w:lang w:val="en-US" w:eastAsia="zh-CN"/>
                    </w:rPr>
                    <w:t>汽油加油机应具备油气回收功能，加油产生的油气应采用真空辅助方式密闭收集。</w:t>
                  </w:r>
                  <w:r>
                    <w:rPr>
                      <w:rFonts w:hint="default" w:ascii="Times New Roman" w:hAnsi="Times New Roman" w:eastAsia="宋体" w:cs="Times New Roman"/>
                      <w:color w:val="auto"/>
                      <w:lang w:val="en-US" w:eastAsia="zh-CN"/>
                    </w:rPr>
                    <w:t xml:space="preserve"> </w:t>
                  </w:r>
                </w:p>
              </w:tc>
              <w:tc>
                <w:tcPr>
                  <w:tcW w:w="1485" w:type="pct"/>
                  <w:shd w:val="clear" w:color="auto" w:fill="auto"/>
                  <w:vAlign w:val="center"/>
                </w:tcPr>
                <w:p w14:paraId="10EAA41A">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项目仅为自用柴油，不涉及汽油加油。</w:t>
                  </w:r>
                </w:p>
              </w:tc>
              <w:tc>
                <w:tcPr>
                  <w:tcW w:w="503" w:type="pct"/>
                  <w:shd w:val="clear" w:color="auto" w:fill="auto"/>
                  <w:vAlign w:val="center"/>
                </w:tcPr>
                <w:p w14:paraId="2C378401">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1C0AE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0A7E3E43">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69F51F08">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4.4.2 </w:t>
                  </w:r>
                  <w:r>
                    <w:rPr>
                      <w:rFonts w:hint="eastAsia" w:ascii="Times New Roman" w:hAnsi="Times New Roman" w:eastAsia="宋体" w:cs="Times New Roman"/>
                      <w:color w:val="auto"/>
                      <w:lang w:val="en-US" w:eastAsia="zh-CN"/>
                    </w:rPr>
                    <w:t>加油机应配套采用带集气罩的油气回收加油枪。加油作业时须将油枪集气罩扣在汽车油箱口，减少油气溢散。加油作业时油气回收真空泵应正常工作，发现真空泵异常应在本次加油结束后立即停止使用该加油枪。</w:t>
                  </w:r>
                </w:p>
              </w:tc>
              <w:tc>
                <w:tcPr>
                  <w:tcW w:w="1485" w:type="pct"/>
                  <w:shd w:val="clear" w:color="auto" w:fill="auto"/>
                  <w:vAlign w:val="center"/>
                </w:tcPr>
                <w:p w14:paraId="3CB0EB8C">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项目加油机配套采用带集气罩的油气回收加油枪。</w:t>
                  </w:r>
                </w:p>
              </w:tc>
              <w:tc>
                <w:tcPr>
                  <w:tcW w:w="503" w:type="pct"/>
                  <w:shd w:val="clear" w:color="auto" w:fill="auto"/>
                  <w:vAlign w:val="center"/>
                </w:tcPr>
                <w:p w14:paraId="3DD272C1">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55683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2FC54CB4">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53A4D689">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4.4.3 </w:t>
                  </w:r>
                  <w:r>
                    <w:rPr>
                      <w:rFonts w:hint="eastAsia" w:ascii="Times New Roman" w:hAnsi="Times New Roman" w:eastAsia="宋体" w:cs="Times New Roman"/>
                      <w:color w:val="auto"/>
                      <w:lang w:val="en-US" w:eastAsia="zh-CN"/>
                    </w:rPr>
                    <w:t>加油枪集气罩应保持完好无损，发现破损及老化应立即进行更换；加油站内设备维护人员每周至少检查维护油枪集气罩一次，每年至少更换一次集气罩。</w:t>
                  </w:r>
                </w:p>
              </w:tc>
              <w:tc>
                <w:tcPr>
                  <w:tcW w:w="1485" w:type="pct"/>
                  <w:shd w:val="clear" w:color="auto" w:fill="auto"/>
                  <w:vAlign w:val="center"/>
                </w:tcPr>
                <w:p w14:paraId="40AD674C">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项目加油枪集气罩保持完好无损，及时检查更换。</w:t>
                  </w:r>
                </w:p>
              </w:tc>
              <w:tc>
                <w:tcPr>
                  <w:tcW w:w="503" w:type="pct"/>
                  <w:shd w:val="clear" w:color="auto" w:fill="auto"/>
                  <w:vAlign w:val="center"/>
                </w:tcPr>
                <w:p w14:paraId="4F0DBE69">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r w14:paraId="6F40C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pct"/>
                  <w:vMerge w:val="continue"/>
                  <w:shd w:val="clear" w:color="auto" w:fill="auto"/>
                  <w:vAlign w:val="center"/>
                </w:tcPr>
                <w:p w14:paraId="69D1792D">
                  <w:pPr>
                    <w:pStyle w:val="50"/>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p>
              </w:tc>
              <w:tc>
                <w:tcPr>
                  <w:tcW w:w="2266" w:type="pct"/>
                  <w:shd w:val="clear" w:color="auto" w:fill="auto"/>
                  <w:vAlign w:val="center"/>
                </w:tcPr>
                <w:p w14:paraId="5E144C01">
                  <w:pPr>
                    <w:pStyle w:val="28"/>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eastAsiaTheme="minorEastAsia"/>
                      <w:color w:val="auto"/>
                      <w:kern w:val="0"/>
                      <w:sz w:val="18"/>
                      <w:szCs w:val="20"/>
                      <w:lang w:val="en-US" w:eastAsia="zh-CN" w:bidi="ar-SA"/>
                    </w:rPr>
                  </w:pPr>
                  <w:r>
                    <w:rPr>
                      <w:rFonts w:hint="default" w:ascii="Times New Roman" w:hAnsi="Times New Roman" w:eastAsia="宋体" w:cs="Times New Roman"/>
                      <w:color w:val="auto"/>
                      <w:lang w:val="en-US" w:eastAsia="zh-CN"/>
                    </w:rPr>
                    <w:t xml:space="preserve">4.5.4 </w:t>
                  </w:r>
                  <w:r>
                    <w:rPr>
                      <w:rFonts w:hint="eastAsia" w:ascii="Times New Roman" w:hAnsi="Times New Roman" w:eastAsia="宋体" w:cs="Times New Roman"/>
                      <w:color w:val="auto"/>
                      <w:lang w:val="en-US" w:eastAsia="zh-CN"/>
                    </w:rPr>
                    <w:t>油气处理装置在停机时应与加油站油气回收系统保持密闭。</w:t>
                  </w:r>
                </w:p>
              </w:tc>
              <w:tc>
                <w:tcPr>
                  <w:tcW w:w="1485" w:type="pct"/>
                  <w:shd w:val="clear" w:color="auto" w:fill="auto"/>
                  <w:vAlign w:val="center"/>
                </w:tcPr>
                <w:p w14:paraId="36C6C7E9">
                  <w:pPr>
                    <w:pStyle w:val="28"/>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cs="Times New Roman" w:eastAsiaTheme="minorEastAsia"/>
                      <w:color w:val="auto"/>
                      <w:kern w:val="0"/>
                      <w:sz w:val="18"/>
                      <w:szCs w:val="20"/>
                      <w:lang w:val="en-US" w:eastAsia="zh-CN" w:bidi="ar-SA"/>
                    </w:rPr>
                  </w:pPr>
                  <w:r>
                    <w:rPr>
                      <w:rFonts w:hint="eastAsia" w:ascii="Times New Roman" w:hAnsi="Times New Roman" w:eastAsia="宋体" w:cs="Times New Roman"/>
                      <w:color w:val="auto"/>
                      <w:lang w:val="en-US" w:eastAsia="zh-CN"/>
                    </w:rPr>
                    <w:t>项目油气处理装置在停机时应与加油站油气回收系统保持密闭。</w:t>
                  </w:r>
                </w:p>
              </w:tc>
              <w:tc>
                <w:tcPr>
                  <w:tcW w:w="503" w:type="pct"/>
                  <w:shd w:val="clear" w:color="auto" w:fill="auto"/>
                  <w:vAlign w:val="center"/>
                </w:tcPr>
                <w:p w14:paraId="5E3E589D">
                  <w:pPr>
                    <w:pStyle w:val="50"/>
                    <w:keepNext w:val="0"/>
                    <w:keepLines w:val="0"/>
                    <w:suppressLineNumbers w:val="0"/>
                    <w:spacing w:before="0" w:beforeAutospacing="0" w:after="0" w:afterAutospacing="0"/>
                    <w:ind w:left="0" w:leftChars="0" w:right="0" w:rightChars="0" w:firstLine="0" w:firstLineChars="0"/>
                    <w:rPr>
                      <w:rFonts w:hint="eastAsia" w:ascii="Times New Roman" w:hAnsi="Times New Roman" w:cs="Times New Roman" w:eastAsiaTheme="minorEastAsia"/>
                      <w:color w:val="auto"/>
                      <w:kern w:val="0"/>
                      <w:sz w:val="18"/>
                      <w:szCs w:val="20"/>
                      <w:lang w:val="en-US" w:eastAsia="zh-CN" w:bidi="ar-SA"/>
                    </w:rPr>
                  </w:pPr>
                  <w:r>
                    <w:rPr>
                      <w:rFonts w:hint="eastAsia" w:cs="Times New Roman" w:eastAsiaTheme="minorEastAsia"/>
                      <w:color w:val="auto"/>
                      <w:lang w:eastAsia="zh-CN"/>
                    </w:rPr>
                    <w:t>符合</w:t>
                  </w:r>
                </w:p>
              </w:tc>
            </w:tr>
          </w:tbl>
          <w:p w14:paraId="3DCF10C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符合《中华人民共和国大气污染防治法》（2018年修订）、《国务院关于印发大气污染物防治行动计划的通知》（国发〔2013〕37号）、《四川省空气质量持续改善行动计划实施方案》（川府发〔2024〕15号）等相关大气污染防治法律法规及政策的要求。</w:t>
            </w:r>
          </w:p>
          <w:p w14:paraId="3FBCCB82">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2、与水污染防治相关法律法规、规范符合性分析</w:t>
            </w:r>
          </w:p>
          <w:p w14:paraId="3961F5D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本项目与水污染防治相关法律法规、规范符合性分析见下表。</w:t>
            </w:r>
          </w:p>
          <w:p w14:paraId="41FE0093">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项目与水污染防治相关法律法规、规范符合性分析一览表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602"/>
              <w:gridCol w:w="2943"/>
              <w:gridCol w:w="771"/>
            </w:tblGrid>
            <w:tr w14:paraId="678DE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70" w:type="pct"/>
                  <w:tcBorders>
                    <w:tl2br w:val="nil"/>
                    <w:tr2bl w:val="nil"/>
                  </w:tcBorders>
                  <w:vAlign w:val="center"/>
                </w:tcPr>
                <w:p w14:paraId="1D06E3F8">
                  <w:pPr>
                    <w:pStyle w:val="28"/>
                    <w:keepNext w:val="0"/>
                    <w:keepLines w:val="0"/>
                    <w:suppressLineNumbers w:val="0"/>
                    <w:spacing w:before="0" w:beforeAutospacing="0" w:after="0" w:afterAutospacing="0"/>
                    <w:ind w:left="0" w:right="0"/>
                    <w:rPr>
                      <w:rFonts w:hint="default"/>
                      <w:color w:val="auto"/>
                    </w:rPr>
                  </w:pPr>
                  <w:r>
                    <w:rPr>
                      <w:rFonts w:hint="default"/>
                      <w:color w:val="auto"/>
                    </w:rPr>
                    <w:t>文件</w:t>
                  </w:r>
                </w:p>
              </w:tc>
              <w:tc>
                <w:tcPr>
                  <w:tcW w:w="1701" w:type="pct"/>
                  <w:tcBorders>
                    <w:tl2br w:val="nil"/>
                    <w:tr2bl w:val="nil"/>
                  </w:tcBorders>
                  <w:vAlign w:val="center"/>
                </w:tcPr>
                <w:p w14:paraId="3DF5E135">
                  <w:pPr>
                    <w:pStyle w:val="28"/>
                    <w:keepNext w:val="0"/>
                    <w:keepLines w:val="0"/>
                    <w:suppressLineNumbers w:val="0"/>
                    <w:spacing w:before="0" w:beforeAutospacing="0" w:after="0" w:afterAutospacing="0"/>
                    <w:ind w:left="0" w:right="0"/>
                    <w:rPr>
                      <w:rFonts w:hint="default"/>
                      <w:color w:val="auto"/>
                    </w:rPr>
                  </w:pPr>
                  <w:r>
                    <w:rPr>
                      <w:rFonts w:hint="default"/>
                      <w:color w:val="auto"/>
                    </w:rPr>
                    <w:t>相关要求</w:t>
                  </w:r>
                </w:p>
              </w:tc>
              <w:tc>
                <w:tcPr>
                  <w:tcW w:w="1924" w:type="pct"/>
                  <w:tcBorders>
                    <w:tl2br w:val="nil"/>
                    <w:tr2bl w:val="nil"/>
                  </w:tcBorders>
                  <w:vAlign w:val="center"/>
                </w:tcPr>
                <w:p w14:paraId="3220FAC2">
                  <w:pPr>
                    <w:pStyle w:val="28"/>
                    <w:keepNext w:val="0"/>
                    <w:keepLines w:val="0"/>
                    <w:suppressLineNumbers w:val="0"/>
                    <w:spacing w:before="0" w:beforeAutospacing="0" w:after="0" w:afterAutospacing="0"/>
                    <w:ind w:left="0" w:right="0"/>
                    <w:rPr>
                      <w:rFonts w:hint="default"/>
                      <w:color w:val="auto"/>
                    </w:rPr>
                  </w:pPr>
                  <w:r>
                    <w:rPr>
                      <w:rFonts w:hint="default"/>
                      <w:color w:val="auto"/>
                    </w:rPr>
                    <w:t>本项目情况</w:t>
                  </w:r>
                </w:p>
              </w:tc>
              <w:tc>
                <w:tcPr>
                  <w:tcW w:w="504" w:type="pct"/>
                  <w:tcBorders>
                    <w:tl2br w:val="nil"/>
                    <w:tr2bl w:val="nil"/>
                  </w:tcBorders>
                  <w:vAlign w:val="center"/>
                </w:tcPr>
                <w:p w14:paraId="0DDC2913">
                  <w:pPr>
                    <w:pStyle w:val="28"/>
                    <w:keepNext w:val="0"/>
                    <w:keepLines w:val="0"/>
                    <w:suppressLineNumbers w:val="0"/>
                    <w:spacing w:before="0" w:beforeAutospacing="0" w:after="0" w:afterAutospacing="0"/>
                    <w:ind w:left="0" w:right="0"/>
                    <w:rPr>
                      <w:rFonts w:hint="default"/>
                      <w:color w:val="auto"/>
                    </w:rPr>
                  </w:pPr>
                  <w:r>
                    <w:rPr>
                      <w:rFonts w:hint="default"/>
                      <w:color w:val="auto"/>
                    </w:rPr>
                    <w:t>符合性</w:t>
                  </w:r>
                </w:p>
              </w:tc>
            </w:tr>
            <w:tr w14:paraId="74C32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tcBorders>
                    <w:tl2br w:val="nil"/>
                    <w:tr2bl w:val="nil"/>
                  </w:tcBorders>
                  <w:vAlign w:val="center"/>
                </w:tcPr>
                <w:p w14:paraId="5354769A">
                  <w:pPr>
                    <w:pStyle w:val="28"/>
                    <w:keepNext w:val="0"/>
                    <w:keepLines w:val="0"/>
                    <w:suppressLineNumbers w:val="0"/>
                    <w:spacing w:before="0" w:beforeAutospacing="0" w:after="0" w:afterAutospacing="0"/>
                    <w:ind w:left="0" w:right="0"/>
                    <w:rPr>
                      <w:rFonts w:hint="default"/>
                      <w:color w:val="auto"/>
                    </w:rPr>
                  </w:pPr>
                  <w:r>
                    <w:rPr>
                      <w:rFonts w:hint="default"/>
                      <w:color w:val="auto"/>
                    </w:rPr>
                    <w:t>《中华人民共和国长江保护法》（2021年）</w:t>
                  </w:r>
                </w:p>
              </w:tc>
              <w:tc>
                <w:tcPr>
                  <w:tcW w:w="1701" w:type="pct"/>
                  <w:tcBorders>
                    <w:tl2br w:val="nil"/>
                    <w:tr2bl w:val="nil"/>
                  </w:tcBorders>
                  <w:vAlign w:val="center"/>
                </w:tcPr>
                <w:p w14:paraId="6F14761E">
                  <w:pPr>
                    <w:pStyle w:val="28"/>
                    <w:keepNext w:val="0"/>
                    <w:keepLines w:val="0"/>
                    <w:suppressLineNumbers w:val="0"/>
                    <w:spacing w:before="0" w:beforeAutospacing="0" w:after="0" w:afterAutospacing="0"/>
                    <w:ind w:left="0" w:right="0"/>
                    <w:rPr>
                      <w:rFonts w:hint="default"/>
                      <w:color w:val="auto"/>
                    </w:rPr>
                  </w:pPr>
                  <w:r>
                    <w:rPr>
                      <w:rFonts w:hint="default"/>
                      <w:color w:val="auto"/>
                    </w:rPr>
                    <w:t>禁止在长江干支流岸线一公里范围内新建、扩建化工园区和化工项目。</w:t>
                  </w:r>
                </w:p>
                <w:p w14:paraId="7DC73AC0">
                  <w:pPr>
                    <w:pStyle w:val="28"/>
                    <w:keepNext w:val="0"/>
                    <w:keepLines w:val="0"/>
                    <w:suppressLineNumbers w:val="0"/>
                    <w:spacing w:before="0" w:beforeAutospacing="0" w:after="0" w:afterAutospacing="0"/>
                    <w:ind w:left="0" w:right="0"/>
                    <w:rPr>
                      <w:rFonts w:hint="default"/>
                      <w:color w:val="auto"/>
                    </w:rPr>
                  </w:pPr>
                  <w:r>
                    <w:rPr>
                      <w:rFonts w:hint="default"/>
                      <w:color w:val="auto"/>
                    </w:rPr>
                    <w:t>禁止在长江干流岸线三公里范围内和重要支流岸线一公里范围内新建、改建、扩建尾矿库；但是以提升安全、生态环境保护水平为目的的改建除外。</w:t>
                  </w:r>
                </w:p>
              </w:tc>
              <w:tc>
                <w:tcPr>
                  <w:tcW w:w="1924" w:type="pct"/>
                  <w:tcBorders>
                    <w:tl2br w:val="nil"/>
                    <w:tr2bl w:val="nil"/>
                  </w:tcBorders>
                  <w:vAlign w:val="center"/>
                </w:tcPr>
                <w:p w14:paraId="0E4E8C44">
                  <w:pPr>
                    <w:pStyle w:val="28"/>
                    <w:keepNext w:val="0"/>
                    <w:keepLines w:val="0"/>
                    <w:suppressLineNumbers w:val="0"/>
                    <w:spacing w:before="0" w:beforeAutospacing="0" w:after="0" w:afterAutospacing="0"/>
                    <w:ind w:left="0" w:right="0"/>
                    <w:jc w:val="left"/>
                    <w:rPr>
                      <w:rFonts w:hint="default"/>
                      <w:color w:val="auto"/>
                    </w:rPr>
                  </w:pPr>
                  <w:r>
                    <w:rPr>
                      <w:rFonts w:hint="default"/>
                      <w:color w:val="auto"/>
                    </w:rPr>
                    <w:t>本项目选址于达州普光化工园区范围内，</w:t>
                  </w:r>
                  <w:r>
                    <w:rPr>
                      <w:rFonts w:hint="eastAsia"/>
                      <w:color w:val="auto"/>
                      <w:lang w:eastAsia="zh-CN"/>
                    </w:rPr>
                    <w:t>不在</w:t>
                  </w:r>
                  <w:r>
                    <w:rPr>
                      <w:rFonts w:hint="default"/>
                      <w:color w:val="auto"/>
                    </w:rPr>
                    <w:t>长江干支流岸线一公里</w:t>
                  </w:r>
                </w:p>
                <w:p w14:paraId="44BDAC1E">
                  <w:pPr>
                    <w:pStyle w:val="28"/>
                    <w:keepNext w:val="0"/>
                    <w:keepLines w:val="0"/>
                    <w:suppressLineNumbers w:val="0"/>
                    <w:spacing w:before="0" w:beforeAutospacing="0" w:after="0" w:afterAutospacing="0"/>
                    <w:ind w:left="0" w:right="0"/>
                    <w:rPr>
                      <w:rFonts w:hint="default"/>
                      <w:color w:val="auto"/>
                    </w:rPr>
                  </w:pPr>
                  <w:r>
                    <w:rPr>
                      <w:rFonts w:hint="eastAsia"/>
                      <w:color w:val="auto"/>
                      <w:lang w:eastAsia="zh-CN"/>
                    </w:rPr>
                    <w:t>范围，</w:t>
                  </w:r>
                  <w:r>
                    <w:rPr>
                      <w:rFonts w:hint="default"/>
                      <w:color w:val="auto"/>
                    </w:rPr>
                    <w:t>该园区由《四川省经济和信息化厅等6部门关于公布四川省第二批化工园区的通知》（川经信化工〔2022〕126号）认定为合规化工园区；本项目不属于尾矿库建设。</w:t>
                  </w:r>
                </w:p>
              </w:tc>
              <w:tc>
                <w:tcPr>
                  <w:tcW w:w="504" w:type="pct"/>
                  <w:tcBorders>
                    <w:tl2br w:val="nil"/>
                    <w:tr2bl w:val="nil"/>
                  </w:tcBorders>
                  <w:vAlign w:val="center"/>
                </w:tcPr>
                <w:p w14:paraId="01038A39">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AD1D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l2br w:val="nil"/>
                    <w:tr2bl w:val="nil"/>
                  </w:tcBorders>
                  <w:shd w:val="clear" w:color="auto" w:fill="auto"/>
                  <w:vAlign w:val="center"/>
                </w:tcPr>
                <w:p w14:paraId="462240C3">
                  <w:pPr>
                    <w:pStyle w:val="28"/>
                    <w:keepNext w:val="0"/>
                    <w:keepLines w:val="0"/>
                    <w:suppressLineNumbers w:val="0"/>
                    <w:spacing w:before="0" w:beforeAutospacing="0" w:after="0" w:afterAutospacing="0"/>
                    <w:ind w:left="0" w:right="0"/>
                    <w:rPr>
                      <w:rFonts w:hint="default"/>
                      <w:color w:val="auto"/>
                    </w:rPr>
                  </w:pPr>
                  <w:r>
                    <w:rPr>
                      <w:rFonts w:hint="default"/>
                      <w:color w:val="auto"/>
                    </w:rPr>
                    <w:t>《国务院关于印发水污染防治行动计划的通知》（国发〔2015〕17号）</w:t>
                  </w:r>
                </w:p>
              </w:tc>
              <w:tc>
                <w:tcPr>
                  <w:tcW w:w="1701" w:type="pct"/>
                  <w:tcBorders>
                    <w:tl2br w:val="nil"/>
                    <w:tr2bl w:val="nil"/>
                  </w:tcBorders>
                  <w:vAlign w:val="center"/>
                </w:tcPr>
                <w:p w14:paraId="4C4AD023">
                  <w:pPr>
                    <w:pStyle w:val="28"/>
                    <w:keepNext w:val="0"/>
                    <w:keepLines w:val="0"/>
                    <w:suppressLineNumbers w:val="0"/>
                    <w:spacing w:before="0" w:beforeAutospacing="0" w:after="0" w:afterAutospacing="0"/>
                    <w:ind w:left="0" w:right="0"/>
                    <w:rPr>
                      <w:rFonts w:hint="default"/>
                      <w:color w:val="auto"/>
                    </w:rPr>
                  </w:pPr>
                  <w:r>
                    <w:rPr>
                      <w:rFonts w:hint="default"/>
                      <w:color w:val="auto"/>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924" w:type="pct"/>
                  <w:tcBorders>
                    <w:tl2br w:val="nil"/>
                    <w:tr2bl w:val="nil"/>
                  </w:tcBorders>
                  <w:vAlign w:val="center"/>
                </w:tcPr>
                <w:p w14:paraId="4208B111">
                  <w:pPr>
                    <w:pStyle w:val="28"/>
                    <w:keepNext w:val="0"/>
                    <w:keepLines w:val="0"/>
                    <w:suppressLineNumbers w:val="0"/>
                    <w:spacing w:before="0" w:beforeAutospacing="0" w:after="0" w:afterAutospacing="0"/>
                    <w:ind w:left="0" w:right="0"/>
                    <w:rPr>
                      <w:rFonts w:hint="default"/>
                      <w:color w:val="auto"/>
                    </w:rPr>
                  </w:pPr>
                  <w:r>
                    <w:rPr>
                      <w:rFonts w:hint="default"/>
                      <w:color w:val="auto"/>
                    </w:rPr>
                    <w:t>项目属于食品级硫磺及工业级硫磺等产品制造，不属于前述所列需要取缔的“十小”企业类型。</w:t>
                  </w:r>
                </w:p>
              </w:tc>
              <w:tc>
                <w:tcPr>
                  <w:tcW w:w="504" w:type="pct"/>
                  <w:tcBorders>
                    <w:tl2br w:val="nil"/>
                    <w:tr2bl w:val="nil"/>
                  </w:tcBorders>
                  <w:vAlign w:val="center"/>
                </w:tcPr>
                <w:p w14:paraId="0214C5FA">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1AE0F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6D2878A7">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3E188BE7">
                  <w:pPr>
                    <w:pStyle w:val="28"/>
                    <w:keepNext w:val="0"/>
                    <w:keepLines w:val="0"/>
                    <w:suppressLineNumbers w:val="0"/>
                    <w:spacing w:before="0" w:beforeAutospacing="0" w:after="0" w:afterAutospacing="0"/>
                    <w:ind w:left="0" w:right="0"/>
                    <w:rPr>
                      <w:rFonts w:hint="default"/>
                      <w:color w:val="auto"/>
                    </w:rPr>
                  </w:pPr>
                  <w:r>
                    <w:rPr>
                      <w:rFonts w:hint="default"/>
                      <w:color w:val="auto"/>
                    </w:rPr>
                    <w:t>调整产业结构。依法淘汰落后产能。</w:t>
                  </w:r>
                </w:p>
              </w:tc>
              <w:tc>
                <w:tcPr>
                  <w:tcW w:w="1924" w:type="pct"/>
                  <w:tcBorders>
                    <w:tl2br w:val="nil"/>
                    <w:tr2bl w:val="nil"/>
                  </w:tcBorders>
                  <w:vAlign w:val="center"/>
                </w:tcPr>
                <w:p w14:paraId="5B61A397">
                  <w:pPr>
                    <w:pStyle w:val="28"/>
                    <w:keepNext w:val="0"/>
                    <w:keepLines w:val="0"/>
                    <w:suppressLineNumbers w:val="0"/>
                    <w:spacing w:before="0" w:beforeAutospacing="0" w:after="0" w:afterAutospacing="0"/>
                    <w:ind w:left="0" w:right="0"/>
                    <w:rPr>
                      <w:rFonts w:hint="default"/>
                      <w:color w:val="auto"/>
                    </w:rPr>
                  </w:pPr>
                  <w:r>
                    <w:rPr>
                      <w:rFonts w:hint="default"/>
                      <w:color w:val="auto"/>
                    </w:rPr>
                    <w:t>对照《产业结构调整指导目录》（2024年本），本项目不属于其中鼓励类、限制类和淘汰类，为允许类，符合国家产业政策。</w:t>
                  </w:r>
                </w:p>
              </w:tc>
              <w:tc>
                <w:tcPr>
                  <w:tcW w:w="504" w:type="pct"/>
                  <w:tcBorders>
                    <w:tl2br w:val="nil"/>
                    <w:tr2bl w:val="nil"/>
                  </w:tcBorders>
                  <w:vAlign w:val="center"/>
                </w:tcPr>
                <w:p w14:paraId="3BBA0469">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7F66E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3475403D">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6838EFB8">
                  <w:pPr>
                    <w:pStyle w:val="28"/>
                    <w:keepNext w:val="0"/>
                    <w:keepLines w:val="0"/>
                    <w:suppressLineNumbers w:val="0"/>
                    <w:spacing w:before="0" w:beforeAutospacing="0" w:after="0" w:afterAutospacing="0"/>
                    <w:ind w:left="0" w:right="0"/>
                    <w:rPr>
                      <w:rFonts w:hint="default"/>
                      <w:color w:val="auto"/>
                    </w:rPr>
                  </w:pPr>
                  <w:r>
                    <w:rPr>
                      <w:rFonts w:hint="default"/>
                      <w:color w:val="auto"/>
                    </w:rPr>
                    <w:t>推动污染企业退出。城市建成区内现有钢铁、有色金属、造纸、印染、原料药制造、化工等污染较重的企业应有序搬迁改造或依法关闭</w:t>
                  </w:r>
                </w:p>
              </w:tc>
              <w:tc>
                <w:tcPr>
                  <w:tcW w:w="1924" w:type="pct"/>
                  <w:tcBorders>
                    <w:tl2br w:val="nil"/>
                    <w:tr2bl w:val="nil"/>
                  </w:tcBorders>
                  <w:vAlign w:val="center"/>
                </w:tcPr>
                <w:p w14:paraId="2841CA01">
                  <w:pPr>
                    <w:pStyle w:val="28"/>
                    <w:keepNext w:val="0"/>
                    <w:keepLines w:val="0"/>
                    <w:suppressLineNumbers w:val="0"/>
                    <w:spacing w:before="0" w:beforeAutospacing="0" w:after="0" w:afterAutospacing="0"/>
                    <w:ind w:left="0" w:right="0"/>
                    <w:rPr>
                      <w:rFonts w:hint="default"/>
                      <w:color w:val="auto"/>
                    </w:rPr>
                  </w:pPr>
                  <w:r>
                    <w:rPr>
                      <w:rFonts w:hint="default"/>
                      <w:color w:val="auto"/>
                    </w:rPr>
                    <w:t>项目属于食品级硫磺及工业级硫磺等产品制造，位于合规园区内，不属于需要有序搬迁改造或依法关闭的企业。</w:t>
                  </w:r>
                </w:p>
              </w:tc>
              <w:tc>
                <w:tcPr>
                  <w:tcW w:w="504" w:type="pct"/>
                  <w:tcBorders>
                    <w:tl2br w:val="nil"/>
                    <w:tr2bl w:val="nil"/>
                  </w:tcBorders>
                  <w:vAlign w:val="center"/>
                </w:tcPr>
                <w:p w14:paraId="5B728958">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1838B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l2br w:val="nil"/>
                    <w:tr2bl w:val="nil"/>
                  </w:tcBorders>
                  <w:vAlign w:val="center"/>
                </w:tcPr>
                <w:p w14:paraId="4A4FB474">
                  <w:pPr>
                    <w:pStyle w:val="28"/>
                    <w:keepNext w:val="0"/>
                    <w:keepLines w:val="0"/>
                    <w:suppressLineNumbers w:val="0"/>
                    <w:spacing w:before="0" w:beforeAutospacing="0" w:after="0" w:afterAutospacing="0"/>
                    <w:ind w:left="0" w:right="0"/>
                    <w:rPr>
                      <w:rFonts w:hint="default"/>
                      <w:color w:val="auto"/>
                    </w:rPr>
                  </w:pPr>
                  <w:r>
                    <w:rPr>
                      <w:rFonts w:hint="default"/>
                      <w:color w:val="auto"/>
                    </w:rPr>
                    <w:t>《四川省嘉陵江流域生态环境保护条例》</w:t>
                  </w:r>
                </w:p>
              </w:tc>
              <w:tc>
                <w:tcPr>
                  <w:tcW w:w="1701" w:type="pct"/>
                  <w:tcBorders>
                    <w:tl2br w:val="nil"/>
                    <w:tr2bl w:val="nil"/>
                  </w:tcBorders>
                  <w:vAlign w:val="center"/>
                </w:tcPr>
                <w:p w14:paraId="693F2BE7">
                  <w:pPr>
                    <w:pStyle w:val="28"/>
                    <w:keepNext w:val="0"/>
                    <w:keepLines w:val="0"/>
                    <w:suppressLineNumbers w:val="0"/>
                    <w:spacing w:before="0" w:beforeAutospacing="0" w:after="0" w:afterAutospacing="0"/>
                    <w:ind w:left="0" w:right="0"/>
                    <w:rPr>
                      <w:rFonts w:hint="default"/>
                      <w:color w:val="auto"/>
                    </w:rPr>
                  </w:pPr>
                  <w:r>
                    <w:rPr>
                      <w:rFonts w:hint="default"/>
                      <w:color w:val="auto"/>
                    </w:rPr>
                    <w:t>禁止在嘉陵江干支流岸线一公里范围内新建、扩建化工园区和化工项目。</w:t>
                  </w:r>
                </w:p>
              </w:tc>
              <w:tc>
                <w:tcPr>
                  <w:tcW w:w="1924" w:type="pct"/>
                  <w:tcBorders>
                    <w:tl2br w:val="nil"/>
                    <w:tr2bl w:val="nil"/>
                  </w:tcBorders>
                  <w:vAlign w:val="center"/>
                </w:tcPr>
                <w:p w14:paraId="48585DF5">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本项目位于已认定的化工园区范围内，最近的长江支流后河距本项目5.8km。</w:t>
                  </w:r>
                </w:p>
              </w:tc>
              <w:tc>
                <w:tcPr>
                  <w:tcW w:w="504" w:type="pct"/>
                  <w:tcBorders>
                    <w:tl2br w:val="nil"/>
                    <w:tr2bl w:val="nil"/>
                  </w:tcBorders>
                  <w:vAlign w:val="center"/>
                </w:tcPr>
                <w:p w14:paraId="14EE0E69">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72F33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14D5D0E5">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3BC56C6D">
                  <w:pPr>
                    <w:pStyle w:val="28"/>
                    <w:keepNext w:val="0"/>
                    <w:keepLines w:val="0"/>
                    <w:suppressLineNumbers w:val="0"/>
                    <w:spacing w:before="0" w:beforeAutospacing="0" w:after="0" w:afterAutospacing="0"/>
                    <w:ind w:left="0" w:right="0"/>
                    <w:rPr>
                      <w:rFonts w:hint="default"/>
                      <w:color w:val="auto"/>
                    </w:rPr>
                  </w:pPr>
                  <w:r>
                    <w:rPr>
                      <w:rFonts w:hint="default"/>
                      <w:color w:val="auto"/>
                    </w:rPr>
                    <w:t>按照排污许可证的规定排放污染物；禁止未取得排污许可证或者违反排污许可证的规定排放污染物。</w:t>
                  </w:r>
                </w:p>
              </w:tc>
              <w:tc>
                <w:tcPr>
                  <w:tcW w:w="1924" w:type="pct"/>
                  <w:tcBorders>
                    <w:tl2br w:val="nil"/>
                    <w:tr2bl w:val="nil"/>
                  </w:tcBorders>
                  <w:vAlign w:val="center"/>
                </w:tcPr>
                <w:p w14:paraId="7B624CF2">
                  <w:pPr>
                    <w:pStyle w:val="28"/>
                    <w:keepNext w:val="0"/>
                    <w:keepLines w:val="0"/>
                    <w:suppressLineNumbers w:val="0"/>
                    <w:spacing w:before="0" w:beforeAutospacing="0" w:after="0" w:afterAutospacing="0"/>
                    <w:ind w:left="0" w:right="0"/>
                    <w:rPr>
                      <w:rFonts w:hint="default"/>
                      <w:color w:val="auto"/>
                    </w:rPr>
                  </w:pPr>
                  <w:r>
                    <w:rPr>
                      <w:rFonts w:hint="default"/>
                      <w:color w:val="auto"/>
                    </w:rPr>
                    <w:t>项目建成后将按要求完善排污许可证的手续。</w:t>
                  </w:r>
                </w:p>
              </w:tc>
              <w:tc>
                <w:tcPr>
                  <w:tcW w:w="504" w:type="pct"/>
                  <w:tcBorders>
                    <w:tl2br w:val="nil"/>
                    <w:tr2bl w:val="nil"/>
                  </w:tcBorders>
                  <w:vAlign w:val="center"/>
                </w:tcPr>
                <w:p w14:paraId="348CEE81">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24CC3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0750A81C">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7405E854">
                  <w:pPr>
                    <w:pStyle w:val="28"/>
                    <w:keepNext w:val="0"/>
                    <w:keepLines w:val="0"/>
                    <w:suppressLineNumbers w:val="0"/>
                    <w:spacing w:before="0" w:beforeAutospacing="0" w:after="0" w:afterAutospacing="0"/>
                    <w:ind w:left="0" w:right="0"/>
                    <w:rPr>
                      <w:rFonts w:hint="default"/>
                      <w:color w:val="auto"/>
                    </w:rPr>
                  </w:pPr>
                  <w:r>
                    <w:rPr>
                      <w:rFonts w:hint="default"/>
                      <w:color w:val="auto"/>
                    </w:rPr>
                    <w:t>禁止在嘉陵江流域河湖管理范围内倾倒、填埋、堆放、弃置、处理固体废物。</w:t>
                  </w:r>
                </w:p>
              </w:tc>
              <w:tc>
                <w:tcPr>
                  <w:tcW w:w="1924" w:type="pct"/>
                  <w:tcBorders>
                    <w:tl2br w:val="nil"/>
                    <w:tr2bl w:val="nil"/>
                  </w:tcBorders>
                  <w:vAlign w:val="center"/>
                </w:tcPr>
                <w:p w14:paraId="7ABFA6DF">
                  <w:pPr>
                    <w:pStyle w:val="28"/>
                    <w:keepNext w:val="0"/>
                    <w:keepLines w:val="0"/>
                    <w:suppressLineNumbers w:val="0"/>
                    <w:spacing w:before="0" w:beforeAutospacing="0" w:after="0" w:afterAutospacing="0"/>
                    <w:ind w:left="0" w:right="0"/>
                    <w:rPr>
                      <w:rFonts w:hint="default"/>
                      <w:color w:val="auto"/>
                    </w:rPr>
                  </w:pPr>
                  <w:r>
                    <w:rPr>
                      <w:rFonts w:hint="default"/>
                      <w:color w:val="auto"/>
                    </w:rPr>
                    <w:t>本项目固体废物严格按照相关要求进行收集和处置。</w:t>
                  </w:r>
                </w:p>
              </w:tc>
              <w:tc>
                <w:tcPr>
                  <w:tcW w:w="504" w:type="pct"/>
                  <w:tcBorders>
                    <w:tl2br w:val="nil"/>
                    <w:tr2bl w:val="nil"/>
                  </w:tcBorders>
                  <w:vAlign w:val="center"/>
                </w:tcPr>
                <w:p w14:paraId="5B6CD76C">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08F45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l2br w:val="nil"/>
                    <w:tr2bl w:val="nil"/>
                  </w:tcBorders>
                  <w:vAlign w:val="center"/>
                </w:tcPr>
                <w:p w14:paraId="48513480">
                  <w:pPr>
                    <w:pStyle w:val="28"/>
                    <w:keepNext w:val="0"/>
                    <w:keepLines w:val="0"/>
                    <w:suppressLineNumbers w:val="0"/>
                    <w:spacing w:before="0" w:beforeAutospacing="0" w:after="0" w:afterAutospacing="0"/>
                    <w:ind w:left="0" w:right="0"/>
                    <w:rPr>
                      <w:rFonts w:hint="default"/>
                      <w:color w:val="auto"/>
                    </w:rPr>
                  </w:pPr>
                  <w:r>
                    <w:rPr>
                      <w:rFonts w:hint="default"/>
                      <w:color w:val="auto"/>
                    </w:rPr>
                    <w:t>《四川省、重庆市长江经济带发展负面清单实施细则（试行，2022年版）》（川长江办〔2022〕17号）</w:t>
                  </w:r>
                </w:p>
              </w:tc>
              <w:tc>
                <w:tcPr>
                  <w:tcW w:w="1701" w:type="pct"/>
                  <w:tcBorders>
                    <w:tl2br w:val="nil"/>
                    <w:tr2bl w:val="nil"/>
                  </w:tcBorders>
                  <w:vAlign w:val="center"/>
                </w:tcPr>
                <w:p w14:paraId="782D0ABF">
                  <w:pPr>
                    <w:pStyle w:val="28"/>
                    <w:keepNext w:val="0"/>
                    <w:keepLines w:val="0"/>
                    <w:suppressLineNumbers w:val="0"/>
                    <w:spacing w:before="0" w:beforeAutospacing="0" w:after="0" w:afterAutospacing="0"/>
                    <w:ind w:left="0" w:right="0"/>
                    <w:rPr>
                      <w:rFonts w:hint="default"/>
                      <w:color w:val="auto"/>
                    </w:rPr>
                  </w:pPr>
                  <w:r>
                    <w:rPr>
                      <w:rFonts w:hint="default"/>
                      <w:color w:val="auto"/>
                    </w:rPr>
                    <w:t>第十八条 禁止在长江干支流、重要湖泊岸线一公里范围内新建、扩建化工园区和化工项目。</w:t>
                  </w:r>
                </w:p>
              </w:tc>
              <w:tc>
                <w:tcPr>
                  <w:tcW w:w="1924" w:type="pct"/>
                  <w:tcBorders>
                    <w:tl2br w:val="nil"/>
                    <w:tr2bl w:val="nil"/>
                  </w:tcBorders>
                  <w:vAlign w:val="center"/>
                </w:tcPr>
                <w:p w14:paraId="4224BF6C">
                  <w:pPr>
                    <w:pStyle w:val="28"/>
                    <w:keepNext w:val="0"/>
                    <w:keepLines w:val="0"/>
                    <w:suppressLineNumbers w:val="0"/>
                    <w:spacing w:before="0" w:beforeAutospacing="0" w:after="0" w:afterAutospacing="0"/>
                    <w:ind w:left="0" w:right="0"/>
                    <w:rPr>
                      <w:rFonts w:hint="default"/>
                      <w:color w:val="auto"/>
                    </w:rPr>
                  </w:pPr>
                  <w:r>
                    <w:rPr>
                      <w:rFonts w:hint="default"/>
                      <w:color w:val="auto"/>
                    </w:rPr>
                    <w:t>根据《四川省水利厅关于四川达州普光经济开发区申报化工园区认定审查意见的函》（川水函〔2021〕1637号）：“经复核，达州普光经济开发区位于长江一级支流嘉陵江、长江二级支流渠江岸线一公里范围外，不违背《中华人民共和国长江保护法》相关规定”。因此本项目不属于长江干支流1公里范围。</w:t>
                  </w:r>
                </w:p>
              </w:tc>
              <w:tc>
                <w:tcPr>
                  <w:tcW w:w="504" w:type="pct"/>
                  <w:vMerge w:val="restart"/>
                  <w:tcBorders>
                    <w:tl2br w:val="nil"/>
                    <w:tr2bl w:val="nil"/>
                  </w:tcBorders>
                  <w:vAlign w:val="center"/>
                </w:tcPr>
                <w:p w14:paraId="049CE65D">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60C9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26F259EA">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6756EAE9">
                  <w:pPr>
                    <w:pStyle w:val="28"/>
                    <w:keepNext w:val="0"/>
                    <w:keepLines w:val="0"/>
                    <w:suppressLineNumbers w:val="0"/>
                    <w:spacing w:before="0" w:beforeAutospacing="0" w:after="0" w:afterAutospacing="0"/>
                    <w:ind w:left="0" w:right="0"/>
                    <w:rPr>
                      <w:rFonts w:hint="default"/>
                      <w:color w:val="auto"/>
                    </w:rPr>
                  </w:pPr>
                  <w:r>
                    <w:rPr>
                      <w:rFonts w:hint="default"/>
                      <w:color w:val="auto"/>
                    </w:rPr>
                    <w:t>第十九条 禁止在长江干流岸线三公里范围内和重要支流岸线一公里范围内新建、改建、扩建尾矿库、冶炼渣库、磷石膏库，以提升安全、生态环境保护水平为目的的改建除外。</w:t>
                  </w:r>
                </w:p>
              </w:tc>
              <w:tc>
                <w:tcPr>
                  <w:tcW w:w="1924" w:type="pct"/>
                  <w:tcBorders>
                    <w:tl2br w:val="nil"/>
                    <w:tr2bl w:val="nil"/>
                  </w:tcBorders>
                  <w:vAlign w:val="center"/>
                </w:tcPr>
                <w:p w14:paraId="2D8179EF">
                  <w:pPr>
                    <w:pStyle w:val="28"/>
                    <w:keepNext w:val="0"/>
                    <w:keepLines w:val="0"/>
                    <w:suppressLineNumbers w:val="0"/>
                    <w:spacing w:before="0" w:beforeAutospacing="0" w:after="0" w:afterAutospacing="0"/>
                    <w:ind w:left="0" w:right="0"/>
                    <w:rPr>
                      <w:rFonts w:hint="default"/>
                      <w:color w:val="auto"/>
                    </w:rPr>
                  </w:pPr>
                  <w:r>
                    <w:rPr>
                      <w:rFonts w:hint="default"/>
                      <w:color w:val="auto"/>
                    </w:rPr>
                    <w:t>本项目不属于尾矿库等。</w:t>
                  </w:r>
                </w:p>
              </w:tc>
              <w:tc>
                <w:tcPr>
                  <w:tcW w:w="504" w:type="pct"/>
                  <w:vMerge w:val="continue"/>
                  <w:tcBorders>
                    <w:tl2br w:val="nil"/>
                    <w:tr2bl w:val="nil"/>
                  </w:tcBorders>
                  <w:vAlign w:val="center"/>
                </w:tcPr>
                <w:p w14:paraId="178BA406">
                  <w:pPr>
                    <w:pStyle w:val="28"/>
                    <w:keepNext w:val="0"/>
                    <w:keepLines w:val="0"/>
                    <w:suppressLineNumbers w:val="0"/>
                    <w:spacing w:before="0" w:beforeAutospacing="0" w:after="0" w:afterAutospacing="0"/>
                    <w:ind w:left="0" w:right="0"/>
                    <w:rPr>
                      <w:rFonts w:hint="default"/>
                      <w:color w:val="auto"/>
                    </w:rPr>
                  </w:pPr>
                </w:p>
              </w:tc>
            </w:tr>
            <w:tr w14:paraId="17689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0CAB1CFD">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7ED999DC">
                  <w:pPr>
                    <w:pStyle w:val="28"/>
                    <w:keepNext w:val="0"/>
                    <w:keepLines w:val="0"/>
                    <w:suppressLineNumbers w:val="0"/>
                    <w:spacing w:before="0" w:beforeAutospacing="0" w:after="0" w:afterAutospacing="0"/>
                    <w:ind w:left="0" w:right="0"/>
                    <w:rPr>
                      <w:rFonts w:hint="default"/>
                      <w:color w:val="auto"/>
                    </w:rPr>
                  </w:pPr>
                  <w:r>
                    <w:rPr>
                      <w:rFonts w:hint="default"/>
                      <w:color w:val="auto"/>
                    </w:rPr>
                    <w:t>第二十一条 禁止在合规园区外新建、扩建钢铁、石化、化工、焦化、建材、有色、制浆造纸等高污染项目。</w:t>
                  </w:r>
                </w:p>
              </w:tc>
              <w:tc>
                <w:tcPr>
                  <w:tcW w:w="1924" w:type="pct"/>
                  <w:tcBorders>
                    <w:tl2br w:val="nil"/>
                    <w:tr2bl w:val="nil"/>
                  </w:tcBorders>
                  <w:vAlign w:val="center"/>
                </w:tcPr>
                <w:p w14:paraId="62B6B7FA">
                  <w:pPr>
                    <w:pStyle w:val="28"/>
                    <w:keepNext w:val="0"/>
                    <w:keepLines w:val="0"/>
                    <w:suppressLineNumbers w:val="0"/>
                    <w:spacing w:before="0" w:beforeAutospacing="0" w:after="0" w:afterAutospacing="0"/>
                    <w:ind w:left="0" w:right="0"/>
                    <w:rPr>
                      <w:rFonts w:hint="default"/>
                      <w:color w:val="auto"/>
                    </w:rPr>
                  </w:pPr>
                  <w:r>
                    <w:rPr>
                      <w:rFonts w:hint="default"/>
                      <w:color w:val="auto"/>
                    </w:rPr>
                    <w:t>本项目选址于普光化工园区范围内，该园区由《四川省经济和信息化厅等6部门关于公布四川省第二批化工园区的通知》（川经信化工〔2022〕126号）认定为合规化工园区。</w:t>
                  </w:r>
                </w:p>
              </w:tc>
              <w:tc>
                <w:tcPr>
                  <w:tcW w:w="504" w:type="pct"/>
                  <w:vMerge w:val="continue"/>
                  <w:tcBorders>
                    <w:tl2br w:val="nil"/>
                    <w:tr2bl w:val="nil"/>
                  </w:tcBorders>
                  <w:vAlign w:val="center"/>
                </w:tcPr>
                <w:p w14:paraId="31F591C6">
                  <w:pPr>
                    <w:pStyle w:val="28"/>
                    <w:keepNext w:val="0"/>
                    <w:keepLines w:val="0"/>
                    <w:suppressLineNumbers w:val="0"/>
                    <w:spacing w:before="0" w:beforeAutospacing="0" w:after="0" w:afterAutospacing="0"/>
                    <w:ind w:left="0" w:right="0"/>
                    <w:rPr>
                      <w:rFonts w:hint="default"/>
                      <w:color w:val="auto"/>
                    </w:rPr>
                  </w:pPr>
                </w:p>
              </w:tc>
            </w:tr>
            <w:tr w14:paraId="689A9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7555469C">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22DA5D00">
                  <w:pPr>
                    <w:pStyle w:val="28"/>
                    <w:keepNext w:val="0"/>
                    <w:keepLines w:val="0"/>
                    <w:suppressLineNumbers w:val="0"/>
                    <w:spacing w:before="0" w:beforeAutospacing="0" w:after="0" w:afterAutospacing="0"/>
                    <w:ind w:left="0" w:right="0"/>
                    <w:rPr>
                      <w:rFonts w:hint="default"/>
                      <w:color w:val="auto"/>
                    </w:rPr>
                  </w:pPr>
                  <w:r>
                    <w:rPr>
                      <w:rFonts w:hint="default"/>
                      <w:color w:val="auto"/>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24" w:type="pct"/>
                  <w:tcBorders>
                    <w:tl2br w:val="nil"/>
                    <w:tr2bl w:val="nil"/>
                  </w:tcBorders>
                  <w:vAlign w:val="center"/>
                </w:tcPr>
                <w:p w14:paraId="35943226">
                  <w:pPr>
                    <w:pStyle w:val="28"/>
                    <w:keepNext w:val="0"/>
                    <w:keepLines w:val="0"/>
                    <w:suppressLineNumbers w:val="0"/>
                    <w:spacing w:before="0" w:beforeAutospacing="0" w:after="0" w:afterAutospacing="0"/>
                    <w:ind w:left="0" w:right="0"/>
                    <w:rPr>
                      <w:rFonts w:hint="default"/>
                      <w:color w:val="auto"/>
                    </w:rPr>
                  </w:pPr>
                  <w:r>
                    <w:rPr>
                      <w:rFonts w:hint="default"/>
                      <w:color w:val="auto"/>
                    </w:rPr>
                    <w:t>对照《产业结构调整指导目录》（2024年本），本项目不属于其中鼓励类、限制类和淘汰类，为允许类，符合国家产业政策。</w:t>
                  </w:r>
                </w:p>
              </w:tc>
              <w:tc>
                <w:tcPr>
                  <w:tcW w:w="504" w:type="pct"/>
                  <w:vMerge w:val="continue"/>
                  <w:tcBorders>
                    <w:tl2br w:val="nil"/>
                    <w:tr2bl w:val="nil"/>
                  </w:tcBorders>
                  <w:vAlign w:val="center"/>
                </w:tcPr>
                <w:p w14:paraId="1F80C670">
                  <w:pPr>
                    <w:pStyle w:val="28"/>
                    <w:keepNext w:val="0"/>
                    <w:keepLines w:val="0"/>
                    <w:suppressLineNumbers w:val="0"/>
                    <w:spacing w:before="0" w:beforeAutospacing="0" w:after="0" w:afterAutospacing="0"/>
                    <w:ind w:left="0" w:right="0"/>
                    <w:rPr>
                      <w:rFonts w:hint="default"/>
                      <w:color w:val="auto"/>
                    </w:rPr>
                  </w:pPr>
                </w:p>
              </w:tc>
            </w:tr>
            <w:tr w14:paraId="5E66C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70" w:type="pct"/>
                  <w:vMerge w:val="continue"/>
                  <w:tcBorders>
                    <w:tl2br w:val="nil"/>
                    <w:tr2bl w:val="nil"/>
                  </w:tcBorders>
                  <w:vAlign w:val="center"/>
                </w:tcPr>
                <w:p w14:paraId="6995377B">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48F2D998">
                  <w:pPr>
                    <w:pStyle w:val="28"/>
                    <w:keepNext w:val="0"/>
                    <w:keepLines w:val="0"/>
                    <w:suppressLineNumbers w:val="0"/>
                    <w:spacing w:before="0" w:beforeAutospacing="0" w:after="0" w:afterAutospacing="0"/>
                    <w:ind w:left="0" w:right="0"/>
                    <w:rPr>
                      <w:rFonts w:hint="default"/>
                      <w:color w:val="auto"/>
                    </w:rPr>
                  </w:pPr>
                  <w:r>
                    <w:rPr>
                      <w:rFonts w:hint="default"/>
                      <w:color w:val="auto"/>
                    </w:rPr>
                    <w:t>第二十四条 禁止新建、扩建不符合国家产能置换要求的严重过剩产能行业的项目。对于不符合国家产能置换要求的严重过剩产能行业，不得以其他任何名义、任何方式备案新增产能项目。</w:t>
                  </w:r>
                </w:p>
              </w:tc>
              <w:tc>
                <w:tcPr>
                  <w:tcW w:w="1924" w:type="pct"/>
                  <w:tcBorders>
                    <w:tl2br w:val="nil"/>
                    <w:tr2bl w:val="nil"/>
                  </w:tcBorders>
                  <w:vAlign w:val="center"/>
                </w:tcPr>
                <w:p w14:paraId="19839BC0">
                  <w:pPr>
                    <w:pStyle w:val="28"/>
                    <w:keepNext w:val="0"/>
                    <w:keepLines w:val="0"/>
                    <w:suppressLineNumbers w:val="0"/>
                    <w:spacing w:before="0" w:beforeAutospacing="0" w:after="0" w:afterAutospacing="0"/>
                    <w:ind w:left="0" w:right="0"/>
                    <w:rPr>
                      <w:rFonts w:hint="default"/>
                      <w:color w:val="auto"/>
                    </w:rPr>
                  </w:pPr>
                  <w:r>
                    <w:rPr>
                      <w:rFonts w:hint="default"/>
                      <w:color w:val="auto"/>
                    </w:rPr>
                    <w:t>项目为食品级硫磺和工业级硫磺等产品制造，不属于严重产能过剩行业。</w:t>
                  </w:r>
                </w:p>
              </w:tc>
              <w:tc>
                <w:tcPr>
                  <w:tcW w:w="504" w:type="pct"/>
                  <w:vMerge w:val="continue"/>
                  <w:tcBorders>
                    <w:tl2br w:val="nil"/>
                    <w:tr2bl w:val="nil"/>
                  </w:tcBorders>
                  <w:vAlign w:val="center"/>
                </w:tcPr>
                <w:p w14:paraId="1F9FEF56">
                  <w:pPr>
                    <w:pStyle w:val="28"/>
                    <w:keepNext w:val="0"/>
                    <w:keepLines w:val="0"/>
                    <w:suppressLineNumbers w:val="0"/>
                    <w:spacing w:before="0" w:beforeAutospacing="0" w:after="0" w:afterAutospacing="0"/>
                    <w:ind w:left="0" w:right="0"/>
                    <w:rPr>
                      <w:rFonts w:hint="default"/>
                      <w:color w:val="auto"/>
                    </w:rPr>
                  </w:pPr>
                </w:p>
              </w:tc>
            </w:tr>
            <w:tr w14:paraId="2A4D0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70" w:type="pct"/>
                  <w:vMerge w:val="continue"/>
                  <w:tcBorders>
                    <w:tl2br w:val="nil"/>
                    <w:tr2bl w:val="nil"/>
                  </w:tcBorders>
                  <w:vAlign w:val="center"/>
                </w:tcPr>
                <w:p w14:paraId="3BC4C6C7">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795D02A4">
                  <w:pPr>
                    <w:pStyle w:val="28"/>
                    <w:keepNext w:val="0"/>
                    <w:keepLines w:val="0"/>
                    <w:suppressLineNumbers w:val="0"/>
                    <w:spacing w:before="0" w:beforeAutospacing="0" w:after="0" w:afterAutospacing="0"/>
                    <w:ind w:left="0" w:right="0"/>
                    <w:rPr>
                      <w:rFonts w:hint="default"/>
                      <w:color w:val="auto"/>
                    </w:rPr>
                  </w:pPr>
                  <w:r>
                    <w:rPr>
                      <w:rFonts w:hint="default"/>
                      <w:color w:val="auto"/>
                    </w:rPr>
                    <w:t>第二十六条 禁止新建、扩建不符合要求的高耗能、高排放、低水平项目。</w:t>
                  </w:r>
                </w:p>
              </w:tc>
              <w:tc>
                <w:tcPr>
                  <w:tcW w:w="1924" w:type="pct"/>
                  <w:tcBorders>
                    <w:tl2br w:val="nil"/>
                    <w:tr2bl w:val="nil"/>
                  </w:tcBorders>
                  <w:vAlign w:val="center"/>
                </w:tcPr>
                <w:p w14:paraId="23E0B072">
                  <w:pPr>
                    <w:pStyle w:val="28"/>
                    <w:keepNext w:val="0"/>
                    <w:keepLines w:val="0"/>
                    <w:suppressLineNumbers w:val="0"/>
                    <w:spacing w:before="0" w:beforeAutospacing="0" w:after="0" w:afterAutospacing="0"/>
                    <w:ind w:left="0" w:right="0"/>
                    <w:rPr>
                      <w:rFonts w:hint="default"/>
                      <w:color w:val="auto"/>
                    </w:rPr>
                  </w:pPr>
                  <w:r>
                    <w:rPr>
                      <w:rFonts w:hint="default"/>
                      <w:color w:val="auto"/>
                    </w:rPr>
                    <w:t>本项目采用电能作为能源，不属于高耗能、高排放、低水平的项目。</w:t>
                  </w:r>
                </w:p>
              </w:tc>
              <w:tc>
                <w:tcPr>
                  <w:tcW w:w="504" w:type="pct"/>
                  <w:vMerge w:val="continue"/>
                  <w:tcBorders>
                    <w:tl2br w:val="nil"/>
                    <w:tr2bl w:val="nil"/>
                  </w:tcBorders>
                  <w:vAlign w:val="center"/>
                </w:tcPr>
                <w:p w14:paraId="3028EAA3">
                  <w:pPr>
                    <w:pStyle w:val="28"/>
                    <w:keepNext w:val="0"/>
                    <w:keepLines w:val="0"/>
                    <w:suppressLineNumbers w:val="0"/>
                    <w:spacing w:before="0" w:beforeAutospacing="0" w:after="0" w:afterAutospacing="0"/>
                    <w:ind w:left="0" w:right="0"/>
                    <w:rPr>
                      <w:rFonts w:hint="default"/>
                      <w:color w:val="auto"/>
                    </w:rPr>
                  </w:pPr>
                </w:p>
              </w:tc>
            </w:tr>
            <w:tr w14:paraId="53104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70" w:type="pct"/>
                  <w:tcBorders>
                    <w:tl2br w:val="nil"/>
                    <w:tr2bl w:val="nil"/>
                  </w:tcBorders>
                  <w:vAlign w:val="center"/>
                </w:tcPr>
                <w:p w14:paraId="7A0960B8">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《地下水管理条例》</w:t>
                  </w:r>
                </w:p>
              </w:tc>
              <w:tc>
                <w:tcPr>
                  <w:tcW w:w="1701" w:type="pct"/>
                  <w:tcBorders>
                    <w:tl2br w:val="nil"/>
                    <w:tr2bl w:val="nil"/>
                  </w:tcBorders>
                  <w:vAlign w:val="center"/>
                </w:tcPr>
                <w:p w14:paraId="48ED7347">
                  <w:pPr>
                    <w:pStyle w:val="28"/>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rPr>
                    <w:t>加油站等的地下油罐应当使用双层罐或者采取建造防渗池等其他有效措施，并进行防渗漏监测</w:t>
                  </w:r>
                </w:p>
              </w:tc>
              <w:tc>
                <w:tcPr>
                  <w:tcW w:w="1924" w:type="pct"/>
                  <w:tcBorders>
                    <w:tl2br w:val="nil"/>
                    <w:tr2bl w:val="nil"/>
                  </w:tcBorders>
                  <w:vAlign w:val="center"/>
                </w:tcPr>
                <w:p w14:paraId="4C407C63">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本项目设置柴油撬装，油罐为地面设置，柴油撬装站及装卸区为进行重点防渗区，采取建造防渗池等其他有效措施，并进行防渗漏监测</w:t>
                  </w:r>
                </w:p>
              </w:tc>
              <w:tc>
                <w:tcPr>
                  <w:tcW w:w="504" w:type="pct"/>
                  <w:tcBorders>
                    <w:tl2br w:val="nil"/>
                    <w:tr2bl w:val="nil"/>
                  </w:tcBorders>
                  <w:vAlign w:val="center"/>
                </w:tcPr>
                <w:p w14:paraId="5E04448D">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符合</w:t>
                  </w:r>
                </w:p>
              </w:tc>
            </w:tr>
            <w:tr w14:paraId="1134F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l2br w:val="nil"/>
                    <w:tr2bl w:val="nil"/>
                  </w:tcBorders>
                  <w:vAlign w:val="center"/>
                </w:tcPr>
                <w:p w14:paraId="0E6F6C33">
                  <w:pPr>
                    <w:pStyle w:val="28"/>
                    <w:keepNext w:val="0"/>
                    <w:keepLines w:val="0"/>
                    <w:suppressLineNumbers w:val="0"/>
                    <w:spacing w:before="0" w:beforeAutospacing="0" w:after="0" w:afterAutospacing="0"/>
                    <w:ind w:left="0" w:right="0"/>
                    <w:rPr>
                      <w:rFonts w:hint="default"/>
                      <w:color w:val="auto"/>
                    </w:rPr>
                  </w:pPr>
                  <w:r>
                    <w:rPr>
                      <w:rFonts w:hint="default"/>
                      <w:color w:val="auto"/>
                    </w:rPr>
                    <w:t>《加油站地下水污染防治技术指南（试行）》（环办水体函〔2022〕323号）</w:t>
                  </w:r>
                </w:p>
              </w:tc>
              <w:tc>
                <w:tcPr>
                  <w:tcW w:w="1701" w:type="pct"/>
                  <w:tcBorders>
                    <w:tl2br w:val="nil"/>
                    <w:tr2bl w:val="nil"/>
                  </w:tcBorders>
                  <w:vAlign w:val="center"/>
                </w:tcPr>
                <w:p w14:paraId="4DE1E432">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为防止加油站油品泄漏，污染土壤和地下水，加油站需要采取防渗漏和防渗漏检测措施。所有加油站的油罐需要更新为双层罐或者设置防渗池，双层罐和防渗池应符合《汽车加油加气加氢站技术标准》（</w:t>
                  </w:r>
                  <w:r>
                    <w:rPr>
                      <w:rFonts w:hint="default" w:ascii="Times New Roman" w:hAnsi="Times New Roman" w:eastAsia="宋体" w:cs="Times New Roman"/>
                      <w:color w:val="auto"/>
                      <w:lang w:val="en-US" w:eastAsia="zh-CN"/>
                    </w:rPr>
                    <w:t>GB50156-2021</w:t>
                  </w:r>
                  <w:r>
                    <w:rPr>
                      <w:rFonts w:hint="eastAsia" w:ascii="Times New Roman" w:hAnsi="Times New Roman" w:eastAsia="宋体" w:cs="Times New Roman"/>
                      <w:color w:val="auto"/>
                      <w:lang w:val="en-US" w:eastAsia="zh-CN"/>
                    </w:rPr>
                    <w:t>）的要求，设置时可进行自行检查，检查内容见附录。加油站需要开展渗漏检测，设置常规地下水监测井，开展地下水常规监测。</w:t>
                  </w:r>
                </w:p>
              </w:tc>
              <w:tc>
                <w:tcPr>
                  <w:tcW w:w="1924" w:type="pct"/>
                  <w:tcBorders>
                    <w:tl2br w:val="nil"/>
                    <w:tr2bl w:val="nil"/>
                  </w:tcBorders>
                  <w:shd w:val="clear" w:color="auto" w:fill="auto"/>
                  <w:vAlign w:val="center"/>
                </w:tcPr>
                <w:p w14:paraId="6E6878B5">
                  <w:pPr>
                    <w:pStyle w:val="2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本项目设置柴油撬装，油罐为地面设置，柴油撬装站及装卸区为进行重点防渗区，采取建造防渗池等其他有效措施，并进行防渗漏监测。</w:t>
                  </w:r>
                </w:p>
              </w:tc>
              <w:tc>
                <w:tcPr>
                  <w:tcW w:w="504" w:type="pct"/>
                  <w:tcBorders>
                    <w:tl2br w:val="nil"/>
                    <w:tr2bl w:val="nil"/>
                  </w:tcBorders>
                  <w:vAlign w:val="center"/>
                </w:tcPr>
                <w:p w14:paraId="5EFC4C8B">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符合</w:t>
                  </w:r>
                </w:p>
              </w:tc>
            </w:tr>
            <w:tr w14:paraId="0C124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3E3D2B88">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44B92645">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埋地油罐采用双层油罐时，可采用双层钢制油罐、双层玻璃纤维增强塑料油罐、内钢外玻璃纤维增强塑料双层油罐。既有加油站的埋地单层钢制油罐改造为双层油罐时，可采用玻璃纤增强塑料等满足强度和防渗要求的材料进行衬里改造。</w:t>
                  </w:r>
                </w:p>
              </w:tc>
              <w:tc>
                <w:tcPr>
                  <w:tcW w:w="1924" w:type="pct"/>
                  <w:tcBorders>
                    <w:tl2br w:val="nil"/>
                    <w:tr2bl w:val="nil"/>
                  </w:tcBorders>
                  <w:shd w:val="clear" w:color="auto" w:fill="auto"/>
                  <w:vAlign w:val="center"/>
                </w:tcPr>
                <w:p w14:paraId="7AC54D38">
                  <w:pPr>
                    <w:pStyle w:val="28"/>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同上</w:t>
                  </w:r>
                </w:p>
              </w:tc>
              <w:tc>
                <w:tcPr>
                  <w:tcW w:w="504" w:type="pct"/>
                  <w:tcBorders>
                    <w:tl2br w:val="nil"/>
                    <w:tr2bl w:val="nil"/>
                  </w:tcBorders>
                  <w:shd w:val="clear" w:color="auto" w:fill="auto"/>
                  <w:vAlign w:val="center"/>
                </w:tcPr>
                <w:p w14:paraId="1C115BDB">
                  <w:pPr>
                    <w:pStyle w:val="2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符合</w:t>
                  </w:r>
                </w:p>
              </w:tc>
            </w:tr>
            <w:tr w14:paraId="72998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45213C81">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642058B6">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装有潜油泵的油罐人孔操作井、卸油口井、加油机底槽等可能发生油品渗漏的部位，也应采取相应的防渗措施。</w:t>
                  </w:r>
                </w:p>
              </w:tc>
              <w:tc>
                <w:tcPr>
                  <w:tcW w:w="1924" w:type="pct"/>
                  <w:tcBorders>
                    <w:tl2br w:val="nil"/>
                    <w:tr2bl w:val="nil"/>
                  </w:tcBorders>
                  <w:vAlign w:val="center"/>
                </w:tcPr>
                <w:p w14:paraId="402062AB">
                  <w:pPr>
                    <w:pStyle w:val="28"/>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同上</w:t>
                  </w:r>
                </w:p>
              </w:tc>
              <w:tc>
                <w:tcPr>
                  <w:tcW w:w="504" w:type="pct"/>
                  <w:tcBorders>
                    <w:tl2br w:val="nil"/>
                    <w:tr2bl w:val="nil"/>
                  </w:tcBorders>
                  <w:vAlign w:val="center"/>
                </w:tcPr>
                <w:p w14:paraId="18085BB8">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符合</w:t>
                  </w:r>
                </w:p>
              </w:tc>
            </w:tr>
            <w:tr w14:paraId="3442A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6E254EFB">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7413D21F">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采取防渗漏措施的加油站，其埋地加油管道应采用双层管道。具体设计要求应符合《汽车加油加气加氢站技术标准》（</w:t>
                  </w:r>
                  <w:r>
                    <w:rPr>
                      <w:rFonts w:hint="default" w:ascii="Times New Roman" w:hAnsi="Times New Roman" w:eastAsia="宋体" w:cs="Times New Roman"/>
                      <w:color w:val="auto"/>
                      <w:lang w:val="en-US" w:eastAsia="zh-CN"/>
                    </w:rPr>
                    <w:t>GB50156-2021</w:t>
                  </w:r>
                  <w:r>
                    <w:rPr>
                      <w:rFonts w:hint="eastAsia" w:ascii="Times New Roman" w:hAnsi="Times New Roman" w:eastAsia="宋体" w:cs="Times New Roman"/>
                      <w:color w:val="auto"/>
                      <w:lang w:val="en-US" w:eastAsia="zh-CN"/>
                    </w:rPr>
                    <w:t>）的规定。双层油罐、防渗池和管道系统的渗漏检测宜采用在线监测系统。采用液体传感器监测时，传感器的检测精度不应大于</w:t>
                  </w:r>
                  <w:r>
                    <w:rPr>
                      <w:rFonts w:hint="default" w:ascii="Times New Roman" w:hAnsi="Times New Roman" w:eastAsia="宋体" w:cs="Times New Roman"/>
                      <w:color w:val="auto"/>
                      <w:lang w:val="en-US" w:eastAsia="zh-CN"/>
                    </w:rPr>
                    <w:t>3.5mm</w:t>
                  </w:r>
                  <w:r>
                    <w:rPr>
                      <w:rFonts w:hint="eastAsia" w:ascii="Times New Roman" w:hAnsi="Times New Roman" w:eastAsia="宋体" w:cs="Times New Roman"/>
                      <w:color w:val="auto"/>
                      <w:lang w:val="en-US" w:eastAsia="zh-CN"/>
                    </w:rPr>
                    <w:t>。其他设置要求可参见《汽车加油加气加氢站技术标准》（</w:t>
                  </w:r>
                  <w:r>
                    <w:rPr>
                      <w:rFonts w:hint="default" w:ascii="Times New Roman" w:hAnsi="Times New Roman" w:eastAsia="宋体" w:cs="Times New Roman"/>
                      <w:color w:val="auto"/>
                      <w:lang w:val="en-US" w:eastAsia="zh-CN"/>
                    </w:rPr>
                    <w:t>GB50156-2021</w:t>
                  </w:r>
                  <w:r>
                    <w:rPr>
                      <w:rFonts w:hint="eastAsia" w:ascii="Times New Roman" w:hAnsi="Times New Roman" w:eastAsia="宋体" w:cs="Times New Roman"/>
                      <w:color w:val="auto"/>
                      <w:lang w:val="en-US" w:eastAsia="zh-CN"/>
                    </w:rPr>
                    <w:t>）及《石油化工防渗工程技术规范》（</w:t>
                  </w:r>
                  <w:r>
                    <w:rPr>
                      <w:rFonts w:hint="default" w:ascii="Times New Roman" w:hAnsi="Times New Roman" w:eastAsia="宋体" w:cs="Times New Roman"/>
                      <w:color w:val="auto"/>
                      <w:lang w:val="en-US" w:eastAsia="zh-CN"/>
                    </w:rPr>
                    <w:t>GB/T 50934</w:t>
                  </w:r>
                  <w:r>
                    <w:rPr>
                      <w:rFonts w:hint="eastAsia" w:ascii="Times New Roman" w:hAnsi="Times New Roman" w:eastAsia="宋体" w:cs="Times New Roman"/>
                      <w:color w:val="auto"/>
                      <w:lang w:val="en-US" w:eastAsia="zh-CN"/>
                    </w:rPr>
                    <w:t>）。</w:t>
                  </w:r>
                </w:p>
              </w:tc>
              <w:tc>
                <w:tcPr>
                  <w:tcW w:w="1924" w:type="pct"/>
                  <w:tcBorders>
                    <w:tl2br w:val="nil"/>
                    <w:tr2bl w:val="nil"/>
                  </w:tcBorders>
                  <w:shd w:val="clear" w:color="auto" w:fill="auto"/>
                  <w:vAlign w:val="center"/>
                </w:tcPr>
                <w:p w14:paraId="1EB339BC">
                  <w:pPr>
                    <w:pStyle w:val="28"/>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同上</w:t>
                  </w:r>
                </w:p>
              </w:tc>
              <w:tc>
                <w:tcPr>
                  <w:tcW w:w="504" w:type="pct"/>
                  <w:tcBorders>
                    <w:tl2br w:val="nil"/>
                    <w:tr2bl w:val="nil"/>
                  </w:tcBorders>
                  <w:vAlign w:val="center"/>
                </w:tcPr>
                <w:p w14:paraId="004F2C23">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符合</w:t>
                  </w:r>
                </w:p>
              </w:tc>
            </w:tr>
            <w:tr w14:paraId="1551B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37F9AB0E">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70CDA5BF">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处于地下水饮用水水源保护区和补给径流区外的加油站，可设一个地下水监测井；地下水监测井尽量设置在加油站内。</w:t>
                  </w:r>
                </w:p>
              </w:tc>
              <w:tc>
                <w:tcPr>
                  <w:tcW w:w="1924" w:type="pct"/>
                  <w:tcBorders>
                    <w:tl2br w:val="nil"/>
                    <w:tr2bl w:val="nil"/>
                  </w:tcBorders>
                  <w:vAlign w:val="center"/>
                </w:tcPr>
                <w:p w14:paraId="0EE217E7">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本项目不涉及</w:t>
                  </w:r>
                </w:p>
              </w:tc>
              <w:tc>
                <w:tcPr>
                  <w:tcW w:w="504" w:type="pct"/>
                  <w:tcBorders>
                    <w:tl2br w:val="nil"/>
                    <w:tr2bl w:val="nil"/>
                  </w:tcBorders>
                  <w:vAlign w:val="center"/>
                </w:tcPr>
                <w:p w14:paraId="46953F67">
                  <w:pPr>
                    <w:pStyle w:val="28"/>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符合</w:t>
                  </w:r>
                </w:p>
              </w:tc>
            </w:tr>
            <w:tr w14:paraId="054B5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tl2br w:val="nil"/>
                    <w:tr2bl w:val="nil"/>
                  </w:tcBorders>
                  <w:vAlign w:val="center"/>
                </w:tcPr>
                <w:p w14:paraId="11BD3D8E">
                  <w:pPr>
                    <w:pStyle w:val="28"/>
                    <w:keepNext w:val="0"/>
                    <w:keepLines w:val="0"/>
                    <w:suppressLineNumbers w:val="0"/>
                    <w:spacing w:before="0" w:beforeAutospacing="0" w:after="0" w:afterAutospacing="0"/>
                    <w:ind w:left="0" w:right="0"/>
                    <w:rPr>
                      <w:rFonts w:hint="default"/>
                      <w:color w:val="auto"/>
                    </w:rPr>
                  </w:pPr>
                </w:p>
              </w:tc>
              <w:tc>
                <w:tcPr>
                  <w:tcW w:w="1701" w:type="pct"/>
                  <w:tcBorders>
                    <w:tl2br w:val="nil"/>
                    <w:tr2bl w:val="nil"/>
                  </w:tcBorders>
                  <w:vAlign w:val="center"/>
                </w:tcPr>
                <w:p w14:paraId="3BA9AECE">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当现场只需布设一个地下水监测井时，地下水监测井应设在埋地油罐区地下水流向的下游，在保证安全的情况下，尽可能靠近埋地油罐。</w:t>
                  </w:r>
                </w:p>
              </w:tc>
              <w:tc>
                <w:tcPr>
                  <w:tcW w:w="1924" w:type="pct"/>
                  <w:tcBorders>
                    <w:tl2br w:val="nil"/>
                    <w:tr2bl w:val="nil"/>
                  </w:tcBorders>
                  <w:shd w:val="clear" w:color="auto" w:fill="auto"/>
                  <w:vAlign w:val="center"/>
                </w:tcPr>
                <w:p w14:paraId="5CCCD4AD">
                  <w:pPr>
                    <w:pStyle w:val="2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本项目不涉及</w:t>
                  </w:r>
                </w:p>
              </w:tc>
              <w:tc>
                <w:tcPr>
                  <w:tcW w:w="504" w:type="pct"/>
                  <w:tcBorders>
                    <w:tl2br w:val="nil"/>
                    <w:tr2bl w:val="nil"/>
                  </w:tcBorders>
                  <w:shd w:val="clear" w:color="auto" w:fill="auto"/>
                  <w:vAlign w:val="center"/>
                </w:tcPr>
                <w:p w14:paraId="447D61B3">
                  <w:pPr>
                    <w:pStyle w:val="2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eastAsia="zh-CN"/>
                    </w:rPr>
                    <w:t>符合</w:t>
                  </w:r>
                </w:p>
              </w:tc>
            </w:tr>
          </w:tbl>
          <w:p w14:paraId="4222092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符合《中华人民共和国长江保护法》《国务院关于印发水污染防治行动计划的通知》（国发〔2015〕17号）、《水污染防治行动计划》（国发〔2015〕17号）、《四川省嘉陵江流域生态环境保护条例》《四川省、重庆市长江经济带发展负面清单实施细则（试行，2022年版）》（川长江办〔2022〕17号）等相关要求。</w:t>
            </w:r>
          </w:p>
          <w:p w14:paraId="1417B452">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3、与噪声污染防治相关法律法规符合性分析</w:t>
            </w:r>
          </w:p>
          <w:p w14:paraId="67CD11F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本项目与噪声污染防治相关法律法规符合性分析见下表。</w:t>
            </w:r>
          </w:p>
          <w:p w14:paraId="34EA0DE1">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与噪声污染防治相关法律法规符合性分析</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497"/>
              <w:gridCol w:w="2445"/>
              <w:gridCol w:w="743"/>
            </w:tblGrid>
            <w:tr w14:paraId="0B215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4" w:hRule="atLeast"/>
              </w:trPr>
              <w:tc>
                <w:tcPr>
                  <w:tcW w:w="630" w:type="pct"/>
                  <w:tcBorders>
                    <w:tl2br w:val="nil"/>
                    <w:tr2bl w:val="nil"/>
                  </w:tcBorders>
                  <w:vAlign w:val="center"/>
                </w:tcPr>
                <w:p w14:paraId="2C294A79">
                  <w:pPr>
                    <w:pStyle w:val="28"/>
                    <w:keepNext w:val="0"/>
                    <w:keepLines w:val="0"/>
                    <w:suppressLineNumbers w:val="0"/>
                    <w:spacing w:before="0" w:beforeAutospacing="0" w:after="0" w:afterAutospacing="0"/>
                    <w:ind w:left="0" w:right="0"/>
                    <w:rPr>
                      <w:rFonts w:hint="default"/>
                      <w:color w:val="auto"/>
                    </w:rPr>
                  </w:pPr>
                  <w:r>
                    <w:rPr>
                      <w:rFonts w:hint="default"/>
                      <w:color w:val="auto"/>
                    </w:rPr>
                    <w:t>文件</w:t>
                  </w:r>
                </w:p>
              </w:tc>
              <w:tc>
                <w:tcPr>
                  <w:tcW w:w="2285" w:type="pct"/>
                  <w:tcBorders>
                    <w:tl2br w:val="nil"/>
                    <w:tr2bl w:val="nil"/>
                  </w:tcBorders>
                  <w:vAlign w:val="center"/>
                </w:tcPr>
                <w:p w14:paraId="0B7AABEB">
                  <w:pPr>
                    <w:pStyle w:val="28"/>
                    <w:keepNext w:val="0"/>
                    <w:keepLines w:val="0"/>
                    <w:suppressLineNumbers w:val="0"/>
                    <w:spacing w:before="0" w:beforeAutospacing="0" w:after="0" w:afterAutospacing="0"/>
                    <w:ind w:left="0" w:right="0"/>
                    <w:rPr>
                      <w:rFonts w:hint="default"/>
                      <w:color w:val="auto"/>
                    </w:rPr>
                  </w:pPr>
                  <w:r>
                    <w:rPr>
                      <w:rFonts w:hint="default"/>
                      <w:color w:val="auto"/>
                    </w:rPr>
                    <w:t>要求</w:t>
                  </w:r>
                </w:p>
              </w:tc>
              <w:tc>
                <w:tcPr>
                  <w:tcW w:w="1598" w:type="pct"/>
                  <w:tcBorders>
                    <w:tl2br w:val="nil"/>
                    <w:tr2bl w:val="nil"/>
                  </w:tcBorders>
                  <w:vAlign w:val="center"/>
                </w:tcPr>
                <w:p w14:paraId="6D745A98">
                  <w:pPr>
                    <w:pStyle w:val="28"/>
                    <w:keepNext w:val="0"/>
                    <w:keepLines w:val="0"/>
                    <w:suppressLineNumbers w:val="0"/>
                    <w:spacing w:before="0" w:beforeAutospacing="0" w:after="0" w:afterAutospacing="0"/>
                    <w:ind w:left="0" w:right="0"/>
                    <w:rPr>
                      <w:rFonts w:hint="default"/>
                      <w:color w:val="auto"/>
                    </w:rPr>
                  </w:pPr>
                  <w:r>
                    <w:rPr>
                      <w:rFonts w:hint="default"/>
                      <w:color w:val="auto"/>
                    </w:rPr>
                    <w:t>本项目情况</w:t>
                  </w:r>
                </w:p>
              </w:tc>
              <w:tc>
                <w:tcPr>
                  <w:tcW w:w="486" w:type="pct"/>
                  <w:tcBorders>
                    <w:tl2br w:val="nil"/>
                    <w:tr2bl w:val="nil"/>
                  </w:tcBorders>
                  <w:vAlign w:val="center"/>
                </w:tcPr>
                <w:p w14:paraId="7FB485C2">
                  <w:pPr>
                    <w:pStyle w:val="28"/>
                    <w:keepNext w:val="0"/>
                    <w:keepLines w:val="0"/>
                    <w:suppressLineNumbers w:val="0"/>
                    <w:spacing w:before="0" w:beforeAutospacing="0" w:after="0" w:afterAutospacing="0"/>
                    <w:ind w:left="0" w:right="0"/>
                    <w:rPr>
                      <w:rFonts w:hint="default"/>
                      <w:color w:val="auto"/>
                    </w:rPr>
                  </w:pPr>
                  <w:r>
                    <w:rPr>
                      <w:rFonts w:hint="default"/>
                      <w:color w:val="auto"/>
                    </w:rPr>
                    <w:t>是否符合</w:t>
                  </w:r>
                </w:p>
              </w:tc>
            </w:tr>
            <w:tr w14:paraId="212A1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30" w:type="pct"/>
                  <w:vMerge w:val="restart"/>
                  <w:tcBorders>
                    <w:tl2br w:val="nil"/>
                    <w:tr2bl w:val="nil"/>
                  </w:tcBorders>
                  <w:vAlign w:val="center"/>
                </w:tcPr>
                <w:p w14:paraId="7D9A1C8A">
                  <w:pPr>
                    <w:pStyle w:val="28"/>
                    <w:keepNext w:val="0"/>
                    <w:keepLines w:val="0"/>
                    <w:suppressLineNumbers w:val="0"/>
                    <w:spacing w:before="0" w:beforeAutospacing="0" w:after="0" w:afterAutospacing="0"/>
                    <w:ind w:left="0" w:right="0"/>
                    <w:rPr>
                      <w:rFonts w:hint="default"/>
                      <w:color w:val="auto"/>
                    </w:rPr>
                  </w:pPr>
                  <w:r>
                    <w:rPr>
                      <w:rFonts w:hint="default"/>
                      <w:color w:val="auto"/>
                    </w:rPr>
                    <w:t>《中华人民共和国噪声污染防治法》（2022年）</w:t>
                  </w:r>
                </w:p>
              </w:tc>
              <w:tc>
                <w:tcPr>
                  <w:tcW w:w="2285" w:type="pct"/>
                  <w:tcBorders>
                    <w:tl2br w:val="nil"/>
                    <w:tr2bl w:val="nil"/>
                  </w:tcBorders>
                  <w:vAlign w:val="center"/>
                </w:tcPr>
                <w:p w14:paraId="365C8590">
                  <w:pPr>
                    <w:pStyle w:val="28"/>
                    <w:keepNext w:val="0"/>
                    <w:keepLines w:val="0"/>
                    <w:suppressLineNumbers w:val="0"/>
                    <w:spacing w:before="0" w:beforeAutospacing="0" w:after="0" w:afterAutospacing="0"/>
                    <w:ind w:left="0" w:right="0"/>
                    <w:rPr>
                      <w:rFonts w:hint="default"/>
                      <w:color w:val="auto"/>
                    </w:rPr>
                  </w:pPr>
                  <w:r>
                    <w:rPr>
                      <w:rFonts w:hint="default"/>
                      <w:color w:val="auto"/>
                    </w:rPr>
                    <w:t>第二十四条 新建、改建、扩建可能产生噪声污染的建设项目，应当依法进行环境影响评价。</w:t>
                  </w:r>
                </w:p>
              </w:tc>
              <w:tc>
                <w:tcPr>
                  <w:tcW w:w="1598" w:type="pct"/>
                  <w:tcBorders>
                    <w:tl2br w:val="nil"/>
                    <w:tr2bl w:val="nil"/>
                  </w:tcBorders>
                  <w:vAlign w:val="center"/>
                </w:tcPr>
                <w:p w14:paraId="49BBEBBB">
                  <w:pPr>
                    <w:pStyle w:val="28"/>
                    <w:keepNext w:val="0"/>
                    <w:keepLines w:val="0"/>
                    <w:suppressLineNumbers w:val="0"/>
                    <w:spacing w:before="0" w:beforeAutospacing="0" w:after="0" w:afterAutospacing="0"/>
                    <w:ind w:left="0" w:right="0"/>
                    <w:rPr>
                      <w:rFonts w:hint="default"/>
                      <w:color w:val="auto"/>
                    </w:rPr>
                  </w:pPr>
                  <w:r>
                    <w:rPr>
                      <w:rFonts w:hint="default"/>
                      <w:color w:val="auto"/>
                    </w:rPr>
                    <w:t>本项目编制环境影响报告表，依法进行环境影响评价。</w:t>
                  </w:r>
                </w:p>
              </w:tc>
              <w:tc>
                <w:tcPr>
                  <w:tcW w:w="486" w:type="pct"/>
                  <w:tcBorders>
                    <w:tl2br w:val="nil"/>
                    <w:tr2bl w:val="nil"/>
                  </w:tcBorders>
                  <w:vAlign w:val="center"/>
                </w:tcPr>
                <w:p w14:paraId="236A540A">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13B49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0" w:type="pct"/>
                  <w:vMerge w:val="continue"/>
                  <w:tcBorders>
                    <w:tl2br w:val="nil"/>
                    <w:tr2bl w:val="nil"/>
                  </w:tcBorders>
                  <w:vAlign w:val="center"/>
                </w:tcPr>
                <w:p w14:paraId="1B63EFA1">
                  <w:pPr>
                    <w:pStyle w:val="28"/>
                    <w:keepNext w:val="0"/>
                    <w:keepLines w:val="0"/>
                    <w:suppressLineNumbers w:val="0"/>
                    <w:spacing w:before="0" w:beforeAutospacing="0" w:after="0" w:afterAutospacing="0"/>
                    <w:ind w:left="0" w:right="0"/>
                    <w:rPr>
                      <w:rFonts w:hint="default"/>
                      <w:color w:val="auto"/>
                    </w:rPr>
                  </w:pPr>
                </w:p>
              </w:tc>
              <w:tc>
                <w:tcPr>
                  <w:tcW w:w="2285" w:type="pct"/>
                  <w:tcBorders>
                    <w:tl2br w:val="nil"/>
                    <w:tr2bl w:val="nil"/>
                  </w:tcBorders>
                  <w:vAlign w:val="center"/>
                </w:tcPr>
                <w:p w14:paraId="16EB1DD2">
                  <w:pPr>
                    <w:pStyle w:val="28"/>
                    <w:keepNext w:val="0"/>
                    <w:keepLines w:val="0"/>
                    <w:suppressLineNumbers w:val="0"/>
                    <w:spacing w:before="0" w:beforeAutospacing="0" w:after="0" w:afterAutospacing="0"/>
                    <w:ind w:left="0" w:right="0"/>
                    <w:rPr>
                      <w:rFonts w:hint="default"/>
                      <w:color w:val="auto"/>
                    </w:rPr>
                  </w:pPr>
                  <w:r>
                    <w:rPr>
                      <w:rFonts w:hint="default"/>
                      <w:color w:val="auto"/>
                    </w:rPr>
                    <w:t>第二十五条 建设项目的噪声污染防治设施应当与主体工程同时设计、同时施工、同时投产使用。</w:t>
                  </w:r>
                </w:p>
                <w:p w14:paraId="73D06FC6">
                  <w:pPr>
                    <w:pStyle w:val="28"/>
                    <w:keepNext w:val="0"/>
                    <w:keepLines w:val="0"/>
                    <w:suppressLineNumbers w:val="0"/>
                    <w:spacing w:before="0" w:beforeAutospacing="0" w:after="0" w:afterAutospacing="0"/>
                    <w:ind w:left="0" w:right="0"/>
                    <w:rPr>
                      <w:rFonts w:hint="default"/>
                      <w:color w:val="auto"/>
                    </w:rPr>
                  </w:pPr>
                  <w:r>
                    <w:rPr>
                      <w:rFonts w:hint="default"/>
                      <w:color w:val="auto"/>
                    </w:rPr>
                    <w:t>建设项目在投入生产或者使用之前，建设单位应当依照有关法律法规的规定，对配套建设的噪声污染防治设施进行验收，编制验收报告，并向社会公开。未经验收或者验收不合格的，该建设项目不得投入生产或者使用。</w:t>
                  </w:r>
                </w:p>
              </w:tc>
              <w:tc>
                <w:tcPr>
                  <w:tcW w:w="1598" w:type="pct"/>
                  <w:tcBorders>
                    <w:tl2br w:val="nil"/>
                    <w:tr2bl w:val="nil"/>
                  </w:tcBorders>
                  <w:vAlign w:val="center"/>
                </w:tcPr>
                <w:p w14:paraId="07E0738A">
                  <w:pPr>
                    <w:pStyle w:val="28"/>
                    <w:keepNext w:val="0"/>
                    <w:keepLines w:val="0"/>
                    <w:suppressLineNumbers w:val="0"/>
                    <w:spacing w:before="0" w:beforeAutospacing="0" w:after="0" w:afterAutospacing="0"/>
                    <w:ind w:left="0" w:right="0"/>
                    <w:rPr>
                      <w:rFonts w:hint="default"/>
                      <w:color w:val="auto"/>
                    </w:rPr>
                  </w:pPr>
                  <w:r>
                    <w:rPr>
                      <w:rFonts w:hint="default"/>
                      <w:color w:val="auto"/>
                    </w:rPr>
                    <w:t>本项目噪声污染防治设施将与主体工程同时设计、同时施工、同时投产使用。建设完成后，将依法组织竣工环保验收，验收合格后投入生产或者使用。</w:t>
                  </w:r>
                </w:p>
              </w:tc>
              <w:tc>
                <w:tcPr>
                  <w:tcW w:w="486" w:type="pct"/>
                  <w:tcBorders>
                    <w:tl2br w:val="nil"/>
                    <w:tr2bl w:val="nil"/>
                  </w:tcBorders>
                  <w:shd w:val="clear" w:color="auto" w:fill="auto"/>
                  <w:vAlign w:val="center"/>
                </w:tcPr>
                <w:p w14:paraId="0A4C4AD2">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46FE6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vMerge w:val="continue"/>
                  <w:tcBorders>
                    <w:tl2br w:val="nil"/>
                    <w:tr2bl w:val="nil"/>
                  </w:tcBorders>
                  <w:vAlign w:val="center"/>
                </w:tcPr>
                <w:p w14:paraId="5E77728D">
                  <w:pPr>
                    <w:pStyle w:val="28"/>
                    <w:keepNext w:val="0"/>
                    <w:keepLines w:val="0"/>
                    <w:suppressLineNumbers w:val="0"/>
                    <w:spacing w:before="0" w:beforeAutospacing="0" w:after="0" w:afterAutospacing="0"/>
                    <w:ind w:left="0" w:right="0"/>
                    <w:rPr>
                      <w:rFonts w:hint="default"/>
                      <w:color w:val="auto"/>
                    </w:rPr>
                  </w:pPr>
                </w:p>
              </w:tc>
              <w:tc>
                <w:tcPr>
                  <w:tcW w:w="2285" w:type="pct"/>
                  <w:tcBorders>
                    <w:tl2br w:val="nil"/>
                    <w:tr2bl w:val="nil"/>
                  </w:tcBorders>
                  <w:vAlign w:val="center"/>
                </w:tcPr>
                <w:p w14:paraId="7A09F3C5">
                  <w:pPr>
                    <w:pStyle w:val="28"/>
                    <w:keepNext w:val="0"/>
                    <w:keepLines w:val="0"/>
                    <w:suppressLineNumbers w:val="0"/>
                    <w:spacing w:before="0" w:beforeAutospacing="0" w:after="0" w:afterAutospacing="0"/>
                    <w:ind w:left="0" w:right="0"/>
                    <w:rPr>
                      <w:rFonts w:hint="default"/>
                      <w:color w:val="auto"/>
                    </w:rPr>
                  </w:pPr>
                  <w:r>
                    <w:rPr>
                      <w:rFonts w:hint="default"/>
                      <w:color w:val="auto"/>
                    </w:rPr>
                    <w:t>第三十六条 排放工业噪声的企业事业单位和其他生产经营者，应当采取有效措施，减少振动、降低噪声，依法取得排污许可证或者填报排污登记表。</w:t>
                  </w:r>
                </w:p>
                <w:p w14:paraId="3B38C6E6">
                  <w:pPr>
                    <w:pStyle w:val="28"/>
                    <w:keepNext w:val="0"/>
                    <w:keepLines w:val="0"/>
                    <w:suppressLineNumbers w:val="0"/>
                    <w:spacing w:before="0" w:beforeAutospacing="0" w:after="0" w:afterAutospacing="0"/>
                    <w:ind w:left="0" w:right="0"/>
                    <w:rPr>
                      <w:rFonts w:hint="default"/>
                      <w:color w:val="auto"/>
                    </w:rPr>
                  </w:pPr>
                  <w:r>
                    <w:rPr>
                      <w:rFonts w:hint="default"/>
                      <w:color w:val="auto"/>
                    </w:rPr>
                    <w:t>实行排污许可管理的单位，不得无排污许可证排放工业噪声，并应当按照排污许可证的要求进行噪声污染防治。</w:t>
                  </w:r>
                </w:p>
              </w:tc>
              <w:tc>
                <w:tcPr>
                  <w:tcW w:w="1598" w:type="pct"/>
                  <w:tcBorders>
                    <w:tl2br w:val="nil"/>
                    <w:tr2bl w:val="nil"/>
                  </w:tcBorders>
                  <w:vAlign w:val="center"/>
                </w:tcPr>
                <w:p w14:paraId="4E4ABF76">
                  <w:pPr>
                    <w:pStyle w:val="28"/>
                    <w:keepNext w:val="0"/>
                    <w:keepLines w:val="0"/>
                    <w:suppressLineNumbers w:val="0"/>
                    <w:spacing w:before="0" w:beforeAutospacing="0" w:after="0" w:afterAutospacing="0"/>
                    <w:ind w:left="0" w:right="0"/>
                    <w:rPr>
                      <w:rFonts w:hint="default"/>
                      <w:color w:val="auto"/>
                    </w:rPr>
                  </w:pPr>
                  <w:r>
                    <w:rPr>
                      <w:rFonts w:hint="default"/>
                      <w:color w:val="auto"/>
                    </w:rPr>
                    <w:t>本项目通过优选设备，加强设备维保和管理，加强建筑隔声等措施降低噪声；建设完成后将按要求申请排污许可证（包含噪声排放内容）。</w:t>
                  </w:r>
                </w:p>
              </w:tc>
              <w:tc>
                <w:tcPr>
                  <w:tcW w:w="486" w:type="pct"/>
                  <w:tcBorders>
                    <w:tl2br w:val="nil"/>
                    <w:tr2bl w:val="nil"/>
                  </w:tcBorders>
                  <w:shd w:val="clear" w:color="auto" w:fill="auto"/>
                  <w:vAlign w:val="center"/>
                </w:tcPr>
                <w:p w14:paraId="684F7609">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6B9B8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tcBorders>
                    <w:tl2br w:val="nil"/>
                    <w:tr2bl w:val="nil"/>
                  </w:tcBorders>
                  <w:vAlign w:val="center"/>
                </w:tcPr>
                <w:p w14:paraId="2246A3F6">
                  <w:pPr>
                    <w:pStyle w:val="28"/>
                    <w:keepNext w:val="0"/>
                    <w:keepLines w:val="0"/>
                    <w:suppressLineNumbers w:val="0"/>
                    <w:spacing w:before="0" w:beforeAutospacing="0" w:after="0" w:afterAutospacing="0"/>
                    <w:ind w:left="0" w:right="0"/>
                    <w:rPr>
                      <w:rFonts w:hint="default"/>
                      <w:color w:val="auto"/>
                    </w:rPr>
                  </w:pPr>
                  <w:r>
                    <w:rPr>
                      <w:rFonts w:hint="default"/>
                      <w:color w:val="auto"/>
                    </w:rPr>
                    <w:t>《“十四五”噪声污染防治行动计划》</w:t>
                  </w:r>
                </w:p>
              </w:tc>
              <w:tc>
                <w:tcPr>
                  <w:tcW w:w="2285" w:type="pct"/>
                  <w:tcBorders>
                    <w:tl2br w:val="nil"/>
                    <w:tr2bl w:val="nil"/>
                  </w:tcBorders>
                  <w:vAlign w:val="center"/>
                </w:tcPr>
                <w:p w14:paraId="75AC283D">
                  <w:pPr>
                    <w:pStyle w:val="28"/>
                    <w:keepNext w:val="0"/>
                    <w:keepLines w:val="0"/>
                    <w:suppressLineNumbers w:val="0"/>
                    <w:spacing w:before="0" w:beforeAutospacing="0" w:after="0" w:afterAutospacing="0"/>
                    <w:ind w:left="0" w:right="0"/>
                    <w:rPr>
                      <w:rFonts w:hint="default"/>
                      <w:color w:val="auto"/>
                    </w:rPr>
                  </w:pPr>
                  <w:r>
                    <w:rPr>
                      <w:rFonts w:hint="default"/>
                      <w:color w:val="auto"/>
                    </w:rPr>
                    <w:t>（1）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p>
                <w:p w14:paraId="687C4A0E">
                  <w:pPr>
                    <w:pStyle w:val="28"/>
                    <w:keepNext w:val="0"/>
                    <w:keepLines w:val="0"/>
                    <w:suppressLineNumbers w:val="0"/>
                    <w:spacing w:before="0" w:beforeAutospacing="0" w:after="0" w:afterAutospacing="0"/>
                    <w:ind w:left="0" w:right="0"/>
                    <w:rPr>
                      <w:rFonts w:hint="default"/>
                      <w:color w:val="auto"/>
                    </w:rPr>
                  </w:pPr>
                  <w:r>
                    <w:rPr>
                      <w:rFonts w:hint="default"/>
                      <w:color w:val="auto"/>
                    </w:rPr>
                    <w:t>（2）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1598" w:type="pct"/>
                  <w:tcBorders>
                    <w:tl2br w:val="nil"/>
                    <w:tr2bl w:val="nil"/>
                  </w:tcBorders>
                  <w:vAlign w:val="center"/>
                </w:tcPr>
                <w:p w14:paraId="2EDC3BDD">
                  <w:pPr>
                    <w:pStyle w:val="28"/>
                    <w:keepNext w:val="0"/>
                    <w:keepLines w:val="0"/>
                    <w:suppressLineNumbers w:val="0"/>
                    <w:spacing w:before="0" w:beforeAutospacing="0" w:after="0" w:afterAutospacing="0"/>
                    <w:ind w:left="0" w:right="0"/>
                    <w:rPr>
                      <w:rFonts w:hint="default"/>
                      <w:color w:val="auto"/>
                    </w:rPr>
                  </w:pPr>
                  <w:r>
                    <w:rPr>
                      <w:rFonts w:hint="default"/>
                      <w:color w:val="auto"/>
                    </w:rPr>
                    <w:t>（1）本项目编制环境影响报告表，依法进行环境影响评价。</w:t>
                  </w:r>
                </w:p>
                <w:p w14:paraId="64018E0A">
                  <w:pPr>
                    <w:pStyle w:val="28"/>
                    <w:keepNext w:val="0"/>
                    <w:keepLines w:val="0"/>
                    <w:suppressLineNumbers w:val="0"/>
                    <w:spacing w:before="0" w:beforeAutospacing="0" w:after="0" w:afterAutospacing="0"/>
                    <w:ind w:left="0" w:right="0"/>
                    <w:rPr>
                      <w:rFonts w:hint="default"/>
                      <w:color w:val="auto"/>
                    </w:rPr>
                  </w:pPr>
                  <w:r>
                    <w:rPr>
                      <w:rFonts w:hint="default"/>
                      <w:color w:val="auto"/>
                    </w:rPr>
                    <w:t>（2）本项目通过优选设备，加强设备维保和管理，加强建筑隔声等措施降低噪声；</w:t>
                  </w:r>
                </w:p>
                <w:p w14:paraId="2E08F8DD">
                  <w:pPr>
                    <w:pStyle w:val="28"/>
                    <w:keepNext w:val="0"/>
                    <w:keepLines w:val="0"/>
                    <w:suppressLineNumbers w:val="0"/>
                    <w:spacing w:before="0" w:beforeAutospacing="0" w:after="0" w:afterAutospacing="0"/>
                    <w:ind w:left="0" w:right="0"/>
                    <w:rPr>
                      <w:rFonts w:hint="default"/>
                      <w:color w:val="auto"/>
                    </w:rPr>
                  </w:pPr>
                  <w:r>
                    <w:rPr>
                      <w:rFonts w:hint="default"/>
                      <w:color w:val="auto"/>
                    </w:rPr>
                    <w:t>（3）本项目位于3类声环境功能区，评价范围无学校、居民等噪声敏感建筑物，项目积极开展环评，落实污染防治措施，建成后将依法开展竣工环境保护验收。</w:t>
                  </w:r>
                </w:p>
              </w:tc>
              <w:tc>
                <w:tcPr>
                  <w:tcW w:w="486" w:type="pct"/>
                  <w:tcBorders>
                    <w:tl2br w:val="nil"/>
                    <w:tr2bl w:val="nil"/>
                  </w:tcBorders>
                  <w:vAlign w:val="center"/>
                </w:tcPr>
                <w:p w14:paraId="3C975F2D">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bl>
          <w:p w14:paraId="637D8E6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因此，本项目符合《中华人民共和国噪声污染防治法》《“十四五”噪声污染防治行动计划》中相关要求。</w:t>
            </w:r>
          </w:p>
          <w:p w14:paraId="4280F3A1">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4、与土壤污染防治相关法律法规符合性分析</w:t>
            </w:r>
          </w:p>
          <w:p w14:paraId="13DABC4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本项目与土壤污染防治相关法律法规符合性分析见下表。</w:t>
            </w:r>
          </w:p>
          <w:p w14:paraId="4111FE3C">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与土壤污染防治相关法律法规符合性分析</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497"/>
              <w:gridCol w:w="2445"/>
              <w:gridCol w:w="743"/>
            </w:tblGrid>
            <w:tr w14:paraId="39304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30" w:type="pct"/>
                  <w:tcBorders>
                    <w:tl2br w:val="nil"/>
                    <w:tr2bl w:val="nil"/>
                  </w:tcBorders>
                  <w:vAlign w:val="center"/>
                </w:tcPr>
                <w:p w14:paraId="08CE228B">
                  <w:pPr>
                    <w:pStyle w:val="28"/>
                    <w:keepNext w:val="0"/>
                    <w:keepLines w:val="0"/>
                    <w:suppressLineNumbers w:val="0"/>
                    <w:spacing w:before="0" w:beforeAutospacing="0" w:after="0" w:afterAutospacing="0"/>
                    <w:ind w:left="0" w:right="0"/>
                    <w:rPr>
                      <w:rFonts w:hint="default"/>
                      <w:color w:val="auto"/>
                    </w:rPr>
                  </w:pPr>
                  <w:r>
                    <w:rPr>
                      <w:rFonts w:hint="default"/>
                      <w:color w:val="auto"/>
                    </w:rPr>
                    <w:t>文件</w:t>
                  </w:r>
                </w:p>
              </w:tc>
              <w:tc>
                <w:tcPr>
                  <w:tcW w:w="2285" w:type="pct"/>
                  <w:tcBorders>
                    <w:tl2br w:val="nil"/>
                    <w:tr2bl w:val="nil"/>
                  </w:tcBorders>
                  <w:vAlign w:val="center"/>
                </w:tcPr>
                <w:p w14:paraId="6EFE04DD">
                  <w:pPr>
                    <w:pStyle w:val="28"/>
                    <w:keepNext w:val="0"/>
                    <w:keepLines w:val="0"/>
                    <w:suppressLineNumbers w:val="0"/>
                    <w:spacing w:before="0" w:beforeAutospacing="0" w:after="0" w:afterAutospacing="0"/>
                    <w:ind w:left="0" w:right="0"/>
                    <w:rPr>
                      <w:rFonts w:hint="default"/>
                      <w:color w:val="auto"/>
                    </w:rPr>
                  </w:pPr>
                  <w:r>
                    <w:rPr>
                      <w:rFonts w:hint="default"/>
                      <w:color w:val="auto"/>
                    </w:rPr>
                    <w:t>要求</w:t>
                  </w:r>
                </w:p>
              </w:tc>
              <w:tc>
                <w:tcPr>
                  <w:tcW w:w="1598" w:type="pct"/>
                  <w:tcBorders>
                    <w:tl2br w:val="nil"/>
                    <w:tr2bl w:val="nil"/>
                  </w:tcBorders>
                  <w:vAlign w:val="center"/>
                </w:tcPr>
                <w:p w14:paraId="18ADFCE4">
                  <w:pPr>
                    <w:pStyle w:val="28"/>
                    <w:keepNext w:val="0"/>
                    <w:keepLines w:val="0"/>
                    <w:suppressLineNumbers w:val="0"/>
                    <w:spacing w:before="0" w:beforeAutospacing="0" w:after="0" w:afterAutospacing="0"/>
                    <w:ind w:left="0" w:right="0"/>
                    <w:rPr>
                      <w:rFonts w:hint="default"/>
                      <w:color w:val="auto"/>
                    </w:rPr>
                  </w:pPr>
                  <w:r>
                    <w:rPr>
                      <w:rFonts w:hint="default"/>
                      <w:color w:val="auto"/>
                    </w:rPr>
                    <w:t>本项目情况</w:t>
                  </w:r>
                </w:p>
              </w:tc>
              <w:tc>
                <w:tcPr>
                  <w:tcW w:w="486" w:type="pct"/>
                  <w:tcBorders>
                    <w:tl2br w:val="nil"/>
                    <w:tr2bl w:val="nil"/>
                  </w:tcBorders>
                  <w:vAlign w:val="center"/>
                </w:tcPr>
                <w:p w14:paraId="249F7AED">
                  <w:pPr>
                    <w:pStyle w:val="28"/>
                    <w:keepNext w:val="0"/>
                    <w:keepLines w:val="0"/>
                    <w:suppressLineNumbers w:val="0"/>
                    <w:spacing w:before="0" w:beforeAutospacing="0" w:after="0" w:afterAutospacing="0"/>
                    <w:ind w:left="0" w:right="0"/>
                    <w:rPr>
                      <w:rFonts w:hint="default"/>
                      <w:color w:val="auto"/>
                    </w:rPr>
                  </w:pPr>
                  <w:r>
                    <w:rPr>
                      <w:rFonts w:hint="default"/>
                      <w:color w:val="auto"/>
                    </w:rPr>
                    <w:t>是否符合</w:t>
                  </w:r>
                </w:p>
              </w:tc>
            </w:tr>
            <w:tr w14:paraId="0B493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30" w:type="pct"/>
                  <w:tcBorders>
                    <w:tl2br w:val="nil"/>
                    <w:tr2bl w:val="nil"/>
                  </w:tcBorders>
                  <w:vAlign w:val="center"/>
                </w:tcPr>
                <w:p w14:paraId="7F23D9CE">
                  <w:pPr>
                    <w:pStyle w:val="28"/>
                    <w:keepNext w:val="0"/>
                    <w:keepLines w:val="0"/>
                    <w:suppressLineNumbers w:val="0"/>
                    <w:spacing w:before="0" w:beforeAutospacing="0" w:after="0" w:afterAutospacing="0"/>
                    <w:ind w:left="0" w:right="0"/>
                    <w:rPr>
                      <w:rFonts w:hint="default"/>
                      <w:color w:val="auto"/>
                    </w:rPr>
                  </w:pPr>
                  <w:r>
                    <w:rPr>
                      <w:rFonts w:hint="default"/>
                      <w:color w:val="auto"/>
                    </w:rPr>
                    <w:t>《中华人民共和国土壤污染防治法》（2018年）</w:t>
                  </w:r>
                </w:p>
              </w:tc>
              <w:tc>
                <w:tcPr>
                  <w:tcW w:w="2285" w:type="pct"/>
                  <w:tcBorders>
                    <w:tl2br w:val="nil"/>
                    <w:tr2bl w:val="nil"/>
                  </w:tcBorders>
                  <w:vAlign w:val="center"/>
                </w:tcPr>
                <w:p w14:paraId="2F052CFC">
                  <w:pPr>
                    <w:pStyle w:val="28"/>
                    <w:keepNext w:val="0"/>
                    <w:keepLines w:val="0"/>
                    <w:suppressLineNumbers w:val="0"/>
                    <w:spacing w:before="0" w:beforeAutospacing="0" w:after="0" w:afterAutospacing="0"/>
                    <w:ind w:left="0" w:right="0"/>
                    <w:rPr>
                      <w:rFonts w:hint="default"/>
                      <w:color w:val="auto"/>
                    </w:rPr>
                  </w:pPr>
                  <w:r>
                    <w:rPr>
                      <w:rFonts w:hint="default"/>
                      <w:color w:val="auto"/>
                    </w:rPr>
                    <w:t>国家加强对土壤资源的保护和合理利用。对开发建设过程中剥离的表土，应当单独收集和存放，符合条件的应当优先用于土地复垦、土壤改良、造地和绿化等。</w:t>
                  </w:r>
                </w:p>
                <w:p w14:paraId="63F9D8DE">
                  <w:pPr>
                    <w:pStyle w:val="28"/>
                    <w:keepNext w:val="0"/>
                    <w:keepLines w:val="0"/>
                    <w:suppressLineNumbers w:val="0"/>
                    <w:spacing w:before="0" w:beforeAutospacing="0" w:after="0" w:afterAutospacing="0"/>
                    <w:ind w:left="0" w:right="0"/>
                    <w:rPr>
                      <w:rFonts w:hint="default"/>
                      <w:color w:val="auto"/>
                    </w:rPr>
                  </w:pPr>
                  <w:r>
                    <w:rPr>
                      <w:rFonts w:hint="default"/>
                      <w:color w:val="auto"/>
                    </w:rPr>
                    <w:t>禁止将重金属或者其他有毒有害物质含量超标的工业固体废物、生活垃圾或者污染土壤用于土地复垦。</w:t>
                  </w:r>
                </w:p>
              </w:tc>
              <w:tc>
                <w:tcPr>
                  <w:tcW w:w="1598" w:type="pct"/>
                  <w:tcBorders>
                    <w:tl2br w:val="nil"/>
                    <w:tr2bl w:val="nil"/>
                  </w:tcBorders>
                  <w:vAlign w:val="center"/>
                </w:tcPr>
                <w:p w14:paraId="33B4F259">
                  <w:pPr>
                    <w:pStyle w:val="28"/>
                    <w:keepNext w:val="0"/>
                    <w:keepLines w:val="0"/>
                    <w:suppressLineNumbers w:val="0"/>
                    <w:spacing w:before="0" w:beforeAutospacing="0" w:after="0" w:afterAutospacing="0"/>
                    <w:ind w:left="0" w:right="0"/>
                    <w:rPr>
                      <w:rFonts w:hint="default"/>
                      <w:color w:val="auto"/>
                    </w:rPr>
                  </w:pPr>
                  <w:r>
                    <w:rPr>
                      <w:rFonts w:hint="default"/>
                      <w:color w:val="auto"/>
                    </w:rPr>
                    <w:t>本项目表土单独收集和存放，后期用于绿化。</w:t>
                  </w:r>
                </w:p>
              </w:tc>
              <w:tc>
                <w:tcPr>
                  <w:tcW w:w="486" w:type="pct"/>
                  <w:tcBorders>
                    <w:tl2br w:val="nil"/>
                    <w:tr2bl w:val="nil"/>
                  </w:tcBorders>
                  <w:vAlign w:val="center"/>
                </w:tcPr>
                <w:p w14:paraId="54F02500">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57444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tcBorders>
                    <w:tl2br w:val="nil"/>
                    <w:tr2bl w:val="nil"/>
                  </w:tcBorders>
                  <w:vAlign w:val="center"/>
                </w:tcPr>
                <w:p w14:paraId="39DA460E">
                  <w:pPr>
                    <w:pStyle w:val="28"/>
                    <w:keepNext w:val="0"/>
                    <w:keepLines w:val="0"/>
                    <w:suppressLineNumbers w:val="0"/>
                    <w:spacing w:before="0" w:beforeAutospacing="0" w:after="0" w:afterAutospacing="0"/>
                    <w:ind w:left="0" w:right="0"/>
                    <w:rPr>
                      <w:rFonts w:hint="default"/>
                      <w:color w:val="auto"/>
                    </w:rPr>
                  </w:pPr>
                  <w:r>
                    <w:rPr>
                      <w:rFonts w:hint="default"/>
                      <w:color w:val="auto"/>
                    </w:rPr>
                    <w:t>《土壤污染防治行动计划》（国发〔2016〕31号）</w:t>
                  </w:r>
                </w:p>
              </w:tc>
              <w:tc>
                <w:tcPr>
                  <w:tcW w:w="2285" w:type="pct"/>
                  <w:tcBorders>
                    <w:tl2br w:val="nil"/>
                    <w:tr2bl w:val="nil"/>
                  </w:tcBorders>
                  <w:vAlign w:val="center"/>
                </w:tcPr>
                <w:p w14:paraId="0113A4A2">
                  <w:pPr>
                    <w:pStyle w:val="28"/>
                    <w:keepNext w:val="0"/>
                    <w:keepLines w:val="0"/>
                    <w:suppressLineNumbers w:val="0"/>
                    <w:spacing w:before="0" w:beforeAutospacing="0" w:after="0" w:afterAutospacing="0"/>
                    <w:ind w:left="0" w:right="0"/>
                    <w:rPr>
                      <w:rFonts w:hint="default"/>
                      <w:color w:val="auto"/>
                    </w:rPr>
                  </w:pPr>
                  <w:r>
                    <w:rPr>
                      <w:rFonts w:hint="default"/>
                      <w:color w:val="auto"/>
                    </w:rPr>
                    <w:t>（1）防控企业污染。严格控制在优先保护类耕地集中区域新建有色金属冶炼、石油加工、化工、焦化、电镀、制革等行业企业，现有相关行业企业要采用新技术、新工艺，加快提标升级改造步伐；</w:t>
                  </w:r>
                </w:p>
                <w:p w14:paraId="2B09C300">
                  <w:pPr>
                    <w:pStyle w:val="28"/>
                    <w:keepNext w:val="0"/>
                    <w:keepLines w:val="0"/>
                    <w:suppressLineNumbers w:val="0"/>
                    <w:spacing w:before="0" w:beforeAutospacing="0" w:after="0" w:afterAutospacing="0"/>
                    <w:ind w:left="0" w:right="0"/>
                    <w:rPr>
                      <w:rFonts w:hint="default"/>
                      <w:color w:val="auto"/>
                    </w:rPr>
                  </w:pPr>
                  <w:r>
                    <w:rPr>
                      <w:rFonts w:hint="default"/>
                      <w:color w:val="auto"/>
                    </w:rPr>
                    <w:t>（2）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p w14:paraId="11C1478E">
                  <w:pPr>
                    <w:pStyle w:val="28"/>
                    <w:keepNext w:val="0"/>
                    <w:keepLines w:val="0"/>
                    <w:suppressLineNumbers w:val="0"/>
                    <w:spacing w:before="0" w:beforeAutospacing="0" w:after="0" w:afterAutospacing="0"/>
                    <w:ind w:left="0" w:right="0"/>
                    <w:rPr>
                      <w:rFonts w:hint="default"/>
                      <w:color w:val="auto"/>
                    </w:rPr>
                  </w:pPr>
                  <w:r>
                    <w:rPr>
                      <w:rFonts w:hint="default"/>
                      <w:color w:val="auto"/>
                    </w:rPr>
                    <w:t>（3）强化空间布局管控。……严格执行相关行业企业布局选址要求，禁止在居民区、学校、医疗和养老机构等周边新建有色金属冶炼、焦化等行业企业；</w:t>
                  </w:r>
                </w:p>
                <w:p w14:paraId="3B6559C1">
                  <w:pPr>
                    <w:pStyle w:val="28"/>
                    <w:keepNext w:val="0"/>
                    <w:keepLines w:val="0"/>
                    <w:suppressLineNumbers w:val="0"/>
                    <w:spacing w:before="0" w:beforeAutospacing="0" w:after="0" w:afterAutospacing="0"/>
                    <w:ind w:left="0" w:right="0"/>
                    <w:rPr>
                      <w:rFonts w:hint="default"/>
                      <w:color w:val="auto"/>
                    </w:rPr>
                  </w:pPr>
                  <w:r>
                    <w:rPr>
                      <w:rFonts w:hint="default"/>
                      <w:color w:val="auto"/>
                    </w:rPr>
                    <w:t>（4）严格执行重金属污染物排放标准并落实相关总量控制指标，……继续淘汰涉重金属重点行业落后产能，完善重金属相关行业准入条件，禁止新建落后产能或产能严重过剩行业的建设项目。</w:t>
                  </w:r>
                </w:p>
              </w:tc>
              <w:tc>
                <w:tcPr>
                  <w:tcW w:w="1598" w:type="pct"/>
                  <w:tcBorders>
                    <w:tl2br w:val="nil"/>
                    <w:tr2bl w:val="nil"/>
                  </w:tcBorders>
                  <w:vAlign w:val="center"/>
                </w:tcPr>
                <w:p w14:paraId="58480362">
                  <w:pPr>
                    <w:pStyle w:val="28"/>
                    <w:keepNext w:val="0"/>
                    <w:keepLines w:val="0"/>
                    <w:suppressLineNumbers w:val="0"/>
                    <w:spacing w:before="0" w:beforeAutospacing="0" w:after="0" w:afterAutospacing="0"/>
                    <w:ind w:left="0" w:right="0"/>
                    <w:jc w:val="left"/>
                    <w:rPr>
                      <w:rFonts w:hint="default"/>
                      <w:color w:val="auto"/>
                    </w:rPr>
                  </w:pPr>
                  <w:r>
                    <w:rPr>
                      <w:rFonts w:hint="default"/>
                      <w:color w:val="auto"/>
                    </w:rPr>
                    <w:t>（1）项目属于食品级硫磺、工业级硫磺等产品生产项目，项目用地为园区规划的工业用地，不占用耕地。</w:t>
                  </w:r>
                </w:p>
                <w:p w14:paraId="34286D64">
                  <w:pPr>
                    <w:pStyle w:val="28"/>
                    <w:keepNext w:val="0"/>
                    <w:keepLines w:val="0"/>
                    <w:suppressLineNumbers w:val="0"/>
                    <w:spacing w:before="0" w:beforeAutospacing="0" w:after="0" w:afterAutospacing="0"/>
                    <w:ind w:left="0" w:right="0"/>
                    <w:jc w:val="left"/>
                    <w:rPr>
                      <w:rFonts w:hint="default"/>
                      <w:color w:val="auto"/>
                    </w:rPr>
                  </w:pPr>
                  <w:r>
                    <w:rPr>
                      <w:rFonts w:hint="default"/>
                      <w:color w:val="auto"/>
                    </w:rPr>
                    <w:t>（2）项目排放常规污染物，不排放重点污染物，故不需要增加土壤环境影响评价内容。</w:t>
                  </w:r>
                </w:p>
                <w:p w14:paraId="7FED5EC6">
                  <w:pPr>
                    <w:pStyle w:val="28"/>
                    <w:keepNext w:val="0"/>
                    <w:keepLines w:val="0"/>
                    <w:suppressLineNumbers w:val="0"/>
                    <w:spacing w:before="0" w:beforeAutospacing="0" w:after="0" w:afterAutospacing="0"/>
                    <w:ind w:left="0" w:right="0"/>
                    <w:jc w:val="left"/>
                    <w:rPr>
                      <w:rFonts w:hint="default"/>
                      <w:color w:val="auto"/>
                    </w:rPr>
                  </w:pPr>
                  <w:r>
                    <w:rPr>
                      <w:rFonts w:hint="default"/>
                      <w:color w:val="auto"/>
                    </w:rPr>
                    <w:t>（3）项目选址与园区，符合国土空间管控要求；项目不属于有色金属冶炼或焦化行业。</w:t>
                  </w:r>
                </w:p>
                <w:p w14:paraId="156C6333">
                  <w:pPr>
                    <w:pStyle w:val="28"/>
                    <w:keepNext w:val="0"/>
                    <w:keepLines w:val="0"/>
                    <w:suppressLineNumbers w:val="0"/>
                    <w:spacing w:before="0" w:beforeAutospacing="0" w:after="0" w:afterAutospacing="0"/>
                    <w:ind w:left="0" w:right="0"/>
                    <w:jc w:val="left"/>
                    <w:rPr>
                      <w:rFonts w:hint="default"/>
                      <w:color w:val="auto"/>
                    </w:rPr>
                  </w:pPr>
                  <w:r>
                    <w:rPr>
                      <w:rFonts w:hint="default"/>
                      <w:color w:val="auto"/>
                    </w:rPr>
                    <w:t>（4）本项目不涉及重金属排放。</w:t>
                  </w:r>
                </w:p>
              </w:tc>
              <w:tc>
                <w:tcPr>
                  <w:tcW w:w="486" w:type="pct"/>
                  <w:tcBorders>
                    <w:tl2br w:val="nil"/>
                    <w:tr2bl w:val="nil"/>
                  </w:tcBorders>
                  <w:vAlign w:val="center"/>
                </w:tcPr>
                <w:p w14:paraId="28570A2A">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07968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tcBorders>
                    <w:tl2br w:val="nil"/>
                    <w:tr2bl w:val="nil"/>
                  </w:tcBorders>
                  <w:vAlign w:val="center"/>
                </w:tcPr>
                <w:p w14:paraId="4F44C30A">
                  <w:pPr>
                    <w:pStyle w:val="28"/>
                    <w:keepNext w:val="0"/>
                    <w:keepLines w:val="0"/>
                    <w:suppressLineNumbers w:val="0"/>
                    <w:spacing w:before="0" w:beforeAutospacing="0" w:after="0" w:afterAutospacing="0"/>
                    <w:ind w:left="0" w:right="0"/>
                    <w:rPr>
                      <w:rFonts w:hint="default"/>
                      <w:color w:val="auto"/>
                    </w:rPr>
                  </w:pPr>
                  <w:r>
                    <w:rPr>
                      <w:rFonts w:hint="default"/>
                      <w:color w:val="auto"/>
                    </w:rPr>
                    <w:t>《土壤污染防治行动计划四川省工作方案》（川府发〔2016〕63号）</w:t>
                  </w:r>
                </w:p>
              </w:tc>
              <w:tc>
                <w:tcPr>
                  <w:tcW w:w="2285" w:type="pct"/>
                  <w:tcBorders>
                    <w:tl2br w:val="nil"/>
                    <w:tr2bl w:val="nil"/>
                  </w:tcBorders>
                  <w:vAlign w:val="center"/>
                </w:tcPr>
                <w:p w14:paraId="6377E524">
                  <w:pPr>
                    <w:pStyle w:val="28"/>
                    <w:keepNext w:val="0"/>
                    <w:keepLines w:val="0"/>
                    <w:suppressLineNumbers w:val="0"/>
                    <w:spacing w:before="0" w:beforeAutospacing="0" w:after="0" w:afterAutospacing="0"/>
                    <w:ind w:left="0" w:right="0"/>
                    <w:rPr>
                      <w:rFonts w:hint="default"/>
                      <w:color w:val="auto"/>
                    </w:rPr>
                  </w:pPr>
                  <w:r>
                    <w:rPr>
                      <w:rFonts w:hint="default"/>
                      <w:color w:val="auto"/>
                    </w:rPr>
                    <w:t>加强涉重金属行业污染控制。严格执行重金属污染物排放标准并落实相关总量控制指标，涉重金属产业发展规划必须开展规划环境影响评价，严禁在生态红线管控区、人口</w:t>
                  </w:r>
                  <w:r>
                    <w:rPr>
                      <w:rFonts w:hint="eastAsia"/>
                      <w:color w:val="auto"/>
                      <w:lang w:eastAsia="zh-CN"/>
                    </w:rPr>
                    <w:t>集聚区</w:t>
                  </w:r>
                  <w:r>
                    <w:rPr>
                      <w:rFonts w:hint="default"/>
                      <w:color w:val="auto"/>
                    </w:rPr>
                    <w:t>新建涉及重金属排放的项目。深化重金属污染治理，采取“以奖代补”方式鼓励现有重金属污染企业升级改造，降低重金属排放总量，实现稳定达标排放。</w:t>
                  </w:r>
                </w:p>
              </w:tc>
              <w:tc>
                <w:tcPr>
                  <w:tcW w:w="1598" w:type="pct"/>
                  <w:tcBorders>
                    <w:tl2br w:val="nil"/>
                    <w:tr2bl w:val="nil"/>
                  </w:tcBorders>
                  <w:vAlign w:val="center"/>
                </w:tcPr>
                <w:p w14:paraId="589313C6">
                  <w:pPr>
                    <w:pStyle w:val="28"/>
                    <w:keepNext w:val="0"/>
                    <w:keepLines w:val="0"/>
                    <w:suppressLineNumbers w:val="0"/>
                    <w:spacing w:before="0" w:beforeAutospacing="0" w:after="0" w:afterAutospacing="0"/>
                    <w:ind w:left="0" w:right="0"/>
                    <w:rPr>
                      <w:rFonts w:hint="default"/>
                      <w:color w:val="auto"/>
                    </w:rPr>
                  </w:pPr>
                  <w:r>
                    <w:rPr>
                      <w:rFonts w:hint="default"/>
                      <w:color w:val="auto"/>
                    </w:rPr>
                    <w:t>项目属于食品级硫磺、工业级硫磺等产品生产项目，不属于涉重金属行业；且本项目位于四川达州普光经济开发区达州普光化工园区，园区已开展了规划环境影响评价，项目在生态红线管控区及人口</w:t>
                  </w:r>
                  <w:r>
                    <w:rPr>
                      <w:rFonts w:hint="eastAsia"/>
                      <w:color w:val="auto"/>
                      <w:lang w:eastAsia="zh-CN"/>
                    </w:rPr>
                    <w:t>集聚区</w:t>
                  </w:r>
                  <w:r>
                    <w:rPr>
                      <w:rFonts w:hint="default"/>
                      <w:color w:val="auto"/>
                    </w:rPr>
                    <w:t>。</w:t>
                  </w:r>
                </w:p>
              </w:tc>
              <w:tc>
                <w:tcPr>
                  <w:tcW w:w="486" w:type="pct"/>
                  <w:tcBorders>
                    <w:tl2br w:val="nil"/>
                    <w:tr2bl w:val="nil"/>
                  </w:tcBorders>
                  <w:vAlign w:val="center"/>
                </w:tcPr>
                <w:p w14:paraId="0DE77646">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3C46A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tcBorders>
                    <w:tl2br w:val="nil"/>
                    <w:tr2bl w:val="nil"/>
                  </w:tcBorders>
                  <w:vAlign w:val="center"/>
                </w:tcPr>
                <w:p w14:paraId="717B6D6C">
                  <w:pPr>
                    <w:pStyle w:val="28"/>
                    <w:keepNext w:val="0"/>
                    <w:keepLines w:val="0"/>
                    <w:suppressLineNumbers w:val="0"/>
                    <w:spacing w:before="0" w:beforeAutospacing="0" w:after="0" w:afterAutospacing="0"/>
                    <w:ind w:left="0" w:right="0"/>
                    <w:rPr>
                      <w:rFonts w:hint="default"/>
                      <w:color w:val="auto"/>
                    </w:rPr>
                  </w:pPr>
                  <w:r>
                    <w:rPr>
                      <w:rFonts w:hint="default"/>
                      <w:color w:val="auto"/>
                    </w:rPr>
                    <w:t>《达州市土壤污染防治行动计划工作方案》（达市府发〔2017〕29号）</w:t>
                  </w:r>
                </w:p>
              </w:tc>
              <w:tc>
                <w:tcPr>
                  <w:tcW w:w="2285" w:type="pct"/>
                  <w:tcBorders>
                    <w:tl2br w:val="nil"/>
                    <w:tr2bl w:val="nil"/>
                  </w:tcBorders>
                  <w:vAlign w:val="center"/>
                </w:tcPr>
                <w:p w14:paraId="58DC0899">
                  <w:pPr>
                    <w:pStyle w:val="28"/>
                    <w:keepNext w:val="0"/>
                    <w:keepLines w:val="0"/>
                    <w:suppressLineNumbers w:val="0"/>
                    <w:spacing w:before="0" w:beforeAutospacing="0" w:after="0" w:afterAutospacing="0"/>
                    <w:ind w:left="0" w:right="0"/>
                    <w:rPr>
                      <w:rFonts w:hint="default"/>
                      <w:color w:val="auto"/>
                    </w:rPr>
                  </w:pPr>
                  <w:r>
                    <w:rPr>
                      <w:rFonts w:hint="default"/>
                      <w:color w:val="auto"/>
                    </w:rPr>
                    <w:t>防范建设用地新增污染。……严格环境准入，防止新建项目对土壤造成污染。从2018年起，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风险管控、污染防治措施落实情况的监督管理工作。</w:t>
                  </w:r>
                </w:p>
              </w:tc>
              <w:tc>
                <w:tcPr>
                  <w:tcW w:w="1598" w:type="pct"/>
                  <w:tcBorders>
                    <w:tl2br w:val="nil"/>
                    <w:tr2bl w:val="nil"/>
                  </w:tcBorders>
                  <w:vAlign w:val="center"/>
                </w:tcPr>
                <w:p w14:paraId="087D708F">
                  <w:pPr>
                    <w:pStyle w:val="28"/>
                    <w:keepNext w:val="0"/>
                    <w:keepLines w:val="0"/>
                    <w:suppressLineNumbers w:val="0"/>
                    <w:spacing w:before="0" w:beforeAutospacing="0" w:after="0" w:afterAutospacing="0"/>
                    <w:ind w:left="0" w:right="0"/>
                    <w:rPr>
                      <w:rFonts w:hint="default"/>
                      <w:color w:val="auto"/>
                    </w:rPr>
                  </w:pPr>
                  <w:r>
                    <w:rPr>
                      <w:rFonts w:hint="default"/>
                      <w:color w:val="auto"/>
                    </w:rPr>
                    <w:t>项目属于食品级硫磺、工业级硫磺等产品生产项目，项目排放常规污染物，不排放重点污染物，故不需要增加土壤环境影响评价内容。</w:t>
                  </w:r>
                </w:p>
                <w:p w14:paraId="1383BE10">
                  <w:pPr>
                    <w:pStyle w:val="28"/>
                    <w:keepNext w:val="0"/>
                    <w:keepLines w:val="0"/>
                    <w:suppressLineNumbers w:val="0"/>
                    <w:spacing w:before="0" w:beforeAutospacing="0" w:after="0" w:afterAutospacing="0"/>
                    <w:ind w:left="0" w:right="0"/>
                    <w:rPr>
                      <w:rFonts w:hint="default"/>
                      <w:color w:val="auto"/>
                    </w:rPr>
                  </w:pPr>
                  <w:r>
                    <w:rPr>
                      <w:rFonts w:hint="default"/>
                      <w:color w:val="auto"/>
                    </w:rPr>
                    <w:t>项目在建设过程中将采取分区防渗等措施，防止地下水和土壤污染。</w:t>
                  </w:r>
                </w:p>
              </w:tc>
              <w:tc>
                <w:tcPr>
                  <w:tcW w:w="486" w:type="pct"/>
                  <w:tcBorders>
                    <w:tl2br w:val="nil"/>
                    <w:tr2bl w:val="nil"/>
                  </w:tcBorders>
                  <w:vAlign w:val="center"/>
                </w:tcPr>
                <w:p w14:paraId="797372D4">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bl>
          <w:p w14:paraId="59EC5C8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因此，本项目符合《中华人民共和国土壤污染防治法》《土壤污染防治行动计划》（国发</w:t>
            </w:r>
            <w:r>
              <w:rPr>
                <w:rFonts w:hint="eastAsia" w:cs="Times New Roman"/>
                <w:color w:val="auto"/>
              </w:rPr>
              <w:t>〔2016〕31号</w:t>
            </w:r>
            <w:r>
              <w:rPr>
                <w:rFonts w:hint="default" w:cs="Times New Roman"/>
                <w:color w:val="auto"/>
              </w:rPr>
              <w:t>）中相关要求。</w:t>
            </w:r>
          </w:p>
          <w:p w14:paraId="403BF94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四、项目与所在区域生态环境分区管控要求符合性分析</w:t>
            </w:r>
          </w:p>
          <w:p w14:paraId="4D8F681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（1）与达州市“生态环境分区管控”要求的符合性</w:t>
            </w:r>
          </w:p>
          <w:p w14:paraId="4CADF2A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根据《达州市2023年生态环境分区管控成果动态更新情况说明》（达州市生态环境局，2024年3月），达州市生态空间管控分区数量共计85个。其中生态保护红线管控区分区数量34个，生态保护红线面积1202.83km</w:t>
            </w:r>
            <w:r>
              <w:rPr>
                <w:rFonts w:hint="default" w:cs="Times New Roman"/>
                <w:color w:val="auto"/>
                <w:vertAlign w:val="superscript"/>
              </w:rPr>
              <w:t>2</w:t>
            </w:r>
            <w:r>
              <w:rPr>
                <w:rFonts w:hint="default" w:cs="Times New Roman"/>
                <w:color w:val="auto"/>
              </w:rPr>
              <w:t>，占达州市国土面积比例的7.26%；一般生态空间管控区分区数量51个，一般生态空间面积3125.7km</w:t>
            </w:r>
            <w:r>
              <w:rPr>
                <w:rFonts w:hint="default" w:cs="Times New Roman"/>
                <w:color w:val="auto"/>
                <w:vertAlign w:val="superscript"/>
              </w:rPr>
              <w:t>2</w:t>
            </w:r>
            <w:r>
              <w:rPr>
                <w:rFonts w:hint="default" w:cs="Times New Roman"/>
                <w:color w:val="auto"/>
              </w:rPr>
              <w:t>，占达州市国土面积比例的18.87%。达州市生态保护红线分布情况如下。</w:t>
            </w:r>
          </w:p>
          <w:p w14:paraId="183E2F59">
            <w:pPr>
              <w:keepNext w:val="0"/>
              <w:keepLines w:val="0"/>
              <w:suppressLineNumbers w:val="0"/>
              <w:spacing w:before="0" w:beforeAutospacing="0" w:after="0" w:afterAutospacing="0"/>
              <w:ind w:left="0" w:right="0" w:firstLine="480"/>
              <w:rPr>
                <w:rFonts w:hint="default" w:cs="Times New Roman"/>
                <w:color w:val="auto"/>
              </w:rPr>
            </w:pPr>
          </w:p>
          <w:p w14:paraId="30E1D457">
            <w:pPr>
              <w:keepNext w:val="0"/>
              <w:keepLines w:val="0"/>
              <w:suppressLineNumbers w:val="0"/>
              <w:spacing w:before="0" w:beforeAutospacing="0" w:after="0" w:afterAutospacing="0"/>
              <w:ind w:left="0" w:right="0" w:firstLine="480"/>
              <w:rPr>
                <w:rFonts w:hint="default" w:cs="Times New Roman"/>
                <w:color w:val="auto"/>
              </w:rPr>
            </w:pPr>
          </w:p>
          <w:p w14:paraId="307AD21F">
            <w:pPr>
              <w:keepNext w:val="0"/>
              <w:keepLines w:val="0"/>
              <w:suppressLineNumbers w:val="0"/>
              <w:spacing w:before="0" w:beforeAutospacing="0" w:after="0" w:afterAutospacing="0"/>
              <w:ind w:left="0" w:right="0" w:firstLine="480"/>
              <w:rPr>
                <w:rFonts w:hint="default" w:cs="Times New Roman"/>
                <w:color w:val="auto"/>
              </w:rPr>
            </w:pPr>
          </w:p>
          <w:p w14:paraId="455C5DBB">
            <w:pPr>
              <w:keepNext w:val="0"/>
              <w:keepLines w:val="0"/>
              <w:suppressLineNumbers w:val="0"/>
              <w:spacing w:before="0" w:beforeAutospacing="0" w:after="0" w:afterAutospacing="0"/>
              <w:ind w:left="0" w:right="0" w:firstLine="480"/>
              <w:rPr>
                <w:rFonts w:hint="default" w:cs="Times New Roman"/>
                <w:color w:val="auto"/>
              </w:rPr>
            </w:pPr>
          </w:p>
          <w:p w14:paraId="7D38C8CA">
            <w:pPr>
              <w:keepNext w:val="0"/>
              <w:keepLines w:val="0"/>
              <w:suppressLineNumbers w:val="0"/>
              <w:spacing w:before="0" w:beforeAutospacing="0" w:after="0" w:afterAutospacing="0"/>
              <w:ind w:left="0" w:right="0" w:firstLine="480"/>
              <w:rPr>
                <w:rFonts w:hint="default" w:cs="Times New Roman"/>
                <w:color w:val="auto"/>
              </w:rPr>
            </w:pPr>
          </w:p>
          <w:p w14:paraId="0622662F">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cs="Times New Roman"/>
                <w:color w:val="auto"/>
                <w:kern w:val="0"/>
                <w:szCs w:val="21"/>
              </w:rPr>
            </w:pPr>
            <w:r>
              <w:rPr>
                <w:rFonts w:hint="default" w:cs="Times New Roman"/>
                <w:color w:val="auto"/>
              </w:rPr>
              <mc:AlternateContent>
                <mc:Choice Requires="wps">
                  <w:drawing>
                    <wp:anchor distT="0" distB="0" distL="114300" distR="114300" simplePos="0" relativeHeight="251664384" behindDoc="0" locked="0" layoutInCell="1" allowOverlap="1">
                      <wp:simplePos x="0" y="0"/>
                      <wp:positionH relativeFrom="column">
                        <wp:posOffset>629920</wp:posOffset>
                      </wp:positionH>
                      <wp:positionV relativeFrom="paragraph">
                        <wp:posOffset>420370</wp:posOffset>
                      </wp:positionV>
                      <wp:extent cx="925830" cy="357505"/>
                      <wp:effectExtent l="4445" t="4445" r="517525" b="666750"/>
                      <wp:wrapNone/>
                      <wp:docPr id="52" name="自选图形 214"/>
                      <wp:cNvGraphicFramePr/>
                      <a:graphic xmlns:a="http://schemas.openxmlformats.org/drawingml/2006/main">
                        <a:graphicData uri="http://schemas.microsoft.com/office/word/2010/wordprocessingShape">
                          <wps:wsp>
                            <wps:cNvSpPr/>
                            <wps:spPr>
                              <a:xfrm>
                                <a:off x="0" y="0"/>
                                <a:ext cx="925830" cy="357505"/>
                              </a:xfrm>
                              <a:prstGeom prst="wedgeRectCallout">
                                <a:avLst>
                                  <a:gd name="adj1" fmla="val 102537"/>
                                  <a:gd name="adj2" fmla="val 227442"/>
                                </a:avLst>
                              </a:prstGeom>
                              <a:solidFill>
                                <a:srgbClr val="FFFF99"/>
                              </a:solidFill>
                              <a:ln w="3175" cap="flat" cmpd="sng">
                                <a:solidFill>
                                  <a:srgbClr val="FF0000"/>
                                </a:solidFill>
                                <a:prstDash val="solid"/>
                                <a:miter/>
                                <a:headEnd type="none" w="med" len="med"/>
                                <a:tailEnd type="none" w="med" len="med"/>
                              </a:ln>
                            </wps:spPr>
                            <wps:txbx>
                              <w:txbxContent>
                                <w:p w14:paraId="78A2F3FE">
                                  <w:pPr>
                                    <w:ind w:firstLine="0" w:firstLineChars="0"/>
                                    <w:jc w:val="center"/>
                                  </w:pPr>
                                  <w:r>
                                    <w:rPr>
                                      <w:rFonts w:hint="eastAsia"/>
                                    </w:rPr>
                                    <w:t>项目所在地</w:t>
                                  </w:r>
                                </w:p>
                              </w:txbxContent>
                            </wps:txbx>
                            <wps:bodyPr wrap="square" lIns="0" tIns="36000" rIns="0" bIns="36000" upright="1"/>
                          </wps:wsp>
                        </a:graphicData>
                      </a:graphic>
                    </wp:anchor>
                  </w:drawing>
                </mc:Choice>
                <mc:Fallback>
                  <w:pict>
                    <v:shape id="自选图形 214" o:spid="_x0000_s1026" o:spt="61" type="#_x0000_t61" style="position:absolute;left:0pt;margin-left:49.6pt;margin-top:33.1pt;height:28.15pt;width:72.9pt;z-index:251664384;mso-width-relative:page;mso-height-relative:page;" fillcolor="#FFFF99" filled="t" stroked="t" coordsize="21600,21600" o:gfxdata="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xVBJrW&#10;AAAACQEAAA8AAAAAAAAAAQAgAAAAIgAAAGRycy9kb3ducmV2LnhtbFBLAQIUABQAAAAIAIdO4kDC&#10;LrXCWwIAAMoEAAAOAAAAAAAAAAEAIAAAACUBAABkcnMvZTJvRG9jLnhtbFBLBQYAAAAABgAGAFkB&#10;AADyBQAAAAA=&#10;" adj="32948,59927">
                      <v:fill on="t" focussize="0,0"/>
                      <v:stroke weight="0.25pt" color="#FF0000" joinstyle="miter"/>
                      <v:imagedata o:title=""/>
                      <o:lock v:ext="edit" aspectratio="f"/>
                      <v:textbox inset="0mm,1mm,0mm,1mm">
                        <w:txbxContent>
                          <w:p w14:paraId="78A2F3FE">
                            <w:pPr>
                              <w:ind w:firstLine="0" w:firstLineChars="0"/>
                              <w:jc w:val="center"/>
                            </w:pPr>
                            <w:r>
                              <w:rPr>
                                <w:rFonts w:hint="eastAsia"/>
                              </w:rPr>
                              <w:t>项目所在地</w:t>
                            </w:r>
                          </w:p>
                        </w:txbxContent>
                      </v:textbox>
                    </v:shape>
                  </w:pict>
                </mc:Fallback>
              </mc:AlternateContent>
            </w:r>
            <w:r>
              <w:rPr>
                <w:rFonts w:hint="default" w:cs="Times New Roman"/>
                <w:color w:val="auto"/>
              </w:rPr>
              <w:drawing>
                <wp:inline distT="0" distB="0" distL="114300" distR="114300">
                  <wp:extent cx="4773930" cy="3114675"/>
                  <wp:effectExtent l="0" t="0" r="7620" b="9525"/>
                  <wp:docPr id="24"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82"/>
                          <pic:cNvPicPr>
                            <a:picLocks noChangeAspect="1"/>
                          </pic:cNvPicPr>
                        </pic:nvPicPr>
                        <pic:blipFill>
                          <a:blip r:embed="rId16"/>
                          <a:stretch>
                            <a:fillRect/>
                          </a:stretch>
                        </pic:blipFill>
                        <pic:spPr>
                          <a:xfrm>
                            <a:off x="0" y="0"/>
                            <a:ext cx="4773930" cy="3114675"/>
                          </a:xfrm>
                          <a:prstGeom prst="rect">
                            <a:avLst/>
                          </a:prstGeom>
                          <a:noFill/>
                          <a:ln>
                            <a:noFill/>
                          </a:ln>
                        </pic:spPr>
                      </pic:pic>
                    </a:graphicData>
                  </a:graphic>
                </wp:inline>
              </w:drawing>
            </w:r>
          </w:p>
          <w:p w14:paraId="5A78F377">
            <w:pPr>
              <w:keepNext w:val="0"/>
              <w:keepLines w:val="0"/>
              <w:suppressLineNumbers w:val="0"/>
              <w:tabs>
                <w:tab w:val="left" w:pos="2068"/>
                <w:tab w:val="center" w:pos="4065"/>
              </w:tabs>
              <w:autoSpaceDE w:val="0"/>
              <w:autoSpaceDN w:val="0"/>
              <w:adjustRightInd w:val="0"/>
              <w:snapToGrid w:val="0"/>
              <w:spacing w:before="0" w:beforeAutospacing="0" w:after="0" w:afterAutospacing="0" w:line="320" w:lineRule="exact"/>
              <w:ind w:left="0" w:right="0" w:firstLine="0" w:firstLineChars="0"/>
              <w:jc w:val="center"/>
              <w:rPr>
                <w:rFonts w:hint="default" w:eastAsia="黑体" w:cs="Times New Roman"/>
                <w:color w:val="auto"/>
                <w:kern w:val="0"/>
                <w:sz w:val="20"/>
                <w:szCs w:val="20"/>
                <w:lang w:val="zh-CN"/>
              </w:rPr>
            </w:pPr>
            <w:r>
              <w:rPr>
                <w:rFonts w:hint="default" w:eastAsia="黑体" w:cs="Times New Roman"/>
                <w:color w:val="auto"/>
                <w:kern w:val="0"/>
                <w:sz w:val="20"/>
                <w:szCs w:val="20"/>
                <w:lang w:bidi="ar"/>
              </w:rPr>
              <w:t>图1-1：项目与达州市生态保护红线分布图相对位置关系示意图</w:t>
            </w:r>
          </w:p>
          <w:p w14:paraId="1F493E59">
            <w:pPr>
              <w:keepNext w:val="0"/>
              <w:keepLines w:val="0"/>
              <w:suppressLineNumbers w:val="0"/>
              <w:spacing w:before="0" w:beforeAutospacing="0" w:after="0" w:afterAutospacing="0"/>
              <w:ind w:left="0" w:right="0" w:firstLine="480"/>
              <w:rPr>
                <w:rFonts w:hint="default" w:cs="Times New Roman"/>
                <w:color w:val="auto"/>
              </w:rPr>
            </w:pPr>
          </w:p>
          <w:p w14:paraId="27A2E4B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达州市生态空间分布图如下。</w:t>
            </w:r>
          </w:p>
          <w:p w14:paraId="0C747B43">
            <w:pPr>
              <w:keepNext w:val="0"/>
              <w:keepLines w:val="0"/>
              <w:suppressLineNumbers w:val="0"/>
              <w:autoSpaceDE w:val="0"/>
              <w:autoSpaceDN w:val="0"/>
              <w:adjustRightInd w:val="0"/>
              <w:snapToGrid w:val="0"/>
              <w:spacing w:before="0" w:beforeAutospacing="0" w:after="0" w:afterAutospacing="0" w:line="400" w:lineRule="exact"/>
              <w:ind w:left="0" w:right="0" w:firstLine="0" w:firstLineChars="0"/>
              <w:rPr>
                <w:rFonts w:hint="default" w:cs="Times New Roman"/>
                <w:color w:val="auto"/>
                <w:kern w:val="0"/>
                <w:szCs w:val="21"/>
              </w:rPr>
            </w:pPr>
          </w:p>
          <w:p w14:paraId="652278ED">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cs="Times New Roman"/>
                <w:color w:val="auto"/>
              </w:rPr>
            </w:pPr>
            <w:r>
              <w:rPr>
                <w:rFonts w:hint="default" w:cs="Times New Roman"/>
                <w:color w:val="auto"/>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403860</wp:posOffset>
                      </wp:positionV>
                      <wp:extent cx="925830" cy="357505"/>
                      <wp:effectExtent l="4445" t="4445" r="517525" b="666750"/>
                      <wp:wrapNone/>
                      <wp:docPr id="51" name="自选图形 214"/>
                      <wp:cNvGraphicFramePr/>
                      <a:graphic xmlns:a="http://schemas.openxmlformats.org/drawingml/2006/main">
                        <a:graphicData uri="http://schemas.microsoft.com/office/word/2010/wordprocessingShape">
                          <wps:wsp>
                            <wps:cNvSpPr/>
                            <wps:spPr>
                              <a:xfrm>
                                <a:off x="0" y="0"/>
                                <a:ext cx="925830" cy="357505"/>
                              </a:xfrm>
                              <a:prstGeom prst="wedgeRectCallout">
                                <a:avLst>
                                  <a:gd name="adj1" fmla="val 102537"/>
                                  <a:gd name="adj2" fmla="val 227442"/>
                                </a:avLst>
                              </a:prstGeom>
                              <a:solidFill>
                                <a:srgbClr val="FFFF99"/>
                              </a:solidFill>
                              <a:ln w="3175" cap="flat" cmpd="sng">
                                <a:solidFill>
                                  <a:srgbClr val="FF0000"/>
                                </a:solidFill>
                                <a:prstDash val="solid"/>
                                <a:miter/>
                                <a:headEnd type="none" w="med" len="med"/>
                                <a:tailEnd type="none" w="med" len="med"/>
                              </a:ln>
                            </wps:spPr>
                            <wps:txbx>
                              <w:txbxContent>
                                <w:p w14:paraId="642B26B8">
                                  <w:pPr>
                                    <w:ind w:firstLine="0" w:firstLineChars="0"/>
                                    <w:jc w:val="center"/>
                                  </w:pPr>
                                  <w:r>
                                    <w:rPr>
                                      <w:rFonts w:hint="eastAsia"/>
                                    </w:rPr>
                                    <w:t>项目所在地</w:t>
                                  </w:r>
                                </w:p>
                              </w:txbxContent>
                            </wps:txbx>
                            <wps:bodyPr wrap="square" lIns="0" tIns="36000" rIns="0" bIns="36000" upright="1"/>
                          </wps:wsp>
                        </a:graphicData>
                      </a:graphic>
                    </wp:anchor>
                  </w:drawing>
                </mc:Choice>
                <mc:Fallback>
                  <w:pict>
                    <v:shape id="自选图形 214" o:spid="_x0000_s1026" o:spt="61" type="#_x0000_t61" style="position:absolute;left:0pt;margin-left:36pt;margin-top:31.8pt;height:28.15pt;width:72.9pt;z-index:251663360;mso-width-relative:page;mso-height-relative:page;" fillcolor="#FFFF99" filled="t" stroked="t" coordsize="21600,21600" o:gfxdata="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X9tiNYA&#10;AAAJAQAADwAAAAAAAAABACAAAAAiAAAAZHJzL2Rvd25yZXYueG1sUEsBAhQAFAAAAAgAh07iQEBR&#10;Ht9aAgAAygQAAA4AAAAAAAAAAQAgAAAAJQEAAGRycy9lMm9Eb2MueG1sUEsFBgAAAAAGAAYAWQEA&#10;APEFAAAAAA==&#10;" adj="32948,59927">
                      <v:fill on="t" focussize="0,0"/>
                      <v:stroke weight="0.25pt" color="#FF0000" joinstyle="miter"/>
                      <v:imagedata o:title=""/>
                      <o:lock v:ext="edit" aspectratio="f"/>
                      <v:textbox inset="0mm,1mm,0mm,1mm">
                        <w:txbxContent>
                          <w:p w14:paraId="642B26B8">
                            <w:pPr>
                              <w:ind w:firstLine="0" w:firstLineChars="0"/>
                              <w:jc w:val="center"/>
                            </w:pPr>
                            <w:r>
                              <w:rPr>
                                <w:rFonts w:hint="eastAsia"/>
                              </w:rPr>
                              <w:t>项目所在地</w:t>
                            </w:r>
                          </w:p>
                        </w:txbxContent>
                      </v:textbox>
                    </v:shape>
                  </w:pict>
                </mc:Fallback>
              </mc:AlternateContent>
            </w:r>
            <w:r>
              <w:rPr>
                <w:rFonts w:hint="default" w:cs="Times New Roman"/>
                <w:color w:val="auto"/>
              </w:rPr>
              <w:drawing>
                <wp:inline distT="0" distB="0" distL="114300" distR="114300">
                  <wp:extent cx="4792345" cy="3143250"/>
                  <wp:effectExtent l="0" t="0" r="8255" b="0"/>
                  <wp:docPr id="17"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73"/>
                          <pic:cNvPicPr>
                            <a:picLocks noChangeAspect="1"/>
                          </pic:cNvPicPr>
                        </pic:nvPicPr>
                        <pic:blipFill>
                          <a:blip r:embed="rId17"/>
                          <a:stretch>
                            <a:fillRect/>
                          </a:stretch>
                        </pic:blipFill>
                        <pic:spPr>
                          <a:xfrm>
                            <a:off x="0" y="0"/>
                            <a:ext cx="4792345" cy="3143250"/>
                          </a:xfrm>
                          <a:prstGeom prst="rect">
                            <a:avLst/>
                          </a:prstGeom>
                          <a:noFill/>
                          <a:ln>
                            <a:noFill/>
                          </a:ln>
                        </pic:spPr>
                      </pic:pic>
                    </a:graphicData>
                  </a:graphic>
                </wp:inline>
              </w:drawing>
            </w:r>
          </w:p>
          <w:p w14:paraId="774CF1EB">
            <w:pPr>
              <w:keepNext w:val="0"/>
              <w:keepLines w:val="0"/>
              <w:suppressLineNumbers w:val="0"/>
              <w:tabs>
                <w:tab w:val="left" w:pos="2068"/>
                <w:tab w:val="center" w:pos="4065"/>
              </w:tabs>
              <w:autoSpaceDE w:val="0"/>
              <w:autoSpaceDN w:val="0"/>
              <w:adjustRightInd w:val="0"/>
              <w:snapToGrid w:val="0"/>
              <w:spacing w:before="0" w:beforeAutospacing="0" w:after="0" w:afterAutospacing="0" w:line="320" w:lineRule="exact"/>
              <w:ind w:left="0" w:right="0" w:firstLine="0" w:firstLineChars="0"/>
              <w:jc w:val="center"/>
              <w:rPr>
                <w:rFonts w:hint="default" w:eastAsia="黑体" w:cs="Times New Roman"/>
                <w:color w:val="auto"/>
                <w:kern w:val="0"/>
                <w:sz w:val="20"/>
                <w:szCs w:val="20"/>
                <w:lang w:bidi="ar"/>
              </w:rPr>
            </w:pPr>
            <w:r>
              <w:rPr>
                <w:rFonts w:hint="default" w:eastAsia="黑体" w:cs="Times New Roman"/>
                <w:color w:val="auto"/>
                <w:kern w:val="0"/>
                <w:sz w:val="20"/>
                <w:szCs w:val="20"/>
                <w:lang w:bidi="ar"/>
              </w:rPr>
              <w:t>图1-2：项目与达州市生态空间分布图相对位置关系示意图</w:t>
            </w:r>
          </w:p>
          <w:p w14:paraId="0D7B0B0C">
            <w:pPr>
              <w:keepNext w:val="0"/>
              <w:keepLines w:val="0"/>
              <w:suppressLineNumbers w:val="0"/>
              <w:spacing w:before="0" w:beforeAutospacing="0" w:after="0" w:afterAutospacing="0"/>
              <w:ind w:left="0" w:right="0" w:firstLine="480"/>
              <w:rPr>
                <w:rFonts w:hint="default" w:cs="Times New Roman"/>
                <w:color w:val="auto"/>
                <w:lang w:val="zh-CN"/>
              </w:rPr>
            </w:pPr>
            <w:r>
              <w:rPr>
                <w:rFonts w:hint="default" w:cs="Times New Roman"/>
                <w:color w:val="auto"/>
                <w:lang w:val="zh-CN"/>
              </w:rPr>
              <w:t>通过与达州市生态保护红线图（调整后）对比分析，本项目不涉及达州市生态保护红线、不在生态空间范围内，也不涉及自然保护地。</w:t>
            </w:r>
          </w:p>
          <w:p w14:paraId="561F64C0">
            <w:pPr>
              <w:keepNext w:val="0"/>
              <w:keepLines w:val="0"/>
              <w:suppressLineNumbers w:val="0"/>
              <w:spacing w:before="0" w:beforeAutospacing="0" w:after="0" w:afterAutospacing="0"/>
              <w:ind w:left="0" w:right="0" w:firstLine="480"/>
              <w:rPr>
                <w:rFonts w:hint="default" w:cs="Times New Roman"/>
                <w:color w:val="auto"/>
                <w:lang w:val="zh-CN"/>
              </w:rPr>
            </w:pPr>
            <w:r>
              <w:rPr>
                <w:rFonts w:hint="default" w:cs="Times New Roman"/>
                <w:color w:val="auto"/>
                <w:lang w:val="zh-CN"/>
              </w:rPr>
              <w:t>综上，本项目所在区域属于工业重点管控单元，不在饮用水源保护区、自然保护区、风景名胜区等各类生态保护红线范围内。</w:t>
            </w:r>
          </w:p>
          <w:p w14:paraId="3206E38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（2）项目所属环境管控单元</w:t>
            </w:r>
          </w:p>
          <w:p w14:paraId="6426F2C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根据达州市人民政府《关于加强生态环境分区管控的通知》（达市府办函〔2024〕31号），达州市共划定47个综合环境管控单元，分为优先保护单元、重点管控单元及一般管控单元。</w:t>
            </w:r>
          </w:p>
          <w:p w14:paraId="78A54FD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优先保护单元。以生态环境保护为主的区域，全市划分优先保护单元18个，主要包括生态保护红线、自然保护地、饮用水水源保护区等。</w:t>
            </w:r>
          </w:p>
          <w:p w14:paraId="4D34799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重点管控单元。涉及水、大气、土壤、自然资源等资源环境要素重点管控的区域，全市划分重点管控单元22个，主要包括人口密集的城镇规划区和产业集聚的工业园区（工业集聚区）等。</w:t>
            </w:r>
          </w:p>
          <w:p w14:paraId="462F681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一般管控单元。除优先保护单元和重点管控单元之外的其他区域，全市共划分一般管控单元7个。</w:t>
            </w:r>
          </w:p>
          <w:p w14:paraId="5138CB6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本项目位于达州普光化工园区，通过四川省政务服务网“生态环境分区管控符合性分析”系统查询结果，本项目位于宣汉县工业重点管控单元，共涉及5个环境管控单元，查询过程及涉及的管控单元见后文。</w:t>
            </w:r>
          </w:p>
          <w:p w14:paraId="64E6C779">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drawing>
                <wp:inline distT="0" distB="0" distL="114300" distR="114300">
                  <wp:extent cx="4798695" cy="3533775"/>
                  <wp:effectExtent l="0" t="0" r="1905"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8"/>
                          <a:stretch>
                            <a:fillRect/>
                          </a:stretch>
                        </pic:blipFill>
                        <pic:spPr>
                          <a:xfrm>
                            <a:off x="0" y="0"/>
                            <a:ext cx="4798695" cy="3533775"/>
                          </a:xfrm>
                          <a:prstGeom prst="rect">
                            <a:avLst/>
                          </a:prstGeom>
                          <a:noFill/>
                          <a:ln>
                            <a:noFill/>
                          </a:ln>
                        </pic:spPr>
                      </pic:pic>
                    </a:graphicData>
                  </a:graphic>
                </wp:inline>
              </w:drawing>
            </w:r>
          </w:p>
          <w:p w14:paraId="2136B280">
            <w:pPr>
              <w:keepNext w:val="0"/>
              <w:keepLines w:val="0"/>
              <w:suppressLineNumbers w:val="0"/>
              <w:tabs>
                <w:tab w:val="left" w:pos="2068"/>
                <w:tab w:val="center" w:pos="4065"/>
              </w:tabs>
              <w:autoSpaceDE w:val="0"/>
              <w:autoSpaceDN w:val="0"/>
              <w:adjustRightInd w:val="0"/>
              <w:snapToGrid w:val="0"/>
              <w:spacing w:before="0" w:beforeAutospacing="0" w:after="0" w:afterAutospacing="0" w:line="320" w:lineRule="exact"/>
              <w:ind w:left="0" w:right="0" w:firstLine="0" w:firstLineChars="0"/>
              <w:jc w:val="center"/>
              <w:rPr>
                <w:rFonts w:hint="default" w:eastAsia="黑体" w:cs="Times New Roman"/>
                <w:color w:val="auto"/>
                <w:kern w:val="0"/>
                <w:sz w:val="20"/>
                <w:szCs w:val="20"/>
                <w:lang w:bidi="ar"/>
              </w:rPr>
            </w:pPr>
            <w:r>
              <w:rPr>
                <w:rFonts w:hint="default" w:eastAsia="黑体" w:cs="Times New Roman"/>
                <w:color w:val="auto"/>
                <w:kern w:val="0"/>
                <w:sz w:val="20"/>
                <w:szCs w:val="20"/>
                <w:lang w:bidi="ar"/>
              </w:rPr>
              <w:t>图1-3：项目生态环境分区管控符合性查询截图</w:t>
            </w:r>
          </w:p>
          <w:p w14:paraId="522A4D89">
            <w:pPr>
              <w:keepNext w:val="0"/>
              <w:keepLines w:val="0"/>
              <w:suppressLineNumbers w:val="0"/>
              <w:tabs>
                <w:tab w:val="left" w:pos="2068"/>
                <w:tab w:val="center" w:pos="4065"/>
              </w:tabs>
              <w:autoSpaceDE w:val="0"/>
              <w:autoSpaceDN w:val="0"/>
              <w:adjustRightInd w:val="0"/>
              <w:snapToGrid w:val="0"/>
              <w:spacing w:before="0" w:beforeAutospacing="0" w:after="0" w:afterAutospacing="0" w:line="320" w:lineRule="exact"/>
              <w:ind w:left="0" w:right="0" w:firstLine="0" w:firstLineChars="0"/>
              <w:jc w:val="center"/>
              <w:rPr>
                <w:rFonts w:hint="default" w:eastAsia="黑体" w:cs="Times New Roman"/>
                <w:color w:val="auto"/>
                <w:kern w:val="0"/>
                <w:sz w:val="20"/>
                <w:szCs w:val="20"/>
                <w:lang w:bidi="ar"/>
              </w:rPr>
            </w:pPr>
          </w:p>
          <w:p w14:paraId="4482781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根据查询结果，本项目涉及的环境管控单元情况见下表：</w:t>
            </w:r>
          </w:p>
          <w:p w14:paraId="034FD5E2">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本项目涉及环境管控单元情况一览表</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376"/>
              <w:gridCol w:w="935"/>
              <w:gridCol w:w="861"/>
              <w:gridCol w:w="1187"/>
              <w:gridCol w:w="1596"/>
            </w:tblGrid>
            <w:tr w14:paraId="375B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730FA1DA">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环境管控单元编码</w:t>
                  </w:r>
                </w:p>
              </w:tc>
              <w:tc>
                <w:tcPr>
                  <w:tcW w:w="1376" w:type="dxa"/>
                  <w:tcBorders>
                    <w:tl2br w:val="nil"/>
                    <w:tr2bl w:val="nil"/>
                  </w:tcBorders>
                  <w:vAlign w:val="center"/>
                </w:tcPr>
                <w:p w14:paraId="7BC652FA">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环境管控单元名称</w:t>
                  </w:r>
                </w:p>
              </w:tc>
              <w:tc>
                <w:tcPr>
                  <w:tcW w:w="932" w:type="dxa"/>
                  <w:tcBorders>
                    <w:tl2br w:val="nil"/>
                    <w:tr2bl w:val="nil"/>
                  </w:tcBorders>
                </w:tcPr>
                <w:p w14:paraId="5710C2CD">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所属市（州）</w:t>
                  </w:r>
                </w:p>
              </w:tc>
              <w:tc>
                <w:tcPr>
                  <w:tcW w:w="858" w:type="dxa"/>
                  <w:tcBorders>
                    <w:tl2br w:val="nil"/>
                    <w:tr2bl w:val="nil"/>
                  </w:tcBorders>
                </w:tcPr>
                <w:p w14:paraId="0D6241A7">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所属区县</w:t>
                  </w:r>
                </w:p>
              </w:tc>
              <w:tc>
                <w:tcPr>
                  <w:tcW w:w="1186" w:type="dxa"/>
                  <w:tcBorders>
                    <w:tl2br w:val="nil"/>
                    <w:tr2bl w:val="nil"/>
                  </w:tcBorders>
                  <w:vAlign w:val="center"/>
                </w:tcPr>
                <w:p w14:paraId="7E8EC919">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准入清单类型</w:t>
                  </w:r>
                </w:p>
              </w:tc>
              <w:tc>
                <w:tcPr>
                  <w:tcW w:w="1597" w:type="dxa"/>
                  <w:tcBorders>
                    <w:tl2br w:val="nil"/>
                    <w:tr2bl w:val="nil"/>
                  </w:tcBorders>
                  <w:vAlign w:val="center"/>
                </w:tcPr>
                <w:p w14:paraId="5DDC0352">
                  <w:pPr>
                    <w:keepNext w:val="0"/>
                    <w:keepLines w:val="0"/>
                    <w:widowControl/>
                    <w:suppressLineNumbers w:val="0"/>
                    <w:spacing w:before="0" w:beforeAutospacing="0" w:after="0" w:afterAutospacing="0" w:line="240" w:lineRule="auto"/>
                    <w:ind w:left="0" w:right="0" w:firstLine="0" w:firstLineChars="0"/>
                    <w:jc w:val="center"/>
                    <w:rPr>
                      <w:rFonts w:hint="default" w:eastAsia="仿宋" w:cs="Times New Roman"/>
                      <w:color w:val="auto"/>
                      <w:sz w:val="18"/>
                      <w:szCs w:val="18"/>
                    </w:rPr>
                  </w:pPr>
                  <w:r>
                    <w:rPr>
                      <w:rFonts w:hint="default" w:eastAsia="仿宋" w:cs="Times New Roman"/>
                      <w:b/>
                      <w:bCs/>
                      <w:color w:val="auto"/>
                      <w:kern w:val="0"/>
                      <w:sz w:val="18"/>
                      <w:szCs w:val="18"/>
                      <w:lang w:bidi="ar"/>
                    </w:rPr>
                    <w:t>管控类型</w:t>
                  </w:r>
                </w:p>
              </w:tc>
            </w:tr>
            <w:tr w14:paraId="677AB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4C2DBC5F">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YS5117222210001</w:t>
                  </w:r>
                </w:p>
              </w:tc>
              <w:tc>
                <w:tcPr>
                  <w:tcW w:w="1376" w:type="dxa"/>
                  <w:tcBorders>
                    <w:tl2br w:val="nil"/>
                    <w:tr2bl w:val="nil"/>
                  </w:tcBorders>
                  <w:vAlign w:val="center"/>
                </w:tcPr>
                <w:p w14:paraId="498771F0">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州河-宣汉县-张鼓坪-控制单元</w:t>
                  </w:r>
                </w:p>
              </w:tc>
              <w:tc>
                <w:tcPr>
                  <w:tcW w:w="932" w:type="dxa"/>
                  <w:tcBorders>
                    <w:tl2br w:val="nil"/>
                    <w:tr2bl w:val="nil"/>
                  </w:tcBorders>
                </w:tcPr>
                <w:p w14:paraId="6A993D8F">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达州市</w:t>
                  </w:r>
                </w:p>
              </w:tc>
              <w:tc>
                <w:tcPr>
                  <w:tcW w:w="858" w:type="dxa"/>
                  <w:tcBorders>
                    <w:tl2br w:val="nil"/>
                    <w:tr2bl w:val="nil"/>
                  </w:tcBorders>
                </w:tcPr>
                <w:p w14:paraId="789DE6EC">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w:t>
                  </w:r>
                </w:p>
              </w:tc>
              <w:tc>
                <w:tcPr>
                  <w:tcW w:w="1186" w:type="dxa"/>
                  <w:tcBorders>
                    <w:tl2br w:val="nil"/>
                    <w:tr2bl w:val="nil"/>
                  </w:tcBorders>
                  <w:vAlign w:val="center"/>
                </w:tcPr>
                <w:p w14:paraId="55EA7AF1">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水环境管控分区</w:t>
                  </w:r>
                </w:p>
              </w:tc>
              <w:tc>
                <w:tcPr>
                  <w:tcW w:w="1597" w:type="dxa"/>
                  <w:tcBorders>
                    <w:tl2br w:val="nil"/>
                    <w:tr2bl w:val="nil"/>
                  </w:tcBorders>
                  <w:vAlign w:val="center"/>
                </w:tcPr>
                <w:p w14:paraId="166EC218">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水环境工业污染重点管控区</w:t>
                  </w:r>
                </w:p>
              </w:tc>
            </w:tr>
            <w:tr w14:paraId="0F938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500609D5">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YS5117222310001</w:t>
                  </w:r>
                </w:p>
              </w:tc>
              <w:tc>
                <w:tcPr>
                  <w:tcW w:w="1376" w:type="dxa"/>
                  <w:tcBorders>
                    <w:tl2br w:val="nil"/>
                    <w:tr2bl w:val="nil"/>
                  </w:tcBorders>
                  <w:vAlign w:val="center"/>
                </w:tcPr>
                <w:p w14:paraId="5D36C05A">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四川达州普光经济开发区</w:t>
                  </w:r>
                </w:p>
              </w:tc>
              <w:tc>
                <w:tcPr>
                  <w:tcW w:w="932" w:type="dxa"/>
                  <w:tcBorders>
                    <w:tl2br w:val="nil"/>
                    <w:tr2bl w:val="nil"/>
                  </w:tcBorders>
                </w:tcPr>
                <w:p w14:paraId="59696184">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达州市</w:t>
                  </w:r>
                </w:p>
              </w:tc>
              <w:tc>
                <w:tcPr>
                  <w:tcW w:w="858" w:type="dxa"/>
                  <w:tcBorders>
                    <w:tl2br w:val="nil"/>
                    <w:tr2bl w:val="nil"/>
                  </w:tcBorders>
                </w:tcPr>
                <w:p w14:paraId="0D7DE8C4">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w:t>
                  </w:r>
                </w:p>
              </w:tc>
              <w:tc>
                <w:tcPr>
                  <w:tcW w:w="1186" w:type="dxa"/>
                  <w:tcBorders>
                    <w:tl2br w:val="nil"/>
                    <w:tr2bl w:val="nil"/>
                  </w:tcBorders>
                  <w:vAlign w:val="center"/>
                </w:tcPr>
                <w:p w14:paraId="4C2501B8">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大气环境管控分区</w:t>
                  </w:r>
                </w:p>
              </w:tc>
              <w:tc>
                <w:tcPr>
                  <w:tcW w:w="1597" w:type="dxa"/>
                  <w:tcBorders>
                    <w:tl2br w:val="nil"/>
                    <w:tr2bl w:val="nil"/>
                  </w:tcBorders>
                  <w:vAlign w:val="center"/>
                </w:tcPr>
                <w:p w14:paraId="6EB6FB5B">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大气环境高排放重点管控区</w:t>
                  </w:r>
                </w:p>
              </w:tc>
            </w:tr>
            <w:tr w14:paraId="54A6A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71626B89">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YS5117222530001</w:t>
                  </w:r>
                </w:p>
              </w:tc>
              <w:tc>
                <w:tcPr>
                  <w:tcW w:w="1376" w:type="dxa"/>
                  <w:tcBorders>
                    <w:tl2br w:val="nil"/>
                    <w:tr2bl w:val="nil"/>
                  </w:tcBorders>
                  <w:vAlign w:val="center"/>
                </w:tcPr>
                <w:p w14:paraId="72F91F5C">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宣汉县城镇开发边界</w:t>
                  </w:r>
                </w:p>
              </w:tc>
              <w:tc>
                <w:tcPr>
                  <w:tcW w:w="932" w:type="dxa"/>
                  <w:tcBorders>
                    <w:tl2br w:val="nil"/>
                    <w:tr2bl w:val="nil"/>
                  </w:tcBorders>
                </w:tcPr>
                <w:p w14:paraId="24F5DFA7">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达州市</w:t>
                  </w:r>
                </w:p>
              </w:tc>
              <w:tc>
                <w:tcPr>
                  <w:tcW w:w="858" w:type="dxa"/>
                  <w:tcBorders>
                    <w:tl2br w:val="nil"/>
                    <w:tr2bl w:val="nil"/>
                  </w:tcBorders>
                </w:tcPr>
                <w:p w14:paraId="7DB5CBDB">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w:t>
                  </w:r>
                </w:p>
              </w:tc>
              <w:tc>
                <w:tcPr>
                  <w:tcW w:w="1186" w:type="dxa"/>
                  <w:tcBorders>
                    <w:tl2br w:val="nil"/>
                    <w:tr2bl w:val="nil"/>
                  </w:tcBorders>
                  <w:vAlign w:val="center"/>
                </w:tcPr>
                <w:p w14:paraId="1BCD2D99">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资源管控分区</w:t>
                  </w:r>
                </w:p>
              </w:tc>
              <w:tc>
                <w:tcPr>
                  <w:tcW w:w="1597" w:type="dxa"/>
                  <w:tcBorders>
                    <w:tl2br w:val="nil"/>
                    <w:tr2bl w:val="nil"/>
                  </w:tcBorders>
                  <w:vAlign w:val="center"/>
                </w:tcPr>
                <w:p w14:paraId="1251479B">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土地资源重点管控区</w:t>
                  </w:r>
                </w:p>
              </w:tc>
            </w:tr>
            <w:tr w14:paraId="508F9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028E43BE">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YS5117222550001</w:t>
                  </w:r>
                </w:p>
              </w:tc>
              <w:tc>
                <w:tcPr>
                  <w:tcW w:w="1376" w:type="dxa"/>
                  <w:tcBorders>
                    <w:tl2br w:val="nil"/>
                    <w:tr2bl w:val="nil"/>
                  </w:tcBorders>
                  <w:vAlign w:val="center"/>
                </w:tcPr>
                <w:p w14:paraId="65DA142C">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宣汉县自然资源重点管控区</w:t>
                  </w:r>
                </w:p>
              </w:tc>
              <w:tc>
                <w:tcPr>
                  <w:tcW w:w="932" w:type="dxa"/>
                  <w:tcBorders>
                    <w:tl2br w:val="nil"/>
                    <w:tr2bl w:val="nil"/>
                  </w:tcBorders>
                </w:tcPr>
                <w:p w14:paraId="39D72E94">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达州市</w:t>
                  </w:r>
                </w:p>
              </w:tc>
              <w:tc>
                <w:tcPr>
                  <w:tcW w:w="858" w:type="dxa"/>
                  <w:tcBorders>
                    <w:tl2br w:val="nil"/>
                    <w:tr2bl w:val="nil"/>
                  </w:tcBorders>
                </w:tcPr>
                <w:p w14:paraId="2D1799DB">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w:t>
                  </w:r>
                </w:p>
              </w:tc>
              <w:tc>
                <w:tcPr>
                  <w:tcW w:w="1186" w:type="dxa"/>
                  <w:tcBorders>
                    <w:tl2br w:val="nil"/>
                    <w:tr2bl w:val="nil"/>
                  </w:tcBorders>
                  <w:vAlign w:val="center"/>
                </w:tcPr>
                <w:p w14:paraId="193B16C9">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资源管控分区</w:t>
                  </w:r>
                </w:p>
              </w:tc>
              <w:tc>
                <w:tcPr>
                  <w:tcW w:w="1597" w:type="dxa"/>
                  <w:tcBorders>
                    <w:tl2br w:val="nil"/>
                    <w:tr2bl w:val="nil"/>
                  </w:tcBorders>
                  <w:vAlign w:val="center"/>
                </w:tcPr>
                <w:p w14:paraId="15821E76">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自然资源重点管控区</w:t>
                  </w:r>
                </w:p>
              </w:tc>
            </w:tr>
            <w:tr w14:paraId="46BF0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697" w:type="dxa"/>
                  <w:tcBorders>
                    <w:tl2br w:val="nil"/>
                    <w:tr2bl w:val="nil"/>
                  </w:tcBorders>
                  <w:vAlign w:val="center"/>
                </w:tcPr>
                <w:p w14:paraId="3244B7AA">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ZH51172220002</w:t>
                  </w:r>
                </w:p>
              </w:tc>
              <w:tc>
                <w:tcPr>
                  <w:tcW w:w="1376" w:type="dxa"/>
                  <w:tcBorders>
                    <w:tl2br w:val="nil"/>
                    <w:tr2bl w:val="nil"/>
                  </w:tcBorders>
                  <w:vAlign w:val="center"/>
                </w:tcPr>
                <w:p w14:paraId="4E57F03D">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四川达州普光经济开发区</w:t>
                  </w:r>
                </w:p>
              </w:tc>
              <w:tc>
                <w:tcPr>
                  <w:tcW w:w="932" w:type="dxa"/>
                  <w:tcBorders>
                    <w:tl2br w:val="nil"/>
                    <w:tr2bl w:val="nil"/>
                  </w:tcBorders>
                </w:tcPr>
                <w:p w14:paraId="057F9BAC">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达州市</w:t>
                  </w:r>
                </w:p>
              </w:tc>
              <w:tc>
                <w:tcPr>
                  <w:tcW w:w="858" w:type="dxa"/>
                  <w:tcBorders>
                    <w:tl2br w:val="nil"/>
                    <w:tr2bl w:val="nil"/>
                  </w:tcBorders>
                </w:tcPr>
                <w:p w14:paraId="2A4635A6">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宣汉县</w:t>
                  </w:r>
                </w:p>
              </w:tc>
              <w:tc>
                <w:tcPr>
                  <w:tcW w:w="1186" w:type="dxa"/>
                  <w:tcBorders>
                    <w:tl2br w:val="nil"/>
                    <w:tr2bl w:val="nil"/>
                  </w:tcBorders>
                  <w:vAlign w:val="center"/>
                </w:tcPr>
                <w:p w14:paraId="16D29759">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环境综合管控单元</w:t>
                  </w:r>
                </w:p>
              </w:tc>
              <w:tc>
                <w:tcPr>
                  <w:tcW w:w="1597" w:type="dxa"/>
                  <w:tcBorders>
                    <w:tl2br w:val="nil"/>
                    <w:tr2bl w:val="nil"/>
                  </w:tcBorders>
                  <w:vAlign w:val="center"/>
                </w:tcPr>
                <w:p w14:paraId="090EF937">
                  <w:pPr>
                    <w:pStyle w:val="67"/>
                    <w:keepNext w:val="0"/>
                    <w:keepLines w:val="0"/>
                    <w:widowControl/>
                    <w:suppressLineNumbers w:val="0"/>
                    <w:spacing w:before="0" w:beforeAutospacing="0" w:after="0" w:afterAutospacing="0" w:line="240" w:lineRule="auto"/>
                    <w:ind w:left="0" w:right="0" w:firstLine="0" w:firstLineChars="0"/>
                    <w:jc w:val="left"/>
                    <w:rPr>
                      <w:rFonts w:hint="default"/>
                      <w:color w:val="auto"/>
                      <w:sz w:val="18"/>
                      <w:szCs w:val="18"/>
                    </w:rPr>
                  </w:pPr>
                  <w:r>
                    <w:rPr>
                      <w:rFonts w:hint="default"/>
                      <w:color w:val="auto"/>
                      <w:sz w:val="18"/>
                      <w:szCs w:val="18"/>
                    </w:rPr>
                    <w:t>环境综合管控单元工业重点管控单元</w:t>
                  </w:r>
                </w:p>
              </w:tc>
            </w:tr>
          </w:tbl>
          <w:p w14:paraId="27B0657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项目与管控单元相对位置如下图所示：（图中▼表示项目位置）</w:t>
            </w:r>
          </w:p>
          <w:p w14:paraId="31469D7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rPr>
            </w:pPr>
            <w:r>
              <w:rPr>
                <w:rFonts w:hint="default" w:cs="Times New Roman"/>
                <w:color w:val="auto"/>
              </w:rPr>
              <mc:AlternateContent>
                <mc:Choice Requires="wps">
                  <w:drawing>
                    <wp:anchor distT="0" distB="0" distL="114300" distR="114300" simplePos="0" relativeHeight="251662336" behindDoc="0" locked="0" layoutInCell="1" allowOverlap="1">
                      <wp:simplePos x="0" y="0"/>
                      <wp:positionH relativeFrom="column">
                        <wp:posOffset>452755</wp:posOffset>
                      </wp:positionH>
                      <wp:positionV relativeFrom="paragraph">
                        <wp:posOffset>119380</wp:posOffset>
                      </wp:positionV>
                      <wp:extent cx="925830" cy="357505"/>
                      <wp:effectExtent l="4445" t="4445" r="22225" b="419100"/>
                      <wp:wrapNone/>
                      <wp:docPr id="50" name="自选图形 214"/>
                      <wp:cNvGraphicFramePr/>
                      <a:graphic xmlns:a="http://schemas.openxmlformats.org/drawingml/2006/main">
                        <a:graphicData uri="http://schemas.microsoft.com/office/word/2010/wordprocessingShape">
                          <wps:wsp>
                            <wps:cNvSpPr/>
                            <wps:spPr>
                              <a:xfrm>
                                <a:off x="0" y="0"/>
                                <a:ext cx="925830" cy="357505"/>
                              </a:xfrm>
                              <a:prstGeom prst="wedgeRectCallout">
                                <a:avLst>
                                  <a:gd name="adj1" fmla="val -28189"/>
                                  <a:gd name="adj2" fmla="val 158170"/>
                                </a:avLst>
                              </a:prstGeom>
                              <a:solidFill>
                                <a:srgbClr val="FFFF99"/>
                              </a:solidFill>
                              <a:ln w="3175" cap="flat" cmpd="sng">
                                <a:solidFill>
                                  <a:srgbClr val="FF0000"/>
                                </a:solidFill>
                                <a:prstDash val="solid"/>
                                <a:miter/>
                                <a:headEnd type="none" w="med" len="med"/>
                                <a:tailEnd type="none" w="med" len="med"/>
                              </a:ln>
                            </wps:spPr>
                            <wps:txbx>
                              <w:txbxContent>
                                <w:p w14:paraId="79826BEC">
                                  <w:pPr>
                                    <w:ind w:firstLine="0" w:firstLineChars="0"/>
                                    <w:jc w:val="center"/>
                                  </w:pPr>
                                  <w:r>
                                    <w:rPr>
                                      <w:rFonts w:hint="eastAsia"/>
                                    </w:rPr>
                                    <w:t>项目所在地</w:t>
                                  </w:r>
                                </w:p>
                              </w:txbxContent>
                            </wps:txbx>
                            <wps:bodyPr wrap="square" lIns="0" tIns="36000" rIns="0" bIns="36000" upright="1"/>
                          </wps:wsp>
                        </a:graphicData>
                      </a:graphic>
                    </wp:anchor>
                  </w:drawing>
                </mc:Choice>
                <mc:Fallback>
                  <w:pict>
                    <v:shape id="自选图形 214" o:spid="_x0000_s1026" o:spt="61" type="#_x0000_t61" style="position:absolute;left:0pt;margin-left:35.65pt;margin-top:9.4pt;height:28.15pt;width:72.9pt;z-index:251662336;mso-width-relative:page;mso-height-relative:page;" fillcolor="#FFFF99" filled="t" stroked="t" coordsize="21600,21600" o:gfxdata="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8D&#10;ftcAAAAIAQAADwAAAAAAAAABACAAAAAiAAAAZHJzL2Rvd25yZXYueG1sUEsBAhQAFAAAAAgAh07i&#10;QMUo3MdcAgAAygQAAA4AAAAAAAAAAQAgAAAAJgEAAGRycy9lMm9Eb2MueG1sUEsFBgAAAAAGAAYA&#10;WQEAAPQFAAAAAA==&#10;" adj="4711,44965">
                      <v:fill on="t" focussize="0,0"/>
                      <v:stroke weight="0.25pt" color="#FF0000" joinstyle="miter"/>
                      <v:imagedata o:title=""/>
                      <o:lock v:ext="edit" aspectratio="f"/>
                      <v:textbox inset="0mm,1mm,0mm,1mm">
                        <w:txbxContent>
                          <w:p w14:paraId="79826BEC">
                            <w:pPr>
                              <w:ind w:firstLine="0" w:firstLineChars="0"/>
                              <w:jc w:val="center"/>
                            </w:pPr>
                            <w:r>
                              <w:rPr>
                                <w:rFonts w:hint="eastAsia"/>
                              </w:rPr>
                              <w:t>项目所在地</w:t>
                            </w:r>
                          </w:p>
                        </w:txbxContent>
                      </v:textbox>
                    </v:shape>
                  </w:pict>
                </mc:Fallback>
              </mc:AlternateContent>
            </w:r>
            <w:r>
              <w:rPr>
                <w:rFonts w:hint="default" w:cs="Times New Roman"/>
                <w:color w:val="auto"/>
                <w:sz w:val="28"/>
                <w:szCs w:val="28"/>
              </w:rPr>
              <w:drawing>
                <wp:inline distT="0" distB="0" distL="114300" distR="114300">
                  <wp:extent cx="4772025" cy="3370580"/>
                  <wp:effectExtent l="0" t="0" r="9525" b="127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9"/>
                          <a:stretch>
                            <a:fillRect/>
                          </a:stretch>
                        </pic:blipFill>
                        <pic:spPr>
                          <a:xfrm>
                            <a:off x="0" y="0"/>
                            <a:ext cx="4772025" cy="3370580"/>
                          </a:xfrm>
                          <a:prstGeom prst="rect">
                            <a:avLst/>
                          </a:prstGeom>
                          <a:noFill/>
                          <a:ln>
                            <a:noFill/>
                          </a:ln>
                        </pic:spPr>
                      </pic:pic>
                    </a:graphicData>
                  </a:graphic>
                </wp:inline>
              </w:drawing>
            </w:r>
          </w:p>
          <w:p w14:paraId="2F97C8C2">
            <w:pPr>
              <w:pStyle w:val="39"/>
              <w:keepNext w:val="0"/>
              <w:keepLines w:val="0"/>
              <w:suppressLineNumbers w:val="0"/>
              <w:tabs>
                <w:tab w:val="left" w:pos="0"/>
              </w:tabs>
              <w:spacing w:before="0" w:beforeAutospacing="0" w:after="0" w:afterAutospacing="0"/>
              <w:ind w:left="0" w:right="0"/>
              <w:rPr>
                <w:rFonts w:hint="default" w:cs="Times New Roman"/>
                <w:color w:val="auto"/>
                <w:kern w:val="0"/>
                <w:sz w:val="20"/>
                <w:szCs w:val="20"/>
                <w:lang w:bidi="ar"/>
              </w:rPr>
            </w:pPr>
            <w:r>
              <w:rPr>
                <w:rFonts w:hint="default" w:cs="Times New Roman"/>
                <w:color w:val="auto"/>
                <w:kern w:val="0"/>
                <w:sz w:val="20"/>
                <w:szCs w:val="20"/>
                <w:lang w:bidi="ar"/>
              </w:rPr>
              <w:t>图1-4：项目与环境管控单元相对位置关系示意图</w:t>
            </w:r>
          </w:p>
          <w:p w14:paraId="140E072F">
            <w:pPr>
              <w:keepNext w:val="0"/>
              <w:keepLines w:val="0"/>
              <w:suppressLineNumbers w:val="0"/>
              <w:spacing w:before="0" w:beforeAutospacing="0" w:after="0" w:afterAutospacing="0" w:line="240" w:lineRule="auto"/>
              <w:ind w:left="0" w:right="0" w:firstLine="0" w:firstLineChars="0"/>
              <w:rPr>
                <w:rFonts w:hint="default" w:eastAsia="黑体" w:cs="Times New Roman"/>
                <w:color w:val="auto"/>
                <w:kern w:val="0"/>
                <w:sz w:val="20"/>
                <w:szCs w:val="20"/>
                <w:lang w:bidi="ar"/>
              </w:rPr>
            </w:pPr>
            <w:r>
              <w:rPr>
                <w:rFonts w:hint="default" w:cs="Times New Roman"/>
                <w:color w:val="auto"/>
              </w:rPr>
              <mc:AlternateContent>
                <mc:Choice Requires="wps">
                  <w:drawing>
                    <wp:anchor distT="0" distB="0" distL="114300" distR="114300" simplePos="0" relativeHeight="251661312" behindDoc="0" locked="0" layoutInCell="1" allowOverlap="1">
                      <wp:simplePos x="0" y="0"/>
                      <wp:positionH relativeFrom="column">
                        <wp:posOffset>1868805</wp:posOffset>
                      </wp:positionH>
                      <wp:positionV relativeFrom="paragraph">
                        <wp:posOffset>231775</wp:posOffset>
                      </wp:positionV>
                      <wp:extent cx="925830" cy="357505"/>
                      <wp:effectExtent l="4445" t="4445" r="22225" b="571500"/>
                      <wp:wrapNone/>
                      <wp:docPr id="49" name="自选图形 214"/>
                      <wp:cNvGraphicFramePr/>
                      <a:graphic xmlns:a="http://schemas.openxmlformats.org/drawingml/2006/main">
                        <a:graphicData uri="http://schemas.microsoft.com/office/word/2010/wordprocessingShape">
                          <wps:wsp>
                            <wps:cNvSpPr/>
                            <wps:spPr>
                              <a:xfrm>
                                <a:off x="0" y="0"/>
                                <a:ext cx="925830" cy="357505"/>
                              </a:xfrm>
                              <a:prstGeom prst="wedgeRectCallout">
                                <a:avLst>
                                  <a:gd name="adj1" fmla="val -29561"/>
                                  <a:gd name="adj2" fmla="val 200799"/>
                                </a:avLst>
                              </a:prstGeom>
                              <a:solidFill>
                                <a:srgbClr val="FFFF99"/>
                              </a:solidFill>
                              <a:ln w="3175" cap="flat" cmpd="sng">
                                <a:solidFill>
                                  <a:srgbClr val="FF0000"/>
                                </a:solidFill>
                                <a:prstDash val="solid"/>
                                <a:miter/>
                                <a:headEnd type="none" w="med" len="med"/>
                                <a:tailEnd type="none" w="med" len="med"/>
                              </a:ln>
                            </wps:spPr>
                            <wps:txbx>
                              <w:txbxContent>
                                <w:p w14:paraId="4CD1D463">
                                  <w:pPr>
                                    <w:ind w:firstLine="0" w:firstLineChars="0"/>
                                    <w:jc w:val="center"/>
                                  </w:pPr>
                                  <w:r>
                                    <w:rPr>
                                      <w:rFonts w:hint="eastAsia"/>
                                    </w:rPr>
                                    <w:t>项目所在地</w:t>
                                  </w:r>
                                </w:p>
                              </w:txbxContent>
                            </wps:txbx>
                            <wps:bodyPr wrap="square" lIns="0" tIns="36000" rIns="0" bIns="36000" upright="1"/>
                          </wps:wsp>
                        </a:graphicData>
                      </a:graphic>
                    </wp:anchor>
                  </w:drawing>
                </mc:Choice>
                <mc:Fallback>
                  <w:pict>
                    <v:shape id="自选图形 214" o:spid="_x0000_s1026" o:spt="61" type="#_x0000_t61" style="position:absolute;left:0pt;margin-left:147.15pt;margin-top:18.25pt;height:28.15pt;width:72.9pt;z-index:251661312;mso-width-relative:page;mso-height-relative:page;" fillcolor="#FFFF99" filled="t" stroked="t" coordsize="21600,21600" o:gfxdata="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qMF&#10;RNkAAAAJAQAADwAAAAAAAAABACAAAAAiAAAAZHJzL2Rvd25yZXYueG1sUEsBAhQAFAAAAAgAh07i&#10;QKUtyhVaAgAAygQAAA4AAAAAAAAAAQAgAAAAKAEAAGRycy9lMm9Eb2MueG1sUEsFBgAAAAAGAAYA&#10;WQEAAPQFAAAAAA==&#10;" adj="4415,54173">
                      <v:fill on="t" focussize="0,0"/>
                      <v:stroke weight="0.25pt" color="#FF0000" joinstyle="miter"/>
                      <v:imagedata o:title=""/>
                      <o:lock v:ext="edit" aspectratio="f"/>
                      <v:textbox inset="0mm,1mm,0mm,1mm">
                        <w:txbxContent>
                          <w:p w14:paraId="4CD1D463">
                            <w:pPr>
                              <w:ind w:firstLine="0" w:firstLineChars="0"/>
                              <w:jc w:val="center"/>
                            </w:pPr>
                            <w:r>
                              <w:rPr>
                                <w:rFonts w:hint="eastAsia"/>
                              </w:rPr>
                              <w:t>项目所在地</w:t>
                            </w:r>
                          </w:p>
                        </w:txbxContent>
                      </v:textbox>
                    </v:shape>
                  </w:pict>
                </mc:Fallback>
              </mc:AlternateContent>
            </w:r>
            <w:r>
              <w:rPr>
                <w:rFonts w:hint="default" w:cs="Times New Roman"/>
                <w:color w:val="auto"/>
              </w:rPr>
              <w:drawing>
                <wp:inline distT="0" distB="0" distL="114300" distR="114300">
                  <wp:extent cx="4848225" cy="3312160"/>
                  <wp:effectExtent l="0" t="0" r="9525" b="25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0"/>
                          <a:stretch>
                            <a:fillRect/>
                          </a:stretch>
                        </pic:blipFill>
                        <pic:spPr>
                          <a:xfrm>
                            <a:off x="0" y="0"/>
                            <a:ext cx="4848225" cy="3312160"/>
                          </a:xfrm>
                          <a:prstGeom prst="rect">
                            <a:avLst/>
                          </a:prstGeom>
                          <a:noFill/>
                          <a:ln>
                            <a:noFill/>
                          </a:ln>
                        </pic:spPr>
                      </pic:pic>
                    </a:graphicData>
                  </a:graphic>
                </wp:inline>
              </w:drawing>
            </w:r>
          </w:p>
          <w:p w14:paraId="60E0EF9F">
            <w:pPr>
              <w:keepNext w:val="0"/>
              <w:keepLines w:val="0"/>
              <w:suppressLineNumbers w:val="0"/>
              <w:spacing w:before="0" w:beforeAutospacing="0" w:after="0" w:afterAutospacing="0" w:line="240" w:lineRule="auto"/>
              <w:ind w:left="0" w:right="0" w:firstLine="0" w:firstLineChars="0"/>
              <w:jc w:val="center"/>
              <w:rPr>
                <w:rFonts w:hint="default" w:eastAsia="黑体" w:cs="Times New Roman"/>
                <w:color w:val="auto"/>
                <w:kern w:val="0"/>
                <w:sz w:val="20"/>
                <w:szCs w:val="20"/>
                <w:lang w:bidi="ar"/>
              </w:rPr>
            </w:pPr>
            <w:r>
              <w:rPr>
                <w:rFonts w:hint="default" w:cs="Times New Roman"/>
                <w:color w:val="auto"/>
                <w:kern w:val="0"/>
                <w:sz w:val="20"/>
                <w:szCs w:val="20"/>
                <w:lang w:bidi="ar"/>
              </w:rPr>
              <w:t>图1-5：</w:t>
            </w:r>
            <w:r>
              <w:rPr>
                <w:rFonts w:hint="default" w:eastAsia="黑体" w:cs="Times New Roman"/>
                <w:color w:val="auto"/>
                <w:kern w:val="0"/>
                <w:sz w:val="20"/>
                <w:szCs w:val="20"/>
                <w:lang w:bidi="ar"/>
              </w:rPr>
              <w:t>项目与四川达州普光经济开发区工业重点管控单元相对位置关系示意图</w:t>
            </w:r>
          </w:p>
          <w:p w14:paraId="18D6F23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本项目位于四川达州普光经济开发区环境综合管控单元工业重点管控单元，其总体生态环境管控要求如下：</w:t>
            </w:r>
          </w:p>
          <w:p w14:paraId="630E5FF1">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本项目与达州市及宣汉县总体生态环境管控要求一览表</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558"/>
              <w:gridCol w:w="2117"/>
              <w:gridCol w:w="482"/>
            </w:tblGrid>
            <w:tr w14:paraId="28341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vAlign w:val="center"/>
                </w:tcPr>
                <w:p w14:paraId="5BC62B28">
                  <w:pPr>
                    <w:pStyle w:val="28"/>
                    <w:keepNext w:val="0"/>
                    <w:keepLines w:val="0"/>
                    <w:suppressLineNumbers w:val="0"/>
                    <w:spacing w:before="0" w:beforeAutospacing="0" w:after="0" w:afterAutospacing="0"/>
                    <w:ind w:left="0" w:right="0"/>
                    <w:rPr>
                      <w:rFonts w:hint="default"/>
                      <w:color w:val="auto"/>
                    </w:rPr>
                  </w:pPr>
                  <w:r>
                    <w:rPr>
                      <w:rFonts w:hint="default"/>
                      <w:color w:val="auto"/>
                    </w:rPr>
                    <w:t>行政区划</w:t>
                  </w:r>
                </w:p>
              </w:tc>
              <w:tc>
                <w:tcPr>
                  <w:tcW w:w="2978" w:type="pct"/>
                  <w:tcBorders>
                    <w:tl2br w:val="nil"/>
                    <w:tr2bl w:val="nil"/>
                  </w:tcBorders>
                  <w:vAlign w:val="center"/>
                </w:tcPr>
                <w:p w14:paraId="1121BBBD">
                  <w:pPr>
                    <w:pStyle w:val="28"/>
                    <w:keepNext w:val="0"/>
                    <w:keepLines w:val="0"/>
                    <w:suppressLineNumbers w:val="0"/>
                    <w:spacing w:before="0" w:beforeAutospacing="0" w:after="0" w:afterAutospacing="0"/>
                    <w:ind w:left="0" w:right="0"/>
                    <w:rPr>
                      <w:rFonts w:hint="default"/>
                      <w:color w:val="auto"/>
                    </w:rPr>
                  </w:pPr>
                  <w:r>
                    <w:rPr>
                      <w:rFonts w:hint="default"/>
                      <w:color w:val="auto"/>
                    </w:rPr>
                    <w:t>全市及各县（市、区）总体生态环境管控要求</w:t>
                  </w:r>
                </w:p>
              </w:tc>
              <w:tc>
                <w:tcPr>
                  <w:tcW w:w="1384" w:type="pct"/>
                  <w:tcBorders>
                    <w:tl2br w:val="nil"/>
                    <w:tr2bl w:val="nil"/>
                  </w:tcBorders>
                  <w:vAlign w:val="center"/>
                </w:tcPr>
                <w:p w14:paraId="4F881360">
                  <w:pPr>
                    <w:pStyle w:val="28"/>
                    <w:keepNext w:val="0"/>
                    <w:keepLines w:val="0"/>
                    <w:suppressLineNumbers w:val="0"/>
                    <w:spacing w:before="0" w:beforeAutospacing="0" w:after="0" w:afterAutospacing="0"/>
                    <w:ind w:left="0" w:right="0"/>
                    <w:rPr>
                      <w:rFonts w:hint="default"/>
                      <w:color w:val="auto"/>
                    </w:rPr>
                  </w:pPr>
                  <w:r>
                    <w:rPr>
                      <w:rFonts w:hint="default"/>
                      <w:color w:val="auto"/>
                    </w:rPr>
                    <w:t>本项目</w:t>
                  </w:r>
                </w:p>
              </w:tc>
              <w:tc>
                <w:tcPr>
                  <w:tcW w:w="315" w:type="pct"/>
                  <w:tcBorders>
                    <w:tl2br w:val="nil"/>
                    <w:tr2bl w:val="nil"/>
                  </w:tcBorders>
                  <w:vAlign w:val="center"/>
                </w:tcPr>
                <w:p w14:paraId="5A8B17D7">
                  <w:pPr>
                    <w:pStyle w:val="28"/>
                    <w:keepNext w:val="0"/>
                    <w:keepLines w:val="0"/>
                    <w:suppressLineNumbers w:val="0"/>
                    <w:spacing w:before="0" w:beforeAutospacing="0" w:after="0" w:afterAutospacing="0"/>
                    <w:ind w:left="0" w:right="0"/>
                    <w:rPr>
                      <w:rFonts w:hint="default"/>
                      <w:color w:val="auto"/>
                    </w:rPr>
                  </w:pPr>
                  <w:r>
                    <w:rPr>
                      <w:rFonts w:hint="default"/>
                      <w:color w:val="auto"/>
                    </w:rPr>
                    <w:t>符合性</w:t>
                  </w:r>
                </w:p>
              </w:tc>
            </w:tr>
            <w:tr w14:paraId="7F830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vAlign w:val="center"/>
                </w:tcPr>
                <w:p w14:paraId="44514CFE">
                  <w:pPr>
                    <w:pStyle w:val="28"/>
                    <w:keepNext w:val="0"/>
                    <w:keepLines w:val="0"/>
                    <w:suppressLineNumbers w:val="0"/>
                    <w:spacing w:before="0" w:beforeAutospacing="0" w:after="0" w:afterAutospacing="0"/>
                    <w:ind w:left="0" w:right="0"/>
                    <w:rPr>
                      <w:rFonts w:hint="default"/>
                      <w:color w:val="auto"/>
                    </w:rPr>
                  </w:pPr>
                  <w:r>
                    <w:rPr>
                      <w:rFonts w:hint="default"/>
                      <w:color w:val="auto"/>
                    </w:rPr>
                    <w:t>达州市</w:t>
                  </w:r>
                </w:p>
              </w:tc>
              <w:tc>
                <w:tcPr>
                  <w:tcW w:w="2978" w:type="pct"/>
                  <w:tcBorders>
                    <w:tl2br w:val="nil"/>
                    <w:tr2bl w:val="nil"/>
                  </w:tcBorders>
                </w:tcPr>
                <w:p w14:paraId="0E24620F">
                  <w:pPr>
                    <w:pStyle w:val="28"/>
                    <w:keepNext w:val="0"/>
                    <w:keepLines w:val="0"/>
                    <w:suppressLineNumbers w:val="0"/>
                    <w:spacing w:before="0" w:beforeAutospacing="0" w:after="0" w:afterAutospacing="0"/>
                    <w:ind w:left="0" w:right="0"/>
                    <w:rPr>
                      <w:rFonts w:hint="default"/>
                      <w:color w:val="auto"/>
                    </w:rPr>
                  </w:pPr>
                  <w:r>
                    <w:rPr>
                      <w:rFonts w:hint="default"/>
                      <w:color w:val="auto"/>
                    </w:rPr>
                    <w:t>1.长江干支流岸线1千米范围内，不得新建、扩建化工园区和化工项目。</w:t>
                  </w:r>
                </w:p>
                <w:p w14:paraId="495A36F2">
                  <w:pPr>
                    <w:pStyle w:val="28"/>
                    <w:keepNext w:val="0"/>
                    <w:keepLines w:val="0"/>
                    <w:suppressLineNumbers w:val="0"/>
                    <w:spacing w:before="0" w:beforeAutospacing="0" w:after="0" w:afterAutospacing="0"/>
                    <w:ind w:left="0" w:right="0"/>
                    <w:rPr>
                      <w:rFonts w:hint="default"/>
                      <w:color w:val="auto"/>
                    </w:rPr>
                  </w:pPr>
                  <w:r>
                    <w:rPr>
                      <w:rFonts w:hint="default"/>
                      <w:color w:val="auto"/>
                    </w:rPr>
                    <w:t>2.严控产业转移环境准入。</w:t>
                  </w:r>
                </w:p>
                <w:p w14:paraId="76E49E81">
                  <w:pPr>
                    <w:pStyle w:val="28"/>
                    <w:keepNext w:val="0"/>
                    <w:keepLines w:val="0"/>
                    <w:suppressLineNumbers w:val="0"/>
                    <w:spacing w:before="0" w:beforeAutospacing="0" w:after="0" w:afterAutospacing="0"/>
                    <w:ind w:left="0" w:right="0"/>
                    <w:rPr>
                      <w:rFonts w:hint="default"/>
                      <w:color w:val="auto"/>
                    </w:rPr>
                  </w:pPr>
                  <w:r>
                    <w:rPr>
                      <w:rFonts w:hint="default"/>
                      <w:color w:val="auto"/>
                    </w:rPr>
                    <w:t>3.引进项目应符合园区规划环评和区域产业准入清单要求。</w:t>
                  </w:r>
                </w:p>
                <w:p w14:paraId="604D7F87">
                  <w:pPr>
                    <w:pStyle w:val="28"/>
                    <w:keepNext w:val="0"/>
                    <w:keepLines w:val="0"/>
                    <w:suppressLineNumbers w:val="0"/>
                    <w:spacing w:before="0" w:beforeAutospacing="0" w:after="0" w:afterAutospacing="0"/>
                    <w:ind w:left="0" w:right="0"/>
                    <w:rPr>
                      <w:rFonts w:hint="default"/>
                      <w:color w:val="auto"/>
                    </w:rPr>
                  </w:pPr>
                  <w:r>
                    <w:rPr>
                      <w:rFonts w:hint="default"/>
                      <w:color w:val="auto"/>
                    </w:rPr>
                    <w:t>4.造纸等产业污染治理和环境管理应达到国内先进水平。优化制浆造纸产业布局，提升行业清洁生产水平，推动制浆造纸工业向节能、环保、绿色方向发展。</w:t>
                  </w:r>
                </w:p>
                <w:p w14:paraId="6D006E82">
                  <w:pPr>
                    <w:pStyle w:val="28"/>
                    <w:keepNext w:val="0"/>
                    <w:keepLines w:val="0"/>
                    <w:suppressLineNumbers w:val="0"/>
                    <w:spacing w:before="0" w:beforeAutospacing="0" w:after="0" w:afterAutospacing="0"/>
                    <w:ind w:left="0" w:right="0"/>
                    <w:rPr>
                      <w:rFonts w:hint="default"/>
                      <w:color w:val="auto"/>
                    </w:rPr>
                  </w:pPr>
                  <w:r>
                    <w:rPr>
                      <w:rFonts w:hint="default"/>
                      <w:color w:val="auto"/>
                    </w:rPr>
                    <w:t>5.深化成都平原、川南、川东北地区大气污染联防联控工作机制，加强川渝地区联防联控。强化重污染天气区域应急联动机制，深化区域重污染天气联合应对。</w:t>
                  </w:r>
                </w:p>
                <w:p w14:paraId="0BAA3401">
                  <w:pPr>
                    <w:pStyle w:val="28"/>
                    <w:keepNext w:val="0"/>
                    <w:keepLines w:val="0"/>
                    <w:suppressLineNumbers w:val="0"/>
                    <w:spacing w:before="0" w:beforeAutospacing="0" w:after="0" w:afterAutospacing="0"/>
                    <w:ind w:left="0" w:right="0"/>
                    <w:rPr>
                      <w:rFonts w:hint="default"/>
                      <w:color w:val="auto"/>
                    </w:rPr>
                  </w:pPr>
                  <w:r>
                    <w:rPr>
                      <w:rFonts w:hint="default"/>
                      <w:color w:val="auto"/>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384" w:type="pct"/>
                  <w:tcBorders>
                    <w:tl2br w:val="nil"/>
                    <w:tr2bl w:val="nil"/>
                  </w:tcBorders>
                </w:tcPr>
                <w:p w14:paraId="09163DC8">
                  <w:pPr>
                    <w:pStyle w:val="28"/>
                    <w:keepNext w:val="0"/>
                    <w:keepLines w:val="0"/>
                    <w:suppressLineNumbers w:val="0"/>
                    <w:spacing w:before="0" w:beforeAutospacing="0" w:after="0" w:afterAutospacing="0"/>
                    <w:ind w:left="0" w:right="0"/>
                    <w:rPr>
                      <w:rFonts w:hint="default"/>
                      <w:color w:val="auto"/>
                    </w:rPr>
                  </w:pPr>
                  <w:r>
                    <w:rPr>
                      <w:rFonts w:hint="default"/>
                      <w:color w:val="auto"/>
                    </w:rPr>
                    <w:t>1.本项目位于合规化工园区，不在长江干支流岸线1千米范围内。</w:t>
                  </w:r>
                </w:p>
                <w:p w14:paraId="66909C7E">
                  <w:pPr>
                    <w:pStyle w:val="28"/>
                    <w:keepNext w:val="0"/>
                    <w:keepLines w:val="0"/>
                    <w:suppressLineNumbers w:val="0"/>
                    <w:spacing w:before="0" w:beforeAutospacing="0" w:after="0" w:afterAutospacing="0"/>
                    <w:ind w:left="0" w:right="0"/>
                    <w:rPr>
                      <w:rFonts w:hint="default"/>
                      <w:color w:val="auto"/>
                    </w:rPr>
                  </w:pPr>
                  <w:r>
                    <w:rPr>
                      <w:rFonts w:hint="default"/>
                      <w:color w:val="auto"/>
                    </w:rPr>
                    <w:t>2.本项目不属于产业转移类型。</w:t>
                  </w:r>
                </w:p>
                <w:p w14:paraId="2FD0F5FE">
                  <w:pPr>
                    <w:pStyle w:val="28"/>
                    <w:keepNext w:val="0"/>
                    <w:keepLines w:val="0"/>
                    <w:suppressLineNumbers w:val="0"/>
                    <w:spacing w:before="0" w:beforeAutospacing="0" w:after="0" w:afterAutospacing="0"/>
                    <w:ind w:left="0" w:right="0"/>
                    <w:rPr>
                      <w:rFonts w:hint="default"/>
                      <w:color w:val="auto"/>
                    </w:rPr>
                  </w:pPr>
                  <w:r>
                    <w:rPr>
                      <w:rFonts w:hint="default"/>
                      <w:color w:val="auto"/>
                    </w:rPr>
                    <w:t>3.本项目属于普光功能区主导产业，符合园区规划环评和区域产业准入清单要求。</w:t>
                  </w:r>
                </w:p>
                <w:p w14:paraId="258A1BE9">
                  <w:pPr>
                    <w:pStyle w:val="28"/>
                    <w:keepNext w:val="0"/>
                    <w:keepLines w:val="0"/>
                    <w:suppressLineNumbers w:val="0"/>
                    <w:spacing w:before="0" w:beforeAutospacing="0" w:after="0" w:afterAutospacing="0"/>
                    <w:ind w:left="0" w:right="0"/>
                    <w:rPr>
                      <w:rFonts w:hint="default"/>
                      <w:color w:val="auto"/>
                    </w:rPr>
                  </w:pPr>
                  <w:r>
                    <w:rPr>
                      <w:rFonts w:hint="default"/>
                      <w:color w:val="auto"/>
                    </w:rPr>
                    <w:t>4.本项目不涉及造纸等产业。</w:t>
                  </w:r>
                </w:p>
                <w:p w14:paraId="2B861B15">
                  <w:pPr>
                    <w:pStyle w:val="28"/>
                    <w:keepNext w:val="0"/>
                    <w:keepLines w:val="0"/>
                    <w:suppressLineNumbers w:val="0"/>
                    <w:spacing w:before="0" w:beforeAutospacing="0" w:after="0" w:afterAutospacing="0"/>
                    <w:ind w:left="0" w:right="0"/>
                    <w:rPr>
                      <w:rFonts w:hint="default"/>
                      <w:color w:val="auto"/>
                    </w:rPr>
                  </w:pPr>
                  <w:r>
                    <w:rPr>
                      <w:rFonts w:hint="default"/>
                      <w:color w:val="auto"/>
                    </w:rPr>
                    <w:t>5.本项目产生的大气污染物通过采取相应环保措施后可达标排放；项目施工期及营运期严格落实《达州市重污染天气应急预案》（达市府办发〔2025〕14号）相关要求。</w:t>
                  </w:r>
                </w:p>
                <w:p w14:paraId="5FCD0398">
                  <w:pPr>
                    <w:pStyle w:val="28"/>
                    <w:keepNext w:val="0"/>
                    <w:keepLines w:val="0"/>
                    <w:suppressLineNumbers w:val="0"/>
                    <w:spacing w:before="0" w:beforeAutospacing="0" w:after="0" w:afterAutospacing="0"/>
                    <w:ind w:left="0" w:right="0"/>
                    <w:rPr>
                      <w:rFonts w:hint="default"/>
                      <w:color w:val="auto"/>
                    </w:rPr>
                  </w:pPr>
                  <w:r>
                    <w:rPr>
                      <w:rFonts w:hint="default"/>
                      <w:color w:val="auto"/>
                    </w:rPr>
                    <w:t>6.本项目不涉及前述所列行业。</w:t>
                  </w:r>
                </w:p>
              </w:tc>
              <w:tc>
                <w:tcPr>
                  <w:tcW w:w="315" w:type="pct"/>
                  <w:tcBorders>
                    <w:tl2br w:val="nil"/>
                    <w:tr2bl w:val="nil"/>
                  </w:tcBorders>
                  <w:vAlign w:val="center"/>
                </w:tcPr>
                <w:p w14:paraId="76053841">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r w14:paraId="79A55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vAlign w:val="center"/>
                </w:tcPr>
                <w:p w14:paraId="68A7A242">
                  <w:pPr>
                    <w:pStyle w:val="28"/>
                    <w:keepNext w:val="0"/>
                    <w:keepLines w:val="0"/>
                    <w:suppressLineNumbers w:val="0"/>
                    <w:spacing w:before="0" w:beforeAutospacing="0" w:after="0" w:afterAutospacing="0"/>
                    <w:ind w:left="0" w:right="0"/>
                    <w:rPr>
                      <w:rFonts w:hint="default"/>
                      <w:color w:val="auto"/>
                    </w:rPr>
                  </w:pPr>
                  <w:r>
                    <w:rPr>
                      <w:rFonts w:hint="default"/>
                      <w:color w:val="auto"/>
                    </w:rPr>
                    <w:t>宣汉县</w:t>
                  </w:r>
                </w:p>
              </w:tc>
              <w:tc>
                <w:tcPr>
                  <w:tcW w:w="2978" w:type="pct"/>
                  <w:tcBorders>
                    <w:tl2br w:val="nil"/>
                    <w:tr2bl w:val="nil"/>
                  </w:tcBorders>
                </w:tcPr>
                <w:p w14:paraId="0FFB68A3">
                  <w:pPr>
                    <w:pStyle w:val="28"/>
                    <w:keepNext w:val="0"/>
                    <w:keepLines w:val="0"/>
                    <w:suppressLineNumbers w:val="0"/>
                    <w:spacing w:before="0" w:beforeAutospacing="0" w:after="0" w:afterAutospacing="0"/>
                    <w:ind w:left="0" w:right="0"/>
                    <w:rPr>
                      <w:rFonts w:hint="default"/>
                      <w:color w:val="auto"/>
                    </w:rPr>
                  </w:pPr>
                  <w:r>
                    <w:rPr>
                      <w:rFonts w:hint="default"/>
                      <w:color w:val="auto"/>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14:paraId="1352B6DF">
                  <w:pPr>
                    <w:pStyle w:val="28"/>
                    <w:keepNext w:val="0"/>
                    <w:keepLines w:val="0"/>
                    <w:suppressLineNumbers w:val="0"/>
                    <w:spacing w:before="0" w:beforeAutospacing="0" w:after="0" w:afterAutospacing="0"/>
                    <w:ind w:left="0" w:right="0"/>
                    <w:rPr>
                      <w:rFonts w:hint="default"/>
                      <w:color w:val="auto"/>
                    </w:rPr>
                  </w:pPr>
                  <w:r>
                    <w:rPr>
                      <w:rFonts w:hint="default"/>
                      <w:color w:val="auto"/>
                    </w:rPr>
                    <w:t>2.打好升级版污染防治攻坚战。持续优化调整产业布局，以细颗粒物（PM2.5）和臭氧（O3）污染协同控制为重点，全面开展挥发性有机物（VOCs）治理，实施移动源整治，持续推进空气质量精细化管理引进项目应符合园区规划环评和区域产业准入清单要求。</w:t>
                  </w:r>
                </w:p>
                <w:p w14:paraId="0B68B5AE">
                  <w:pPr>
                    <w:pStyle w:val="28"/>
                    <w:keepNext w:val="0"/>
                    <w:keepLines w:val="0"/>
                    <w:suppressLineNumbers w:val="0"/>
                    <w:spacing w:before="0" w:beforeAutospacing="0" w:after="0" w:afterAutospacing="0"/>
                    <w:ind w:left="0" w:right="0"/>
                    <w:rPr>
                      <w:rFonts w:hint="default"/>
                      <w:color w:val="auto"/>
                    </w:rPr>
                  </w:pPr>
                  <w:r>
                    <w:rPr>
                      <w:rFonts w:hint="default"/>
                      <w:color w:val="auto"/>
                    </w:rPr>
                    <w:t>3.加强小流域水环境保护，推动农村环保基础设施建设，全面推进农村环境综合整治、生活污水处理项目。</w:t>
                  </w:r>
                </w:p>
                <w:p w14:paraId="7BB96AAC">
                  <w:pPr>
                    <w:pStyle w:val="28"/>
                    <w:keepNext w:val="0"/>
                    <w:keepLines w:val="0"/>
                    <w:suppressLineNumbers w:val="0"/>
                    <w:spacing w:before="0" w:beforeAutospacing="0" w:after="0" w:afterAutospacing="0"/>
                    <w:ind w:left="0" w:right="0"/>
                    <w:rPr>
                      <w:rFonts w:hint="default"/>
                      <w:color w:val="auto"/>
                    </w:rPr>
                  </w:pPr>
                  <w:r>
                    <w:rPr>
                      <w:rFonts w:hint="default"/>
                      <w:color w:val="auto"/>
                    </w:rPr>
                    <w:t>4.大力开展沿河畜禽养殖污染整治，大力推广生态种植，减少农药化肥使用量；普光气田开发污染防治和环境管理等方面要达国内先进水平。</w:t>
                  </w:r>
                </w:p>
              </w:tc>
              <w:tc>
                <w:tcPr>
                  <w:tcW w:w="1384" w:type="pct"/>
                  <w:tcBorders>
                    <w:tl2br w:val="nil"/>
                    <w:tr2bl w:val="nil"/>
                  </w:tcBorders>
                </w:tcPr>
                <w:p w14:paraId="66A98D5D">
                  <w:pPr>
                    <w:pStyle w:val="28"/>
                    <w:keepNext w:val="0"/>
                    <w:keepLines w:val="0"/>
                    <w:suppressLineNumbers w:val="0"/>
                    <w:spacing w:before="0" w:beforeAutospacing="0" w:after="0" w:afterAutospacing="0"/>
                    <w:ind w:left="0" w:right="0"/>
                    <w:rPr>
                      <w:rFonts w:hint="default"/>
                      <w:color w:val="auto"/>
                    </w:rPr>
                  </w:pPr>
                  <w:r>
                    <w:rPr>
                      <w:rFonts w:hint="default"/>
                      <w:color w:val="auto"/>
                    </w:rPr>
                    <w:t>1.项目位于宣汉普光化工园区内，运营期环境风险可控，“三废”均能得到有效处置。</w:t>
                  </w:r>
                </w:p>
                <w:p w14:paraId="525B9222">
                  <w:pPr>
                    <w:pStyle w:val="28"/>
                    <w:keepNext w:val="0"/>
                    <w:keepLines w:val="0"/>
                    <w:suppressLineNumbers w:val="0"/>
                    <w:spacing w:before="0" w:beforeAutospacing="0" w:after="0" w:afterAutospacing="0"/>
                    <w:ind w:left="0" w:right="0"/>
                    <w:rPr>
                      <w:rFonts w:hint="default"/>
                      <w:color w:val="auto"/>
                    </w:rPr>
                  </w:pPr>
                  <w:r>
                    <w:rPr>
                      <w:rFonts w:hint="default"/>
                      <w:color w:val="auto"/>
                    </w:rPr>
                    <w:t>2.本项目属于普光功能区主导产业，符合园区规划环评和区域产业准入清单要求。</w:t>
                  </w:r>
                </w:p>
                <w:p w14:paraId="55AE1B17">
                  <w:pPr>
                    <w:pStyle w:val="28"/>
                    <w:keepNext w:val="0"/>
                    <w:keepLines w:val="0"/>
                    <w:suppressLineNumbers w:val="0"/>
                    <w:spacing w:before="0" w:beforeAutospacing="0" w:after="0" w:afterAutospacing="0"/>
                    <w:ind w:left="0" w:right="0"/>
                    <w:rPr>
                      <w:rFonts w:hint="default"/>
                      <w:color w:val="auto"/>
                    </w:rPr>
                  </w:pPr>
                  <w:r>
                    <w:rPr>
                      <w:rFonts w:hint="default"/>
                      <w:color w:val="auto"/>
                    </w:rPr>
                    <w:t>3.本项目废水可得到妥善处置，不会对地表水造成影响。</w:t>
                  </w:r>
                </w:p>
                <w:p w14:paraId="31038B26">
                  <w:pPr>
                    <w:pStyle w:val="28"/>
                    <w:keepNext w:val="0"/>
                    <w:keepLines w:val="0"/>
                    <w:suppressLineNumbers w:val="0"/>
                    <w:spacing w:before="0" w:beforeAutospacing="0" w:after="0" w:afterAutospacing="0"/>
                    <w:ind w:left="0" w:right="0"/>
                    <w:rPr>
                      <w:rFonts w:hint="default"/>
                      <w:color w:val="auto"/>
                    </w:rPr>
                  </w:pPr>
                  <w:r>
                    <w:rPr>
                      <w:rFonts w:hint="default"/>
                      <w:color w:val="auto"/>
                    </w:rPr>
                    <w:t>4.本项目污染防治和环境管理等方面可达国内先进水平。</w:t>
                  </w:r>
                </w:p>
              </w:tc>
              <w:tc>
                <w:tcPr>
                  <w:tcW w:w="315" w:type="pct"/>
                  <w:tcBorders>
                    <w:tl2br w:val="nil"/>
                    <w:tr2bl w:val="nil"/>
                  </w:tcBorders>
                  <w:vAlign w:val="center"/>
                </w:tcPr>
                <w:p w14:paraId="05325182">
                  <w:pPr>
                    <w:pStyle w:val="28"/>
                    <w:keepNext w:val="0"/>
                    <w:keepLines w:val="0"/>
                    <w:suppressLineNumbers w:val="0"/>
                    <w:spacing w:before="0" w:beforeAutospacing="0" w:after="0" w:afterAutospacing="0"/>
                    <w:ind w:left="0" w:right="0"/>
                    <w:rPr>
                      <w:rFonts w:hint="default"/>
                      <w:color w:val="auto"/>
                    </w:rPr>
                  </w:pPr>
                  <w:r>
                    <w:rPr>
                      <w:rFonts w:hint="default"/>
                      <w:color w:val="auto"/>
                    </w:rPr>
                    <w:t>符合</w:t>
                  </w:r>
                </w:p>
              </w:tc>
            </w:tr>
          </w:tbl>
          <w:p w14:paraId="55E90C9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属于食品级硫磺、工业级硫磺等产品制造，不属于钢铁、造纸等高污染项目，本项目位于合规化工工业园区内，不涉及矿山开采，项目废气等污染物经处理后可实现达标排放，符合达州市及宣汉县总体生态环境管控要求。</w:t>
            </w:r>
          </w:p>
          <w:p w14:paraId="3977559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（3）与《关于印发〈产业园区规划环评“三线一单”符合性分析技术要点（试行）〉和〈项目环评“三线一单”符合性分〔2021〕析技术要点（试行）〉的通知》（川环办函469号）的符合性分析</w:t>
            </w:r>
          </w:p>
          <w:p w14:paraId="1128D4C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四川省生态环境厅办公室《关于印发〈产业园区规划环评“三线一单”符合性分析技术要点（试行）〉和〈项目环评“三线一单”符合性分析技术要点（试行）〉的通知》（川环办函〔2021〕469号），本项目属于位于工业园区内的污染影响类建设项目，园区规划环评已开展“三线一单”符合性分析。本环评将从“空间布局约束、污染物排放管控、环境风险防控、资源开发效率要求”等四个维度对项目生态环境分区管控要求进行符合性分析。</w:t>
            </w:r>
          </w:p>
          <w:p w14:paraId="644D0300">
            <w:pPr>
              <w:keepNext w:val="0"/>
              <w:keepLines w:val="0"/>
              <w:suppressLineNumbers w:val="0"/>
              <w:spacing w:before="0" w:beforeAutospacing="0" w:after="0" w:afterAutospacing="0"/>
              <w:ind w:left="0" w:right="0" w:firstLine="480"/>
              <w:rPr>
                <w:rFonts w:hint="default" w:cs="Times New Roman"/>
                <w:color w:val="auto"/>
              </w:rPr>
            </w:pPr>
          </w:p>
        </w:tc>
      </w:tr>
    </w:tbl>
    <w:p w14:paraId="74BDB471">
      <w:pPr>
        <w:ind w:firstLine="480"/>
        <w:rPr>
          <w:rFonts w:cs="Times New Roman"/>
          <w:color w:val="auto"/>
        </w:rPr>
        <w:sectPr>
          <w:footerReference r:id="rId13" w:type="default"/>
          <w:pgSz w:w="11906" w:h="16838"/>
          <w:pgMar w:top="1440" w:right="1797" w:bottom="1440" w:left="1797" w:header="851" w:footer="992" w:gutter="0"/>
          <w:pgNumType w:start="1"/>
          <w:cols w:space="425" w:num="1"/>
          <w:docGrid w:type="lines" w:linePitch="326" w:charSpace="0"/>
        </w:sectPr>
      </w:pPr>
    </w:p>
    <w:tbl>
      <w:tblPr>
        <w:tblStyle w:val="18"/>
        <w:tblW w:w="140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3255"/>
      </w:tblGrid>
      <w:tr w14:paraId="4E2EA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4" w:type="dxa"/>
            <w:vAlign w:val="center"/>
          </w:tcPr>
          <w:p w14:paraId="5C04FD97">
            <w:pPr>
              <w:pStyle w:val="28"/>
              <w:keepNext w:val="0"/>
              <w:keepLines w:val="0"/>
              <w:suppressLineNumbers w:val="0"/>
              <w:spacing w:before="0" w:beforeAutospacing="0" w:after="0" w:afterAutospacing="0"/>
              <w:ind w:left="0" w:right="0"/>
              <w:rPr>
                <w:rFonts w:hint="default"/>
                <w:color w:val="auto"/>
              </w:rPr>
            </w:pPr>
            <w:r>
              <w:rPr>
                <w:rFonts w:hint="default"/>
                <w:color w:val="auto"/>
              </w:rPr>
              <w:t>其他符合性分析</w:t>
            </w:r>
          </w:p>
        </w:tc>
        <w:tc>
          <w:tcPr>
            <w:tcW w:w="13247" w:type="dxa"/>
            <w:vAlign w:val="center"/>
          </w:tcPr>
          <w:p w14:paraId="2F47DD76">
            <w:pPr>
              <w:pStyle w:val="36"/>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本项目与“生态环境准入清单”的符合性分析</w:t>
            </w:r>
          </w:p>
          <w:tbl>
            <w:tblPr>
              <w:tblStyle w:val="18"/>
              <w:tblW w:w="13039"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398"/>
              <w:gridCol w:w="889"/>
              <w:gridCol w:w="1601"/>
              <w:gridCol w:w="6598"/>
              <w:gridCol w:w="2076"/>
              <w:gridCol w:w="477"/>
            </w:tblGrid>
            <w:tr w14:paraId="7CE5DF3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4021" w:type="pct"/>
                  <w:gridSpan w:val="4"/>
                  <w:shd w:val="clear" w:color="auto" w:fill="auto"/>
                  <w:vAlign w:val="center"/>
                </w:tcPr>
                <w:p w14:paraId="5B83CD6D">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“三线一单”的具体要求</w:t>
                  </w:r>
                </w:p>
              </w:tc>
              <w:tc>
                <w:tcPr>
                  <w:tcW w:w="796" w:type="pct"/>
                  <w:vMerge w:val="restart"/>
                  <w:shd w:val="clear" w:color="auto" w:fill="auto"/>
                  <w:vAlign w:val="center"/>
                </w:tcPr>
                <w:p w14:paraId="7F0FA4E9">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本项目情况</w:t>
                  </w:r>
                </w:p>
              </w:tc>
              <w:tc>
                <w:tcPr>
                  <w:tcW w:w="183" w:type="pct"/>
                  <w:vMerge w:val="restart"/>
                  <w:shd w:val="clear" w:color="auto" w:fill="auto"/>
                  <w:vAlign w:val="center"/>
                </w:tcPr>
                <w:p w14:paraId="3E0D5381">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符合性</w:t>
                  </w:r>
                </w:p>
              </w:tc>
            </w:tr>
            <w:tr w14:paraId="6E15D5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1491" w:type="pct"/>
                  <w:gridSpan w:val="3"/>
                  <w:shd w:val="clear" w:color="auto" w:fill="auto"/>
                  <w:vAlign w:val="center"/>
                </w:tcPr>
                <w:p w14:paraId="7AA3F0D8">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类别</w:t>
                  </w:r>
                </w:p>
              </w:tc>
              <w:tc>
                <w:tcPr>
                  <w:tcW w:w="2530" w:type="pct"/>
                  <w:shd w:val="clear" w:color="auto" w:fill="auto"/>
                  <w:vAlign w:val="center"/>
                </w:tcPr>
                <w:p w14:paraId="7404621B">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对应管控要求</w:t>
                  </w:r>
                </w:p>
              </w:tc>
              <w:tc>
                <w:tcPr>
                  <w:tcW w:w="796" w:type="pct"/>
                  <w:vMerge w:val="continue"/>
                  <w:shd w:val="clear" w:color="auto" w:fill="auto"/>
                  <w:vAlign w:val="center"/>
                </w:tcPr>
                <w:p w14:paraId="3E6E2822">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183" w:type="pct"/>
                  <w:vMerge w:val="continue"/>
                  <w:shd w:val="clear" w:color="auto" w:fill="auto"/>
                  <w:vAlign w:val="center"/>
                </w:tcPr>
                <w:p w14:paraId="5F64EB9B">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r>
            <w:tr w14:paraId="52D0CF1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restart"/>
                  <w:shd w:val="clear" w:color="auto" w:fill="auto"/>
                  <w:vAlign w:val="center"/>
                </w:tcPr>
                <w:p w14:paraId="024588E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水环境工业污染重点管控区YS5117222210001（州河-宣汉县-张鼓坪-控制单元）</w:t>
                  </w:r>
                </w:p>
              </w:tc>
              <w:tc>
                <w:tcPr>
                  <w:tcW w:w="341" w:type="pct"/>
                  <w:vMerge w:val="restart"/>
                  <w:shd w:val="clear" w:color="auto" w:fill="auto"/>
                  <w:vAlign w:val="center"/>
                </w:tcPr>
                <w:p w14:paraId="21599B74">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达州市普适性</w:t>
                  </w:r>
                </w:p>
                <w:p w14:paraId="039666A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清单管控要求</w:t>
                  </w:r>
                </w:p>
              </w:tc>
              <w:tc>
                <w:tcPr>
                  <w:tcW w:w="614" w:type="pct"/>
                  <w:shd w:val="clear" w:color="auto" w:fill="auto"/>
                  <w:vAlign w:val="center"/>
                </w:tcPr>
                <w:p w14:paraId="360097B0">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569809F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禁止开发建设活动的要求</w:t>
                  </w:r>
                </w:p>
                <w:p w14:paraId="4EA4467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1CD21DC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限制开发建设活动的要求</w:t>
                  </w:r>
                </w:p>
                <w:p w14:paraId="0F60864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4BD780F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不符合空间布局要求活动的退出要求</w:t>
                  </w:r>
                </w:p>
                <w:p w14:paraId="3C99A0F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0DECB3E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其他空间布局约束要求</w:t>
                  </w:r>
                </w:p>
                <w:p w14:paraId="38F8187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tc>
              <w:tc>
                <w:tcPr>
                  <w:tcW w:w="796" w:type="pct"/>
                  <w:shd w:val="clear" w:color="auto" w:fill="auto"/>
                  <w:vAlign w:val="center"/>
                </w:tcPr>
                <w:p w14:paraId="2F7FFAA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本项目位于合规化工园区，所在区域不涉及特殊敏感保护区，不属于禁止、限制开发的建设项目，符合空间布局要求。</w:t>
                  </w:r>
                </w:p>
              </w:tc>
              <w:tc>
                <w:tcPr>
                  <w:tcW w:w="183" w:type="pct"/>
                  <w:shd w:val="clear" w:color="auto" w:fill="auto"/>
                  <w:vAlign w:val="center"/>
                </w:tcPr>
                <w:p w14:paraId="33D9D8F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40E499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788055A3">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7483638C">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2AD3E54">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327705B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允许排放量要求</w:t>
                  </w:r>
                </w:p>
                <w:p w14:paraId="71BF9DAB">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191BA9E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现有源提标升级改造</w:t>
                  </w:r>
                </w:p>
                <w:p w14:paraId="032D167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0CEBE6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其他污染物排放管控要求</w:t>
                  </w:r>
                </w:p>
                <w:p w14:paraId="4B491DAF">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tc>
              <w:tc>
                <w:tcPr>
                  <w:tcW w:w="796" w:type="pct"/>
                  <w:shd w:val="clear" w:color="auto" w:fill="auto"/>
                  <w:vAlign w:val="center"/>
                </w:tcPr>
                <w:p w14:paraId="7D9968A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541A32A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2F00F35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5D6C427F">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0DB9F45">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100F9AF2">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06FD3B2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联防联控要求</w:t>
                  </w:r>
                </w:p>
                <w:p w14:paraId="5FEB65B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081D648D">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其他环境风险防控要求</w:t>
                  </w:r>
                </w:p>
                <w:p w14:paraId="5673F6E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tc>
              <w:tc>
                <w:tcPr>
                  <w:tcW w:w="796" w:type="pct"/>
                  <w:shd w:val="clear" w:color="auto" w:fill="auto"/>
                  <w:vAlign w:val="center"/>
                </w:tcPr>
                <w:p w14:paraId="2D37397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10B3B2D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798ABD0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30AA56E5">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04B07B4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749C61C0">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资源开发利用效率要求</w:t>
                  </w:r>
                </w:p>
              </w:tc>
              <w:tc>
                <w:tcPr>
                  <w:tcW w:w="2530" w:type="pct"/>
                  <w:shd w:val="clear" w:color="auto" w:fill="auto"/>
                  <w:vAlign w:val="center"/>
                </w:tcPr>
                <w:p w14:paraId="7D4DEDB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水资源利用总量要求</w:t>
                  </w:r>
                </w:p>
                <w:p w14:paraId="1E76FC5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4245C53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地下水开采要求</w:t>
                  </w:r>
                </w:p>
                <w:p w14:paraId="110000D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1ED8DDB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能源利用总量及效率要求</w:t>
                  </w:r>
                </w:p>
                <w:p w14:paraId="10E8EE8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6BCB2A0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禁燃区要求</w:t>
                  </w:r>
                </w:p>
                <w:p w14:paraId="36DE673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057B435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其他资源利用效率要求</w:t>
                  </w:r>
                </w:p>
                <w:p w14:paraId="43C9FB2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lang w:bidi="ar"/>
                    </w:rPr>
                    <w:t>暂无</w:t>
                  </w:r>
                </w:p>
              </w:tc>
              <w:tc>
                <w:tcPr>
                  <w:tcW w:w="796" w:type="pct"/>
                  <w:shd w:val="clear" w:color="auto" w:fill="auto"/>
                  <w:vAlign w:val="center"/>
                </w:tcPr>
                <w:p w14:paraId="5314668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182550C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78743D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E9D2551">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restart"/>
                  <w:shd w:val="clear" w:color="auto" w:fill="auto"/>
                  <w:vAlign w:val="center"/>
                </w:tcPr>
                <w:p w14:paraId="71E0F0B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单元级清单</w:t>
                  </w:r>
                </w:p>
                <w:p w14:paraId="4D1C17A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管控要求</w:t>
                  </w:r>
                </w:p>
              </w:tc>
              <w:tc>
                <w:tcPr>
                  <w:tcW w:w="614" w:type="pct"/>
                  <w:shd w:val="clear" w:color="auto" w:fill="auto"/>
                  <w:vAlign w:val="center"/>
                </w:tcPr>
                <w:p w14:paraId="0F43E10E">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70BC1DB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禁止开发建设活动的要求</w:t>
                  </w:r>
                </w:p>
                <w:p w14:paraId="3B72B61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43F51A6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限制开发建设活动的要求</w:t>
                  </w:r>
                </w:p>
                <w:p w14:paraId="62F8CE0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严控磷铵、黄磷等产业违规新增产能加快退出不符合产业政策和环保要求、不满足安全生产条件的涉磷企业</w:t>
                  </w:r>
                </w:p>
                <w:p w14:paraId="60922B49">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允许开发建设活动的要求</w:t>
                  </w:r>
                </w:p>
                <w:p w14:paraId="3277793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38179A6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不符合空间布局要求活动的退出要求</w:t>
                  </w:r>
                </w:p>
                <w:p w14:paraId="11BCBBEE">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4FCCB5CD">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其他空间布局约束要求</w:t>
                  </w:r>
                </w:p>
                <w:p w14:paraId="4C9EE45E">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tc>
              <w:tc>
                <w:tcPr>
                  <w:tcW w:w="796" w:type="pct"/>
                  <w:shd w:val="clear" w:color="auto" w:fill="auto"/>
                  <w:vAlign w:val="center"/>
                </w:tcPr>
                <w:p w14:paraId="76D970B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本项目为食品级硫磺、工业级硫磺等产品生产，不涉及磷铵、黄磷生产，不属于前述禁止、限制建设活动。</w:t>
                  </w:r>
                </w:p>
              </w:tc>
              <w:tc>
                <w:tcPr>
                  <w:tcW w:w="183" w:type="pct"/>
                  <w:shd w:val="clear" w:color="auto" w:fill="auto"/>
                  <w:vAlign w:val="center"/>
                </w:tcPr>
                <w:p w14:paraId="1F138E4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7F37A82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4DD965D9">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099024D">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0A93C3AD">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7F6E0F2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城镇污水污染控制措施要求</w:t>
                  </w:r>
                </w:p>
                <w:p w14:paraId="5CBA3E5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687493F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工业废水污染控制措施要求</w:t>
                  </w:r>
                </w:p>
                <w:p w14:paraId="7D7A15F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化工园区应按照分类收集，分质处理的要求，配备专业化工生产废水集中处理设施（独立建设或依托骨干企业）及专管或明管输送的配套管网，化工生产废水纳管率达到100%；入河排污口设置应符合相关规定。4、加强工业园区集中污水处理设施运行监管</w:t>
                  </w:r>
                  <w:r>
                    <w:rPr>
                      <w:rFonts w:hint="eastAsia" w:eastAsiaTheme="minorEastAsia"/>
                      <w:color w:val="auto"/>
                      <w:kern w:val="0"/>
                    </w:rPr>
                    <w:t>，加</w:t>
                  </w:r>
                  <w:r>
                    <w:rPr>
                      <w:rFonts w:hint="default" w:eastAsiaTheme="minorEastAsia"/>
                      <w:color w:val="auto"/>
                      <w:kern w:val="0"/>
                    </w:rPr>
                    <w:t>强企业废水预处理和排水管理，鼓励纳管企业与园区污水处理厂运营单位通过签订委托处理合同等方式协同处理废水。5、加强新化学物质环境管理，严格执行《新化学物质环境管理登记办法》</w:t>
                  </w:r>
                  <w:r>
                    <w:rPr>
                      <w:rFonts w:hint="eastAsia" w:eastAsiaTheme="minorEastAsia"/>
                      <w:color w:val="auto"/>
                      <w:kern w:val="0"/>
                    </w:rPr>
                    <w:t>，</w:t>
                  </w:r>
                  <w:r>
                    <w:rPr>
                      <w:rFonts w:hint="default" w:eastAsiaTheme="minorEastAsia"/>
                      <w:color w:val="auto"/>
                      <w:kern w:val="0"/>
                    </w:rPr>
                    <w:t>落实企业新化学物质环境风险防控主体责任。落实国家《优先控制化学品名录（第一批）》《优先控制化学品名录（第二批）》《重点管控新污染物清单（2023年版）》环境风险管控措施。</w:t>
                  </w:r>
                </w:p>
                <w:p w14:paraId="0684C71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农业面源水污染控制措施要求</w:t>
                  </w:r>
                </w:p>
                <w:p w14:paraId="1475720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p w14:paraId="697195AB">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船舶港口水污染控制措施要求</w:t>
                  </w:r>
                </w:p>
                <w:p w14:paraId="30698CC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p w14:paraId="5E05D3D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饮用水水源和其它特殊水体保护要求</w:t>
                  </w:r>
                </w:p>
                <w:p w14:paraId="6588605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tc>
              <w:tc>
                <w:tcPr>
                  <w:tcW w:w="796" w:type="pct"/>
                  <w:shd w:val="clear" w:color="auto" w:fill="auto"/>
                  <w:vAlign w:val="center"/>
                </w:tcPr>
                <w:p w14:paraId="624691A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项目位于合规化工园区内，园区已建工业污水处理厂，本项目可依托处理后达标排放。</w:t>
                  </w:r>
                </w:p>
              </w:tc>
              <w:tc>
                <w:tcPr>
                  <w:tcW w:w="183" w:type="pct"/>
                  <w:shd w:val="clear" w:color="auto" w:fill="auto"/>
                  <w:vAlign w:val="center"/>
                </w:tcPr>
                <w:p w14:paraId="06DF34F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4B59C5D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506EAA62">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470165D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B037CCC">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13EA05CD">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796" w:type="pct"/>
                  <w:shd w:val="clear" w:color="auto" w:fill="auto"/>
                  <w:vAlign w:val="center"/>
                </w:tcPr>
                <w:p w14:paraId="5A03F84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本项目位于合规化工园区，采取措施后项目环境风险可控。</w:t>
                  </w:r>
                </w:p>
              </w:tc>
              <w:tc>
                <w:tcPr>
                  <w:tcW w:w="183" w:type="pct"/>
                  <w:shd w:val="clear" w:color="auto" w:fill="auto"/>
                  <w:vAlign w:val="center"/>
                </w:tcPr>
                <w:p w14:paraId="4F8816F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D3E760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D33C9B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6AEA120A">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69D64177">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57964A85">
                  <w:pPr>
                    <w:pStyle w:val="28"/>
                    <w:keepNext w:val="0"/>
                    <w:keepLines w:val="0"/>
                    <w:suppressLineNumbers w:val="0"/>
                    <w:spacing w:before="0" w:beforeAutospacing="0" w:after="0" w:afterAutospacing="0"/>
                    <w:ind w:left="0" w:right="0"/>
                    <w:jc w:val="both"/>
                    <w:rPr>
                      <w:rFonts w:hint="default" w:eastAsiaTheme="minorEastAsia"/>
                      <w:color w:val="auto"/>
                      <w:sz w:val="21"/>
                    </w:rPr>
                  </w:pPr>
                  <w:r>
                    <w:rPr>
                      <w:rFonts w:hint="default" w:eastAsiaTheme="minorEastAsia"/>
                      <w:color w:val="auto"/>
                      <w:kern w:val="0"/>
                    </w:rPr>
                    <w:t>加强高耗水行业用水定额管理，以水定产，严格控制高耗水新建、改建、扩建项目。</w:t>
                  </w:r>
                </w:p>
              </w:tc>
              <w:tc>
                <w:tcPr>
                  <w:tcW w:w="796" w:type="pct"/>
                  <w:shd w:val="clear" w:color="auto" w:fill="auto"/>
                  <w:vAlign w:val="center"/>
                </w:tcPr>
                <w:p w14:paraId="10C2F24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本项目不属于高耗水行业。</w:t>
                  </w:r>
                </w:p>
              </w:tc>
              <w:tc>
                <w:tcPr>
                  <w:tcW w:w="183" w:type="pct"/>
                  <w:shd w:val="clear" w:color="auto" w:fill="auto"/>
                  <w:vAlign w:val="center"/>
                </w:tcPr>
                <w:p w14:paraId="1D79724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4DDE449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restart"/>
                  <w:shd w:val="clear" w:color="auto" w:fill="auto"/>
                  <w:vAlign w:val="center"/>
                </w:tcPr>
                <w:p w14:paraId="73A2DE4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大气环境高排放重点管控区、YS5117222310001（四川达州普光经济开发区）</w:t>
                  </w:r>
                </w:p>
              </w:tc>
              <w:tc>
                <w:tcPr>
                  <w:tcW w:w="341" w:type="pct"/>
                  <w:vMerge w:val="restart"/>
                  <w:shd w:val="clear" w:color="auto" w:fill="auto"/>
                  <w:vAlign w:val="center"/>
                </w:tcPr>
                <w:p w14:paraId="4A57FF7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达州市普适性清单管控要求</w:t>
                  </w:r>
                </w:p>
              </w:tc>
              <w:tc>
                <w:tcPr>
                  <w:tcW w:w="614" w:type="pct"/>
                  <w:shd w:val="clear" w:color="auto" w:fill="auto"/>
                  <w:vAlign w:val="center"/>
                </w:tcPr>
                <w:p w14:paraId="4C2E3D9F">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350C70C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禁止开发建设活动的要求</w:t>
                  </w:r>
                </w:p>
                <w:p w14:paraId="7342456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5F46452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限制开发建设活动的要求</w:t>
                  </w:r>
                </w:p>
                <w:p w14:paraId="5E8849E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1934ED1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不符合空间布局要求活动的退出要求</w:t>
                  </w:r>
                </w:p>
                <w:p w14:paraId="50ADBD6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0DFA61E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其他空间布局约束要求</w:t>
                  </w:r>
                </w:p>
                <w:p w14:paraId="39DD6C9E">
                  <w:pPr>
                    <w:pStyle w:val="28"/>
                    <w:keepNext w:val="0"/>
                    <w:keepLines w:val="0"/>
                    <w:suppressLineNumbers w:val="0"/>
                    <w:spacing w:before="0" w:beforeAutospacing="0" w:after="0" w:afterAutospacing="0"/>
                    <w:ind w:left="0" w:right="0"/>
                    <w:jc w:val="both"/>
                    <w:rPr>
                      <w:rFonts w:hint="default" w:eastAsiaTheme="minorEastAsia"/>
                      <w:color w:val="auto"/>
                      <w:sz w:val="21"/>
                      <w:szCs w:val="21"/>
                    </w:rPr>
                  </w:pPr>
                  <w:r>
                    <w:rPr>
                      <w:rFonts w:hint="default" w:eastAsiaTheme="minorEastAsia"/>
                      <w:color w:val="auto"/>
                      <w:lang w:bidi="ar"/>
                    </w:rPr>
                    <w:t>暂无</w:t>
                  </w:r>
                </w:p>
              </w:tc>
              <w:tc>
                <w:tcPr>
                  <w:tcW w:w="796" w:type="pct"/>
                  <w:shd w:val="clear" w:color="auto" w:fill="auto"/>
                  <w:vAlign w:val="center"/>
                </w:tcPr>
                <w:p w14:paraId="7B0AFDD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本项目位于合规化工园区，所在区域不涉及特殊敏感保护区，不属于禁止、限制开发的建设项目，符合空间布局要求。</w:t>
                  </w:r>
                </w:p>
              </w:tc>
              <w:tc>
                <w:tcPr>
                  <w:tcW w:w="183" w:type="pct"/>
                  <w:shd w:val="clear" w:color="auto" w:fill="auto"/>
                  <w:vAlign w:val="center"/>
                </w:tcPr>
                <w:p w14:paraId="2CDCB0C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1037890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7B6648BB">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230BC91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0D335546">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1090D65E">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允许排放量要求</w:t>
                  </w:r>
                </w:p>
                <w:p w14:paraId="6EF1461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63A109A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现有源提标升级改造</w:t>
                  </w:r>
                </w:p>
                <w:p w14:paraId="1A21B60F">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76168E29">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其他污染物排放管控要求</w:t>
                  </w:r>
                </w:p>
                <w:p w14:paraId="69D1C97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6690CB4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683A34E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8B0547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57E6B6F">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237DE961">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602579A">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60926E3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联防联控要求</w:t>
                  </w:r>
                </w:p>
                <w:p w14:paraId="40437E6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226E021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其他环境风险防控要求</w:t>
                  </w:r>
                </w:p>
                <w:p w14:paraId="2BBF48D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2E868CE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0C8752A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2DA21DB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0EBF96E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415BEA2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03542FD">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4CF143C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水资源利用总量要求</w:t>
                  </w:r>
                </w:p>
                <w:p w14:paraId="39B1D95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349766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地下水开采要求</w:t>
                  </w:r>
                </w:p>
                <w:p w14:paraId="5BC4557F">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0D04F65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能源利用总量及效率要求</w:t>
                  </w:r>
                </w:p>
                <w:p w14:paraId="328E01C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6DAB5C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禁燃区要求</w:t>
                  </w:r>
                </w:p>
                <w:p w14:paraId="7AAD67A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049FB2AB">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其他资源利用效率要求</w:t>
                  </w:r>
                </w:p>
                <w:p w14:paraId="3AE59C4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lang w:bidi="ar"/>
                    </w:rPr>
                    <w:t>暂无</w:t>
                  </w:r>
                </w:p>
              </w:tc>
              <w:tc>
                <w:tcPr>
                  <w:tcW w:w="796" w:type="pct"/>
                  <w:shd w:val="clear" w:color="auto" w:fill="auto"/>
                  <w:vAlign w:val="center"/>
                </w:tcPr>
                <w:p w14:paraId="1BAE86A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6575B27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747E5D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160D14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restart"/>
                  <w:shd w:val="clear" w:color="auto" w:fill="auto"/>
                  <w:vAlign w:val="center"/>
                </w:tcPr>
                <w:p w14:paraId="44AB0C0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单元级清单</w:t>
                  </w:r>
                </w:p>
                <w:p w14:paraId="69DFF4A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管控要求</w:t>
                  </w:r>
                </w:p>
              </w:tc>
              <w:tc>
                <w:tcPr>
                  <w:tcW w:w="614" w:type="pct"/>
                  <w:shd w:val="clear" w:color="auto" w:fill="auto"/>
                  <w:vAlign w:val="center"/>
                </w:tcPr>
                <w:p w14:paraId="13747543">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1DE0881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禁止开发建设活动的要求</w:t>
                  </w:r>
                </w:p>
                <w:p w14:paraId="26D44A1D">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684E913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限制开发建设活动的要求</w:t>
                  </w:r>
                </w:p>
                <w:p w14:paraId="55701B6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12DFC9D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允许开发建设活动的要求</w:t>
                  </w:r>
                </w:p>
                <w:p w14:paraId="6532F63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58C7848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不符合空间布局要求活动的退出要求</w:t>
                  </w:r>
                </w:p>
                <w:p w14:paraId="0781593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w:t>
                  </w:r>
                </w:p>
                <w:p w14:paraId="6B7846B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其他空间布局约束要求</w:t>
                  </w:r>
                </w:p>
                <w:p w14:paraId="24DA4CA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w:t>
                  </w:r>
                </w:p>
              </w:tc>
              <w:tc>
                <w:tcPr>
                  <w:tcW w:w="796" w:type="pct"/>
                  <w:shd w:val="clear" w:color="auto" w:fill="auto"/>
                  <w:vAlign w:val="center"/>
                </w:tcPr>
                <w:p w14:paraId="01DB62D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本项目为食品级硫磺、工业级硫磺等产品生产，不涉及磷铵、黄磷生产，不属于前述禁止、限制建设活动。</w:t>
                  </w:r>
                </w:p>
              </w:tc>
              <w:tc>
                <w:tcPr>
                  <w:tcW w:w="183" w:type="pct"/>
                  <w:shd w:val="clear" w:color="auto" w:fill="auto"/>
                  <w:vAlign w:val="center"/>
                </w:tcPr>
                <w:p w14:paraId="324B8E9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30E588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75A93144">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417C1BF9">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14D3749E">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40AEB08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大气环境质量执行标准</w:t>
                  </w:r>
                </w:p>
                <w:p w14:paraId="77FA8A3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《环境空气质量标准》（GB3095-2012）：二级</w:t>
                  </w:r>
                </w:p>
                <w:p w14:paraId="64F61E7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区域大气污染物削减/替代要求</w:t>
                  </w:r>
                </w:p>
                <w:p w14:paraId="03AC579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p w14:paraId="72854CD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燃煤和其他能源大气污染控制要求</w:t>
                  </w:r>
                </w:p>
                <w:p w14:paraId="4873596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p w14:paraId="759DFFB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工业废气污染控制要求</w:t>
                  </w:r>
                </w:p>
                <w:p w14:paraId="5A5656E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1、全面淘汰10蒸吨/小时及以下燃煤锅炉，原则上不再新建35蒸吨/小时及以下的燃煤锅炉，推进县级及以上城市建成区淘汰35蒸吨/小时及以下燃煤锅炉，以工业余热、电厂热力、清洁能源等替代煤炭。</w:t>
                  </w:r>
                </w:p>
                <w:p w14:paraId="7230C47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6A4B0FB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机动车船大气污染控制要求</w:t>
                  </w:r>
                </w:p>
                <w:p w14:paraId="432AA6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p w14:paraId="4697083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扬尘污染控制要求</w:t>
                  </w:r>
                </w:p>
                <w:p w14:paraId="6CF03CF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p w14:paraId="4C654B8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农业生产经营活动大气污染控制要求</w:t>
                  </w:r>
                </w:p>
                <w:p w14:paraId="2175563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p w14:paraId="7C9B00F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重点行业企业专项治理要求</w:t>
                  </w:r>
                </w:p>
                <w:p w14:paraId="364F85F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2C86A64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其他大气污染物排放管控要求</w:t>
                  </w:r>
                </w:p>
                <w:p w14:paraId="390940E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78793C99">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（1）项目所在区域为达标区，满足《环境空气质量标准》（GB3095-2012）二级标准要求。</w:t>
                  </w:r>
                </w:p>
                <w:p w14:paraId="7820449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（2）项目采用电加热供能，不使用燃煤锅炉，项目工艺废气经处理后达标排放，满足污染物排放管控要求。</w:t>
                  </w:r>
                </w:p>
              </w:tc>
              <w:tc>
                <w:tcPr>
                  <w:tcW w:w="183" w:type="pct"/>
                  <w:shd w:val="clear" w:color="auto" w:fill="auto"/>
                  <w:vAlign w:val="center"/>
                </w:tcPr>
                <w:p w14:paraId="017CFE8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6D2654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E29F21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6307BD24">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40EDC114">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70EB906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19E7966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本项目位于合规化工园区，采取措施后项目环境风险可控。</w:t>
                  </w:r>
                </w:p>
              </w:tc>
              <w:tc>
                <w:tcPr>
                  <w:tcW w:w="183" w:type="pct"/>
                  <w:shd w:val="clear" w:color="auto" w:fill="auto"/>
                  <w:vAlign w:val="center"/>
                </w:tcPr>
                <w:p w14:paraId="707E70C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557F6C1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09364E05">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7EEA0CE0">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2BC3C9CB">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1E80E03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486A783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5492BF0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46DC2C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restart"/>
                  <w:shd w:val="clear" w:color="auto" w:fill="auto"/>
                  <w:vAlign w:val="center"/>
                </w:tcPr>
                <w:p w14:paraId="55AF88B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土地资源重点管控区、YS5117222530001（宣汉县城镇开发边界）</w:t>
                  </w:r>
                </w:p>
              </w:tc>
              <w:tc>
                <w:tcPr>
                  <w:tcW w:w="341" w:type="pct"/>
                  <w:vMerge w:val="restart"/>
                  <w:shd w:val="clear" w:color="auto" w:fill="auto"/>
                  <w:vAlign w:val="center"/>
                </w:tcPr>
                <w:p w14:paraId="1B18765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达州市普适性清单管控要求</w:t>
                  </w:r>
                </w:p>
              </w:tc>
              <w:tc>
                <w:tcPr>
                  <w:tcW w:w="614" w:type="pct"/>
                  <w:shd w:val="clear" w:color="auto" w:fill="auto"/>
                  <w:vAlign w:val="center"/>
                </w:tcPr>
                <w:p w14:paraId="7262D442">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0676F29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禁止开发建设活动的要求</w:t>
                  </w:r>
                </w:p>
                <w:p w14:paraId="28706EC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429DE61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限制开发建设活动的要求</w:t>
                  </w:r>
                </w:p>
                <w:p w14:paraId="6B0120A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0AED364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不符合空间布局要求活动的退出要求</w:t>
                  </w:r>
                </w:p>
                <w:p w14:paraId="6E65BAA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347EC72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其他空间布局约束要求</w:t>
                  </w:r>
                </w:p>
                <w:p w14:paraId="342F73A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tc>
              <w:tc>
                <w:tcPr>
                  <w:tcW w:w="796" w:type="pct"/>
                  <w:shd w:val="clear" w:color="auto" w:fill="auto"/>
                  <w:vAlign w:val="center"/>
                </w:tcPr>
                <w:p w14:paraId="4D041FF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本项目位于合规化工园区，所在区域不涉及特殊敏感保护区，不属于禁止、限制开发的建设项目，符合空间布局要求。</w:t>
                  </w:r>
                </w:p>
              </w:tc>
              <w:tc>
                <w:tcPr>
                  <w:tcW w:w="183" w:type="pct"/>
                  <w:shd w:val="clear" w:color="auto" w:fill="auto"/>
                  <w:vAlign w:val="center"/>
                </w:tcPr>
                <w:p w14:paraId="4F2C153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812B8D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AF7986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205F830">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75BA47E3">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4AD002E9">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允许排放量要求</w:t>
                  </w:r>
                </w:p>
                <w:p w14:paraId="60A80FF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72A59747">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现有源提标升级改造</w:t>
                  </w:r>
                </w:p>
                <w:p w14:paraId="4D7342B7">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373989C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其他污染物排放管控要求</w:t>
                  </w:r>
                </w:p>
                <w:p w14:paraId="6C71545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2955764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51F1411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1245F68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44B242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136C69B5">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488DA06A">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4E3CEB5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联防联控要求</w:t>
                  </w:r>
                </w:p>
                <w:p w14:paraId="6C16DE9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48C75E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其他环境风险防控要求</w:t>
                  </w:r>
                </w:p>
                <w:p w14:paraId="723D866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5292871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7219EBC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2532723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580C52A6">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161909D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3ED14EA1">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7632A04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水资源利用总量要求</w:t>
                  </w:r>
                </w:p>
                <w:p w14:paraId="5A4616C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4535C42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地下水开采要求</w:t>
                  </w:r>
                </w:p>
                <w:p w14:paraId="6856124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64D9F51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能源利用总量及效率要求</w:t>
                  </w:r>
                </w:p>
                <w:p w14:paraId="06F9AF9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B2114B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禁燃区要求</w:t>
                  </w:r>
                </w:p>
                <w:p w14:paraId="005BAE5D">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37E2F41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其他资源利用效率要求</w:t>
                  </w:r>
                </w:p>
                <w:p w14:paraId="02F9D76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lang w:bidi="ar"/>
                    </w:rPr>
                    <w:t>暂无</w:t>
                  </w:r>
                </w:p>
              </w:tc>
              <w:tc>
                <w:tcPr>
                  <w:tcW w:w="796" w:type="pct"/>
                  <w:shd w:val="clear" w:color="auto" w:fill="auto"/>
                  <w:vAlign w:val="center"/>
                </w:tcPr>
                <w:p w14:paraId="44E3FDB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2416B66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2CE224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00AE2BE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restart"/>
                  <w:shd w:val="clear" w:color="auto" w:fill="auto"/>
                  <w:vAlign w:val="center"/>
                </w:tcPr>
                <w:p w14:paraId="2813D6C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单元级清单</w:t>
                  </w:r>
                </w:p>
                <w:p w14:paraId="4CC3F43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管控要求</w:t>
                  </w:r>
                </w:p>
              </w:tc>
              <w:tc>
                <w:tcPr>
                  <w:tcW w:w="614" w:type="pct"/>
                  <w:shd w:val="clear" w:color="auto" w:fill="auto"/>
                  <w:vAlign w:val="center"/>
                </w:tcPr>
                <w:p w14:paraId="30760776">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35D3042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以城镇开发建设现状为基础，综合考虑资源承载能力、人口分布、经济布局、城乡统筹、城镇无序蔓延科学预留一定比例的留白区，为未来发展留有开发空间城镇建设和发展不得违法违规侵占河道、湖面、滩地。</w:t>
                  </w:r>
                </w:p>
                <w:p w14:paraId="79532E8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2.城镇开发边界调整报国土空间规划原审批机关审批。</w:t>
                  </w:r>
                </w:p>
              </w:tc>
              <w:tc>
                <w:tcPr>
                  <w:tcW w:w="796" w:type="pct"/>
                  <w:shd w:val="clear" w:color="auto" w:fill="auto"/>
                  <w:vAlign w:val="center"/>
                </w:tcPr>
                <w:p w14:paraId="2B1F5ED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本项目为园区规划工业用地，目前已取得用地手续，符合国土空间规划，符合空间布局要求。</w:t>
                  </w:r>
                </w:p>
              </w:tc>
              <w:tc>
                <w:tcPr>
                  <w:tcW w:w="183" w:type="pct"/>
                  <w:shd w:val="clear" w:color="auto" w:fill="auto"/>
                  <w:vAlign w:val="center"/>
                </w:tcPr>
                <w:p w14:paraId="1AA6AF7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5D7724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7C44FB8A">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595D917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DD0EAB6">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347B77A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5E01634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32DC70D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70551AA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6CB09398">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49A363C6">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64CD20F7">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4161D04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490A1FD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7B0F640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D0F23F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4C2A70DC">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4D2C5D2">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781E2F8">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47E1571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土地资源开发效率要求</w:t>
                  </w:r>
                </w:p>
                <w:p w14:paraId="70FF00B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土地资源开发利用量不得超过土地资源利用上线控制性指标。</w:t>
                  </w:r>
                </w:p>
                <w:p w14:paraId="2C7D0F9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能源资源开发效率要求</w:t>
                  </w:r>
                </w:p>
                <w:p w14:paraId="13545E2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p w14:paraId="320C69C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其他资源开发效率要求</w:t>
                  </w:r>
                </w:p>
                <w:p w14:paraId="5104171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6FDB690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本项目为园区规划工业用地，目前已取得用地手续，符合国土空间规划，不会超过土地资源利用上线控制性指标。</w:t>
                  </w:r>
                </w:p>
              </w:tc>
              <w:tc>
                <w:tcPr>
                  <w:tcW w:w="183" w:type="pct"/>
                  <w:shd w:val="clear" w:color="auto" w:fill="auto"/>
                  <w:vAlign w:val="center"/>
                </w:tcPr>
                <w:p w14:paraId="159DF39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720A948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restart"/>
                  <w:shd w:val="clear" w:color="auto" w:fill="auto"/>
                  <w:vAlign w:val="center"/>
                </w:tcPr>
                <w:p w14:paraId="3612430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自然资源重点管控区、YS5117222550001（宣汉县自然资源重点管控区）</w:t>
                  </w:r>
                </w:p>
              </w:tc>
              <w:tc>
                <w:tcPr>
                  <w:tcW w:w="341" w:type="pct"/>
                  <w:vMerge w:val="restart"/>
                  <w:shd w:val="clear" w:color="auto" w:fill="auto"/>
                  <w:vAlign w:val="center"/>
                </w:tcPr>
                <w:p w14:paraId="4B8E2DF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达州市普适性清单管控要求</w:t>
                  </w:r>
                </w:p>
              </w:tc>
              <w:tc>
                <w:tcPr>
                  <w:tcW w:w="614" w:type="pct"/>
                  <w:shd w:val="clear" w:color="auto" w:fill="auto"/>
                  <w:vAlign w:val="center"/>
                </w:tcPr>
                <w:p w14:paraId="3DC64E82">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456D477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禁止开发建设活动的要求</w:t>
                  </w:r>
                </w:p>
                <w:p w14:paraId="516598D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0A98C56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限制开发建设活动的要求</w:t>
                  </w:r>
                </w:p>
                <w:p w14:paraId="254065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2E3000F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不符合空间布局要求活动的退出要求</w:t>
                  </w:r>
                </w:p>
                <w:p w14:paraId="761DC0E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p w14:paraId="01B0717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其他空间布局约束要求</w:t>
                  </w:r>
                </w:p>
                <w:p w14:paraId="5A7F84B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暂无</w:t>
                  </w:r>
                </w:p>
              </w:tc>
              <w:tc>
                <w:tcPr>
                  <w:tcW w:w="796" w:type="pct"/>
                  <w:shd w:val="clear" w:color="auto" w:fill="auto"/>
                  <w:vAlign w:val="center"/>
                </w:tcPr>
                <w:p w14:paraId="4E8CB1B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本项目位于合规化工园区，所在区域不涉及特殊敏感保护区，不属于禁止、限制开发的建设项目，符合空间布局要求。</w:t>
                  </w:r>
                </w:p>
              </w:tc>
              <w:tc>
                <w:tcPr>
                  <w:tcW w:w="183" w:type="pct"/>
                  <w:shd w:val="clear" w:color="auto" w:fill="auto"/>
                  <w:vAlign w:val="center"/>
                </w:tcPr>
                <w:p w14:paraId="4550800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22CE62D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7DD79FF6">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2E2E6AC3">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0747B7FF">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594B888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允许排放量要求</w:t>
                  </w:r>
                </w:p>
                <w:p w14:paraId="37EF635C">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7192A261">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现有源提标升级改造</w:t>
                  </w:r>
                </w:p>
                <w:p w14:paraId="53C5D40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61F68940">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其他污染物排放管控要求</w:t>
                  </w:r>
                </w:p>
                <w:p w14:paraId="24B7671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400756B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16E6DB6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65D8CCE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51D7CB61">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F29B9A0">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46B97AFF">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373775F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联防联控要求</w:t>
                  </w:r>
                </w:p>
                <w:p w14:paraId="15EF2FB2">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28E81AE9">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其他环境风险防控要求</w:t>
                  </w:r>
                </w:p>
                <w:p w14:paraId="798CC75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rPr>
                    <w:t>暂无</w:t>
                  </w:r>
                </w:p>
              </w:tc>
              <w:tc>
                <w:tcPr>
                  <w:tcW w:w="796" w:type="pct"/>
                  <w:shd w:val="clear" w:color="auto" w:fill="auto"/>
                  <w:vAlign w:val="center"/>
                </w:tcPr>
                <w:p w14:paraId="669E949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618BB57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7531D9F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4D53695">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1FC982B3">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305E2D2E">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3A02C9C7">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水资源利用总量要求</w:t>
                  </w:r>
                </w:p>
                <w:p w14:paraId="34577FA7">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511E6A7F">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地下水开采要求</w:t>
                  </w:r>
                </w:p>
                <w:p w14:paraId="166FE813">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7C58ADBE">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能源利用总量及效率要求</w:t>
                  </w:r>
                </w:p>
                <w:p w14:paraId="0DF8B2A9">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3B9D1B08">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禁燃区要求</w:t>
                  </w:r>
                </w:p>
                <w:p w14:paraId="550C4C94">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暂无</w:t>
                  </w:r>
                </w:p>
                <w:p w14:paraId="42261F67">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其他资源利用效率要求</w:t>
                  </w:r>
                </w:p>
                <w:p w14:paraId="7D22125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kern w:val="0"/>
                      <w:lang w:bidi="ar"/>
                    </w:rPr>
                    <w:t>暂无</w:t>
                  </w:r>
                </w:p>
              </w:tc>
              <w:tc>
                <w:tcPr>
                  <w:tcW w:w="796" w:type="pct"/>
                  <w:shd w:val="clear" w:color="auto" w:fill="auto"/>
                  <w:vAlign w:val="center"/>
                </w:tcPr>
                <w:p w14:paraId="5AC7556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3CF754C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5E58F23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287B1CF">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restart"/>
                  <w:shd w:val="clear" w:color="auto" w:fill="auto"/>
                  <w:vAlign w:val="center"/>
                </w:tcPr>
                <w:p w14:paraId="53E08BD4">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单元级清单</w:t>
                  </w:r>
                </w:p>
                <w:p w14:paraId="351B5BD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管控要求</w:t>
                  </w:r>
                </w:p>
              </w:tc>
              <w:tc>
                <w:tcPr>
                  <w:tcW w:w="614" w:type="pct"/>
                  <w:shd w:val="clear" w:color="auto" w:fill="auto"/>
                  <w:vAlign w:val="center"/>
                </w:tcPr>
                <w:p w14:paraId="0DAE8BED">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1438A88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5D9FFFC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本项目位于合规化工园区，所在区域不涉及特殊敏感保护区，不属于禁止、限制开发的建设项目，符合空间布局要求。</w:t>
                  </w:r>
                </w:p>
              </w:tc>
              <w:tc>
                <w:tcPr>
                  <w:tcW w:w="183" w:type="pct"/>
                  <w:shd w:val="clear" w:color="auto" w:fill="auto"/>
                  <w:vAlign w:val="center"/>
                </w:tcPr>
                <w:p w14:paraId="181B7DC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003EED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4FBDCB0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1F3E688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747BAAE">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59A815D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1E89B5B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项目营运期采取相应措施后均可达标排放，满足污染物排放管控要求</w:t>
                  </w:r>
                </w:p>
              </w:tc>
              <w:tc>
                <w:tcPr>
                  <w:tcW w:w="183" w:type="pct"/>
                  <w:shd w:val="clear" w:color="auto" w:fill="auto"/>
                  <w:vAlign w:val="center"/>
                </w:tcPr>
                <w:p w14:paraId="313FBB0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7C08E9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0EF2F34">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5064DA56">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1D3CE9DB">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3E38AC1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w:t>
                  </w:r>
                </w:p>
              </w:tc>
              <w:tc>
                <w:tcPr>
                  <w:tcW w:w="796" w:type="pct"/>
                  <w:shd w:val="clear" w:color="auto" w:fill="auto"/>
                  <w:vAlign w:val="center"/>
                </w:tcPr>
                <w:p w14:paraId="74D59E2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340D0F0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5AD7C43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0F0DC45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03A96B89">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384D8575">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70841F2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土地资源开发效率要求</w:t>
                  </w:r>
                </w:p>
                <w:p w14:paraId="083FD5BA">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p w14:paraId="595ECDB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能源资源开发效率要求</w:t>
                  </w:r>
                </w:p>
                <w:p w14:paraId="5F44EE65">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p w14:paraId="208DB75B">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其他资源开发效率要求</w:t>
                  </w:r>
                </w:p>
                <w:p w14:paraId="4362B476">
                  <w:pPr>
                    <w:pStyle w:val="28"/>
                    <w:keepNext w:val="0"/>
                    <w:keepLines w:val="0"/>
                    <w:suppressLineNumbers w:val="0"/>
                    <w:spacing w:before="0" w:beforeAutospacing="0" w:after="0" w:afterAutospacing="0"/>
                    <w:ind w:left="0" w:right="0"/>
                    <w:jc w:val="both"/>
                    <w:rPr>
                      <w:rFonts w:hint="default" w:eastAsiaTheme="minorEastAsia"/>
                      <w:color w:val="auto"/>
                      <w:kern w:val="0"/>
                    </w:rPr>
                  </w:pPr>
                  <w:r>
                    <w:rPr>
                      <w:rFonts w:hint="default" w:eastAsiaTheme="minorEastAsia"/>
                      <w:color w:val="auto"/>
                      <w:kern w:val="0"/>
                    </w:rPr>
                    <w:t xml:space="preserve">  /</w:t>
                  </w:r>
                </w:p>
              </w:tc>
              <w:tc>
                <w:tcPr>
                  <w:tcW w:w="796" w:type="pct"/>
                  <w:shd w:val="clear" w:color="auto" w:fill="auto"/>
                  <w:vAlign w:val="center"/>
                </w:tcPr>
                <w:p w14:paraId="2906CA7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7F7C4B5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506F51D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restart"/>
                  <w:shd w:val="clear" w:color="auto" w:fill="auto"/>
                  <w:vAlign w:val="center"/>
                </w:tcPr>
                <w:p w14:paraId="5E1861E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环境综合管控单元工业重点管控单元、ZH51172220002（四川达州普光经济开发区）</w:t>
                  </w:r>
                </w:p>
              </w:tc>
              <w:tc>
                <w:tcPr>
                  <w:tcW w:w="341" w:type="pct"/>
                  <w:vMerge w:val="restart"/>
                  <w:shd w:val="clear" w:color="auto" w:fill="auto"/>
                  <w:vAlign w:val="center"/>
                </w:tcPr>
                <w:p w14:paraId="59E8E71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达州市普适性清单管控要求</w:t>
                  </w:r>
                </w:p>
              </w:tc>
              <w:tc>
                <w:tcPr>
                  <w:tcW w:w="614" w:type="pct"/>
                  <w:shd w:val="clear" w:color="auto" w:fill="auto"/>
                  <w:vAlign w:val="center"/>
                </w:tcPr>
                <w:p w14:paraId="194B6FAB">
                  <w:pPr>
                    <w:pStyle w:val="28"/>
                    <w:keepNext w:val="0"/>
                    <w:keepLines w:val="0"/>
                    <w:suppressLineNumbers w:val="0"/>
                    <w:spacing w:before="0" w:beforeAutospacing="0" w:after="0" w:afterAutospacing="0"/>
                    <w:ind w:left="0" w:right="0"/>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4DBEBE7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禁止开发建设活动的要求</w:t>
                  </w:r>
                </w:p>
                <w:p w14:paraId="052556D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-禁止在长江干支流、重要湖泊岸线一公里范围内新建、扩建化工园区和化工项目，严控新建石油化工、煤化工、涉磷、造纸、印染、制革等项目。</w:t>
                  </w:r>
                </w:p>
                <w:p w14:paraId="52949ED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-禁止从事《长江经济带发展负面清单指南（试行）》禁止准入类事项。</w:t>
                  </w:r>
                </w:p>
                <w:p w14:paraId="5274614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-引进项目应符合园区规划环评和区域产业准入及负面清单要求。</w:t>
                  </w:r>
                </w:p>
                <w:p w14:paraId="537C364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-禁止新建不符合国家产业政策和行业准入条件的高污染项目。</w:t>
                  </w:r>
                </w:p>
                <w:p w14:paraId="4C2B33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-工业园区禁止新建高污染燃料锅炉。</w:t>
                  </w:r>
                </w:p>
                <w:p w14:paraId="6AE7F69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-禁止在长江流域河湖管理范围内倾倒、填埋、堆放、弃置、处理固体废物。</w:t>
                  </w:r>
                </w:p>
                <w:p w14:paraId="53C6B1E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-未通过认定的化工园区，不得新建、改扩建化工项目（安全、环保、节能和智能化改造项目除外），按属地原则依法依规妥善做好未通过认定化工园区及园内企业的转型、关闭、处置及监管工作。</w:t>
                  </w:r>
                </w:p>
                <w:p w14:paraId="648D2B5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限制开发建设活动的要求</w:t>
                  </w:r>
                </w:p>
                <w:p w14:paraId="2B6B5E2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-严格控制污染物新增排放量，对新建排放二氧化硫、氮氧化物、工业烟粉尘和VOCS的项目实施现役源2倍削减量替代。</w:t>
                  </w:r>
                </w:p>
                <w:p w14:paraId="57B5BD0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-严格实施环评制度，将细颗粒物达标情况纳入规划环评和相关项目环评内容，加快制定颗粒物、VOCS排放总量管理配套政策。</w:t>
                  </w:r>
                </w:p>
                <w:p w14:paraId="4D3C30E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-严格控制新建、扩建燃煤发电项目。</w:t>
                  </w:r>
                </w:p>
                <w:p w14:paraId="31C4911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-严控达州市主城区上游沿岸地区新建石油化工、煤化工、涉磷、造纸、印染、制革等项目。</w:t>
                  </w:r>
                </w:p>
                <w:p w14:paraId="2B04FBB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不符合空间布局要求活动的退出要求</w:t>
                  </w:r>
                </w:p>
                <w:p w14:paraId="50C74CB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-现有属于禁止引入产业门类的企业，应按相关规定限期整治或退出。</w:t>
                  </w:r>
                </w:p>
                <w:p w14:paraId="17975A9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14:paraId="0E678FE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-引导重污染产业退出或搬迁、企业分类退城入园，逐步打破近水靠城的历史工业布局。加大城市区域现有装备水平低、环保设施差的微小企业“关、停、并、转”实施力度，清理建成区上风向重点涉气项目。</w:t>
                  </w:r>
                </w:p>
                <w:p w14:paraId="12F882C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-石化、现代煤化工项目应纳入国家产业规划。新建、扩建石化、化工、焦化、有色金属冶炼、平板玻璃项目应布设在依法合规设立并经规划环评的产业园区。</w:t>
                  </w:r>
                </w:p>
                <w:p w14:paraId="1A84DFC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其他空间布局约束要求</w:t>
                  </w:r>
                </w:p>
                <w:p w14:paraId="7AA7E92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74F60445">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（1）本项目位于合规化工园区，所在化工园区不在长江干支流、重要湖泊岸线一公里范围内，不属于禁止开发项目。</w:t>
                  </w:r>
                </w:p>
                <w:p w14:paraId="65012061">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（2）本项目排放的污染物主要是颗粒物，项目所在区域为达标区，未突破园区总量控制指标要求。</w:t>
                  </w:r>
                </w:p>
                <w:p w14:paraId="5D2D343A">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（3）项目不属于禁止引入产业门类，</w:t>
                  </w:r>
                </w:p>
                <w:p w14:paraId="1DC6228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不属于禁止、限制开发的建设项目，符合空间布局要求。</w:t>
                  </w:r>
                </w:p>
              </w:tc>
              <w:tc>
                <w:tcPr>
                  <w:tcW w:w="183" w:type="pct"/>
                  <w:shd w:val="clear" w:color="auto" w:fill="auto"/>
                  <w:vAlign w:val="center"/>
                </w:tcPr>
                <w:p w14:paraId="4FAD8A8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1989CB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35EF91FA">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08379E3A">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1899B3C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55D8B50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允许排放量要求</w:t>
                  </w:r>
                </w:p>
                <w:p w14:paraId="08F7018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达州市2025年水污染物允许排放量COD 4396.41t，氨氮418.7t，TP 45.36t；达州市2025年大气污染物一次PM</w:t>
                  </w:r>
                  <w:r>
                    <w:rPr>
                      <w:rFonts w:hint="default" w:eastAsiaTheme="minorEastAsia"/>
                      <w:color w:val="auto"/>
                      <w:vertAlign w:val="subscript"/>
                    </w:rPr>
                    <w:t>2.5</w:t>
                  </w:r>
                  <w:r>
                    <w:rPr>
                      <w:rFonts w:hint="default" w:eastAsiaTheme="minorEastAsia"/>
                      <w:color w:val="auto"/>
                    </w:rPr>
                    <w:t xml:space="preserve"> 5805t、SO</w:t>
                  </w:r>
                  <w:r>
                    <w:rPr>
                      <w:rFonts w:hint="default" w:eastAsiaTheme="minorEastAsia"/>
                      <w:color w:val="auto"/>
                      <w:vertAlign w:val="subscript"/>
                    </w:rPr>
                    <w:t>2</w:t>
                  </w:r>
                  <w:r>
                    <w:rPr>
                      <w:rFonts w:hint="default" w:eastAsiaTheme="minorEastAsia"/>
                      <w:color w:val="auto"/>
                    </w:rPr>
                    <w:t xml:space="preserve"> 12773t、NOx11892t、VOCs 13969t。</w:t>
                  </w:r>
                </w:p>
                <w:p w14:paraId="07369AC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现有源提标升级改造</w:t>
                  </w:r>
                </w:p>
                <w:p w14:paraId="416FB84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-污水收集处理率达100%；</w:t>
                  </w:r>
                </w:p>
                <w:p w14:paraId="6695BC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740BC8E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024AC27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0B3217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其他污染物排放管控要求</w:t>
                  </w:r>
                </w:p>
                <w:p w14:paraId="6DF62D6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新增源等量或倍量替代</w:t>
                  </w:r>
                  <w:r>
                    <w:rPr>
                      <w:rFonts w:hint="eastAsia" w:eastAsiaTheme="minorEastAsia"/>
                      <w:color w:val="auto"/>
                    </w:rPr>
                    <w:t>：</w:t>
                  </w:r>
                  <w:r>
                    <w:rPr>
                      <w:rFonts w:hint="default" w:eastAsiaTheme="minorEastAsia"/>
                      <w:color w:val="auto"/>
                    </w:rPr>
                    <w:t>上一年度水环境质量未完成目标的，新建排放水污染的建设项目按照总量管控要求进行倍量削减替代。</w:t>
                  </w:r>
                </w:p>
                <w:p w14:paraId="1F07965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上一年度空气质量年平均浓度不达标的城市，建设项目新增相关污染物按照总量管控要求进行倍量削减替代。</w:t>
                  </w:r>
                </w:p>
                <w:p w14:paraId="311EF9B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79375B2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污染物排放绩效水平准入要求</w:t>
                  </w:r>
                  <w:r>
                    <w:rPr>
                      <w:rFonts w:hint="eastAsia" w:eastAsiaTheme="minorEastAsia"/>
                      <w:color w:val="auto"/>
                    </w:rPr>
                    <w:t>：</w:t>
                  </w:r>
                  <w:r>
                    <w:rPr>
                      <w:rFonts w:hint="default" w:eastAsiaTheme="minorEastAsia"/>
                      <w:color w:val="auto"/>
                    </w:rPr>
                    <w:t xml:space="preserve">新、改扩建项目污染排放指标满足《四川省省级生态工业园区指标》综合类生态工业园区要求。工业固体废弃物利用处置率达100%，危险废物处置率达100%。          </w:t>
                  </w:r>
                </w:p>
                <w:p w14:paraId="6F21010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国家大气污染防治重点区域</w:t>
                  </w:r>
                  <w:r>
                    <w:rPr>
                      <w:rFonts w:hint="eastAsia" w:eastAsiaTheme="minorEastAsia"/>
                      <w:color w:val="auto"/>
                    </w:rPr>
                    <w:t>（</w:t>
                  </w:r>
                  <w:r>
                    <w:rPr>
                      <w:rFonts w:hint="default" w:eastAsiaTheme="minorEastAsia"/>
                      <w:color w:val="auto"/>
                    </w:rPr>
                    <w:t>以下称重点区域</w:t>
                  </w:r>
                  <w:r>
                    <w:rPr>
                      <w:rFonts w:hint="eastAsia" w:eastAsiaTheme="minorEastAsia"/>
                      <w:color w:val="auto"/>
                    </w:rPr>
                    <w:t>）</w:t>
                  </w:r>
                  <w:r>
                    <w:rPr>
                      <w:rFonts w:hint="default" w:eastAsiaTheme="minorEastAsia"/>
                      <w:color w:val="auto"/>
                    </w:rPr>
                    <w:t>内新建耗煤项目还应严格按规定采取煤炭消费减量替代措施，不得使用高污染燃料作为煤炭减量替代措施</w:t>
                  </w:r>
                  <w:r>
                    <w:rPr>
                      <w:rFonts w:hint="eastAsia" w:eastAsiaTheme="minorEastAsia"/>
                      <w:color w:val="auto"/>
                    </w:rPr>
                    <w:t>；</w:t>
                  </w:r>
                  <w:r>
                    <w:rPr>
                      <w:rFonts w:hint="default" w:eastAsiaTheme="minorEastAsia"/>
                      <w:color w:val="auto"/>
                    </w:rPr>
                    <w:t xml:space="preserve">重点区域执行大气污染物特别排放限值，严禁新增钢铁、电力、水泥、玻璃、砖瓦、陶瓷、焦化、电解铝、有色等重点行业大气污染物排放。                                                                         </w:t>
                  </w:r>
                </w:p>
                <w:p w14:paraId="34BAF10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 xml:space="preserve">钢铁行业新建应参考达州市“三线一单”生态环境分区管控中钢铁行业资源环境绩效准入门槛。                         </w:t>
                  </w:r>
                </w:p>
                <w:p w14:paraId="76D011B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0B1F786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51CFF18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255DEA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落实《四川省深入打好重污染天气消除、臭氧污染防治和柴油货车</w:t>
                  </w:r>
                  <w:r>
                    <w:rPr>
                      <w:rFonts w:hint="eastAsia" w:eastAsiaTheme="minorEastAsia"/>
                      <w:color w:val="auto"/>
                      <w:lang w:eastAsia="zh-CN"/>
                    </w:rPr>
                    <w:t>污染防治攻坚战</w:t>
                  </w:r>
                  <w:r>
                    <w:rPr>
                      <w:rFonts w:hint="default" w:eastAsiaTheme="minorEastAsia"/>
                      <w:color w:val="auto"/>
                    </w:rPr>
                    <w:t>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796" w:type="pct"/>
                  <w:shd w:val="clear" w:color="auto" w:fill="auto"/>
                  <w:vAlign w:val="center"/>
                </w:tcPr>
                <w:p w14:paraId="64C3C1E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项目排放的污染物很少，未突破园区及区域污染物运行排放量要求。</w:t>
                  </w:r>
                </w:p>
              </w:tc>
              <w:tc>
                <w:tcPr>
                  <w:tcW w:w="183" w:type="pct"/>
                  <w:shd w:val="clear" w:color="auto" w:fill="auto"/>
                  <w:vAlign w:val="center"/>
                </w:tcPr>
                <w:p w14:paraId="11FCF9F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001801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DC159C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525C3D1B">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0371B3A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3C3593E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联防联控要求</w:t>
                  </w:r>
                </w:p>
                <w:p w14:paraId="2426288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6771D80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其他环境风险防控要求</w:t>
                  </w:r>
                </w:p>
                <w:p w14:paraId="5524229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企业环境风险防控要求</w:t>
                  </w:r>
                  <w:r>
                    <w:rPr>
                      <w:rFonts w:hint="eastAsia" w:eastAsiaTheme="minorEastAsia"/>
                      <w:color w:val="auto"/>
                    </w:rPr>
                    <w:t>：</w:t>
                  </w:r>
                  <w:r>
                    <w:rPr>
                      <w:rFonts w:hint="default" w:eastAsiaTheme="minorEastAsia"/>
                      <w:color w:val="auto"/>
                    </w:rPr>
                    <w:t>涉及有毒有害、易燃易爆物质新建、改扩建项目，严控准入要求。（根据《GB 8978-2002》中第一类污染物以及《优先控制化学品名录</w:t>
                  </w:r>
                  <w:r>
                    <w:rPr>
                      <w:rFonts w:hint="eastAsia" w:eastAsiaTheme="minorEastAsia"/>
                      <w:color w:val="auto"/>
                    </w:rPr>
                    <w:t>》《</w:t>
                  </w:r>
                  <w:r>
                    <w:rPr>
                      <w:rFonts w:hint="default" w:eastAsiaTheme="minorEastAsia"/>
                      <w:color w:val="auto"/>
                    </w:rPr>
                    <w:t>有毒有害大气污染物名录</w:t>
                  </w:r>
                  <w:r>
                    <w:rPr>
                      <w:rFonts w:hint="eastAsia" w:eastAsiaTheme="minorEastAsia"/>
                      <w:color w:val="auto"/>
                    </w:rPr>
                    <w:t>》《</w:t>
                  </w:r>
                  <w:r>
                    <w:rPr>
                      <w:rFonts w:hint="default" w:eastAsiaTheme="minorEastAsia"/>
                      <w:color w:val="auto"/>
                    </w:rPr>
                    <w:t>有毒有害水污染物名录》确定）。对钢铁、焦化平板玻璃、铜铅锌硅冶炼等环境影响大或环境风险高的项目类别，不得以改革试点名义随意下放环评审批权限或降低审批要求。</w:t>
                  </w:r>
                </w:p>
                <w:p w14:paraId="7558AFC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园区环境风险防控要求</w:t>
                  </w:r>
                  <w:r>
                    <w:rPr>
                      <w:rFonts w:hint="eastAsia" w:eastAsiaTheme="minorEastAsia"/>
                      <w:color w:val="auto"/>
                    </w:rPr>
                    <w:t>：</w:t>
                  </w:r>
                  <w:r>
                    <w:rPr>
                      <w:rFonts w:hint="default" w:eastAsiaTheme="minorEastAsia"/>
                      <w:color w:val="auto"/>
                    </w:rPr>
                    <w:t>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135B5D8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用地环境风险防控要求</w:t>
                  </w:r>
                  <w:r>
                    <w:rPr>
                      <w:rFonts w:hint="eastAsia" w:eastAsiaTheme="minorEastAsia"/>
                      <w:color w:val="auto"/>
                    </w:rPr>
                    <w:t>：</w:t>
                  </w:r>
                  <w:r>
                    <w:rPr>
                      <w:rFonts w:hint="default" w:eastAsiaTheme="minorEastAsia"/>
                      <w:color w:val="auto"/>
                    </w:rPr>
                    <w:t>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796" w:type="pct"/>
                  <w:shd w:val="clear" w:color="auto" w:fill="auto"/>
                  <w:vAlign w:val="center"/>
                </w:tcPr>
                <w:p w14:paraId="41F01BE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项目提出环境风险防范措施，符合环境风险防控要求。</w:t>
                  </w:r>
                </w:p>
              </w:tc>
              <w:tc>
                <w:tcPr>
                  <w:tcW w:w="183" w:type="pct"/>
                  <w:shd w:val="clear" w:color="auto" w:fill="auto"/>
                  <w:vAlign w:val="center"/>
                </w:tcPr>
                <w:p w14:paraId="43F9C9A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1862ED0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21694E8D">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0B4C0293">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5E8581C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4FF41C8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水资源利用总量要求</w:t>
                  </w:r>
                </w:p>
                <w:p w14:paraId="2878226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新、改扩建项目污染水耗指标满足《四川省省级生态工业园区指标》综合类生态工业园区要求；到2022年，万元国内生产总值用水量、万元工业增加值用水量较2015年分别下降30%和28%。</w:t>
                  </w:r>
                </w:p>
                <w:p w14:paraId="24B89DB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地下水开采要求</w:t>
                  </w:r>
                </w:p>
                <w:p w14:paraId="47A0146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以省市下发指标为准</w:t>
                  </w:r>
                </w:p>
                <w:p w14:paraId="2429348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能源利用总量及效率要求</w:t>
                  </w:r>
                </w:p>
                <w:p w14:paraId="6C9C9F6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川东北区域实施新建项目与煤炭消费总量控制挂钩机制，耗煤建设项目实行煤炭消耗等量减量替代。提高煤炭利用效率和天然气利用占比，工业领域有序推进“煤改电”和有序推进“煤改气”。</w:t>
                  </w:r>
                </w:p>
                <w:p w14:paraId="23F27F1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-大力实施和推广以电代煤、以电代油工程，重点在城市交通、工商业等领域实施以电代油、以电代煤。</w:t>
                  </w:r>
                </w:p>
                <w:p w14:paraId="644ABEF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-增加天然气对煤炭和石油的替代，提高天然气民用、交通、发电、工业领域天然气消费比重。</w:t>
                  </w:r>
                </w:p>
                <w:p w14:paraId="5BEC41A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-实施煤炭消费总量控制：严格控制煤炭消费总量；严格控制新建、改建、扩建耗煤项目，新增耗煤项目实行煤炭消耗减量倍量替代。</w:t>
                  </w:r>
                </w:p>
                <w:p w14:paraId="3BA945C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7A764BE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-推进清洁能源的推广使用，全面推进散煤清洁化整治；</w:t>
                  </w:r>
                </w:p>
                <w:p w14:paraId="35892E2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4F758D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53E3E54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禁燃区要求</w:t>
                  </w:r>
                </w:p>
                <w:p w14:paraId="5351048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07223BD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-禁燃区内禁止销售、燃用高污染燃料；禁止新建、改建、扩建燃用高污染燃料的设施和设备。</w:t>
                  </w:r>
                </w:p>
                <w:p w14:paraId="5C75373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-禁燃区内已建成的高污染燃料燃用设施由辖区人民政府制定限期改造计划，改用天然气、页岩气、液化石油气、电或其他清洁能源。</w:t>
                  </w:r>
                </w:p>
                <w:p w14:paraId="098EC65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其他资源利用效率要求</w:t>
                  </w:r>
                </w:p>
                <w:p w14:paraId="6A3C88D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7783BD5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项目符合资源开发利用要求。</w:t>
                  </w:r>
                </w:p>
              </w:tc>
              <w:tc>
                <w:tcPr>
                  <w:tcW w:w="183" w:type="pct"/>
                  <w:shd w:val="clear" w:color="auto" w:fill="auto"/>
                  <w:vAlign w:val="center"/>
                </w:tcPr>
                <w:p w14:paraId="05EB59F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7AAACA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6B10E307">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restart"/>
                  <w:shd w:val="clear" w:color="auto" w:fill="auto"/>
                  <w:vAlign w:val="center"/>
                </w:tcPr>
                <w:p w14:paraId="6D4BDEB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单元级清单</w:t>
                  </w:r>
                </w:p>
                <w:p w14:paraId="5D6A9CF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管控要求</w:t>
                  </w:r>
                </w:p>
              </w:tc>
              <w:tc>
                <w:tcPr>
                  <w:tcW w:w="614" w:type="pct"/>
                  <w:shd w:val="clear" w:color="auto" w:fill="auto"/>
                  <w:vAlign w:val="center"/>
                </w:tcPr>
                <w:p w14:paraId="1BFF27B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空间布局约束</w:t>
                  </w:r>
                </w:p>
              </w:tc>
              <w:tc>
                <w:tcPr>
                  <w:tcW w:w="2530" w:type="pct"/>
                  <w:shd w:val="clear" w:color="auto" w:fill="auto"/>
                  <w:vAlign w:val="center"/>
                </w:tcPr>
                <w:p w14:paraId="50461A45">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禁止开发建设活动的要求</w:t>
                  </w:r>
                </w:p>
                <w:p w14:paraId="71AD33F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1、禁止引入有色金属冶炼（再生铝除外）、印染、皮革鞣制、制浆造纸、印制电路板、专业电镀等重污染项目；</w:t>
                  </w:r>
                </w:p>
                <w:p w14:paraId="278DAD0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2、宣汉县徐家坡饮用水源地准保护区撤销前，柳池功能区饮用水源准保护区内禁止新建、扩建对水体污染严重的建设项目，改建建设项目，不得增加排污量；</w:t>
                  </w:r>
                </w:p>
                <w:p w14:paraId="53F08CA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3、其它同达州市工业重点管控单元要求。</w:t>
                  </w:r>
                </w:p>
                <w:p w14:paraId="3057E2E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限制开发建设活动的要求</w:t>
                  </w:r>
                </w:p>
                <w:p w14:paraId="6AC50ED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1、涉及电镀的工序必须达到清洁生产一级水平</w:t>
                  </w:r>
                </w:p>
                <w:p w14:paraId="08AF7DA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2、普光化工园区周边涉及永久基本农田区域，布局项目应充分考虑涉气特征污染物（氟化氢、氯气、硫酸雾、硫化氢、氯化氢等）对基本农田的影响，适当优化布局</w:t>
                  </w:r>
                </w:p>
                <w:p w14:paraId="0AC697B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3、其它同达州市工业重点管控单元要求</w:t>
                  </w:r>
                </w:p>
                <w:p w14:paraId="1A66C2D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允许开发建设活动的要求</w:t>
                  </w:r>
                </w:p>
                <w:p w14:paraId="6D84968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p w14:paraId="2A7D9A8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不符合空间布局要求活动的退出要求</w:t>
                  </w:r>
                </w:p>
                <w:p w14:paraId="7B97B93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南坝功能区：1）中石油净化厂厂址用地可布局改性硫磺、天然气脱硫净化配套服务业、相关设备制造等环境影响较小的产业；2）该功能区不得在规划边界外现有或已规划的居住区等敏感目标的近距离范围内布设与敏感目标相禁忌的产业；不得入驻食品、医药成品等与该功能区主导产业相禁忌的产业</w:t>
                  </w:r>
                </w:p>
                <w:p w14:paraId="7B749EE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普光功能区：将天然气化工、硫化工、锂钾综合开发等符合相关规划的化工产业布局在达州普光化工园区内；改性硫磺、天然气脱硫净化、锂钾综合开发等化工产业的配套服务业、相关设备制造业等符合相关规划的产业优先布局在达州普光化工园区之外的工业用地上。</w:t>
                  </w:r>
                </w:p>
                <w:p w14:paraId="37B0F90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3、方斗功能区：农副食品加工产业中涉及恶臭、异味的企业建议集中布局在方斗社区以西、国道210线以南的区域。</w:t>
                  </w:r>
                </w:p>
                <w:p w14:paraId="750455D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其他空间布局约束要求</w:t>
                  </w:r>
                </w:p>
                <w:p w14:paraId="0A106DC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20DACD6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本项目位于合规化工园区，所在区域不涉及饮用水源保护区等特殊敏感保护区，不属于禁止、限制开发的建设项目，符合空间布局要求。</w:t>
                  </w:r>
                </w:p>
              </w:tc>
              <w:tc>
                <w:tcPr>
                  <w:tcW w:w="183" w:type="pct"/>
                  <w:shd w:val="clear" w:color="auto" w:fill="auto"/>
                  <w:vAlign w:val="center"/>
                </w:tcPr>
                <w:p w14:paraId="148ADF7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076BBEE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0B60BF02">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0413E20F">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1BA4304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污染物排放管控</w:t>
                  </w:r>
                </w:p>
              </w:tc>
              <w:tc>
                <w:tcPr>
                  <w:tcW w:w="2530" w:type="pct"/>
                  <w:shd w:val="clear" w:color="auto" w:fill="auto"/>
                  <w:vAlign w:val="center"/>
                </w:tcPr>
                <w:p w14:paraId="387E041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现有源提标升级改造</w:t>
                  </w:r>
                </w:p>
                <w:p w14:paraId="3FF7B45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除柳池—方斗功能区二区废水需经深度处理至主要水污染物指标达《地表水环境质量标准》III类水域水质标准，石柱槽功能区废水处理达到回用水质标准外，其他各功能区污水厂出水标准执行《城镇污水处理厂污染物排放标准》一级A标准。</w:t>
                  </w:r>
                </w:p>
                <w:p w14:paraId="1C0B1EF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-含五类重点控制的重金属（汞、镉、铅、砷、铬）废水实现零排放。其他同达州市工业重点总体准入要求</w:t>
                  </w:r>
                </w:p>
                <w:p w14:paraId="5B4F5F4F">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新增源等量或倍量替代</w:t>
                  </w:r>
                </w:p>
                <w:p w14:paraId="5A2FD26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执行达州市工业重点管控单元总体准入要求</w:t>
                  </w:r>
                </w:p>
                <w:p w14:paraId="164DA04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新增源排放标准限值</w:t>
                  </w:r>
                </w:p>
                <w:p w14:paraId="7AFA860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同达州市工业重点总体准入要求</w:t>
                  </w:r>
                </w:p>
                <w:p w14:paraId="5C31ECC8">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污染物排放绩效水平准入要求</w:t>
                  </w:r>
                </w:p>
                <w:p w14:paraId="124B939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针对该区域重点发展行业提出大气和水污染物排放约束性和建议性准入指标，逐步构建绿色化工等产业园区。其他同达州市工业重点总体准入要求</w:t>
                  </w:r>
                </w:p>
                <w:p w14:paraId="1B8CAC29">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其他污染物排放管控要求</w:t>
                  </w:r>
                </w:p>
                <w:p w14:paraId="28EB1E8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p w14:paraId="09C6D560">
                  <w:pPr>
                    <w:pStyle w:val="28"/>
                    <w:keepNext w:val="0"/>
                    <w:keepLines w:val="0"/>
                    <w:suppressLineNumbers w:val="0"/>
                    <w:spacing w:before="0" w:beforeAutospacing="0" w:after="0" w:afterAutospacing="0"/>
                    <w:ind w:left="0" w:right="0"/>
                    <w:jc w:val="both"/>
                    <w:rPr>
                      <w:rFonts w:hint="default" w:eastAsiaTheme="minorEastAsia"/>
                      <w:color w:val="auto"/>
                    </w:rPr>
                  </w:pPr>
                </w:p>
              </w:tc>
              <w:tc>
                <w:tcPr>
                  <w:tcW w:w="796" w:type="pct"/>
                  <w:shd w:val="clear" w:color="auto" w:fill="auto"/>
                  <w:vAlign w:val="center"/>
                </w:tcPr>
                <w:p w14:paraId="02FA34AD">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本项目所在园区污水处理厂执行《城镇污水处理厂污染物排放标准》一级A标准；项目不排放重金属，项目总体符合污染物排放管控要求。</w:t>
                  </w:r>
                </w:p>
              </w:tc>
              <w:tc>
                <w:tcPr>
                  <w:tcW w:w="183" w:type="pct"/>
                  <w:shd w:val="clear" w:color="auto" w:fill="auto"/>
                  <w:vAlign w:val="center"/>
                </w:tcPr>
                <w:p w14:paraId="39C1B5C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5E17207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14E7C1D3">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37519D9C">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348FD18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环境风险防控</w:t>
                  </w:r>
                </w:p>
              </w:tc>
              <w:tc>
                <w:tcPr>
                  <w:tcW w:w="2530" w:type="pct"/>
                  <w:shd w:val="clear" w:color="auto" w:fill="auto"/>
                  <w:vAlign w:val="center"/>
                </w:tcPr>
                <w:p w14:paraId="75E16C7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严格管控类农用地管控要求</w:t>
                  </w:r>
                </w:p>
                <w:p w14:paraId="57D103F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1、优先保护类耕地集中区域现有可能造成土壤污染的相关行业企业要采用新技术、新工艺，加快提标升级改造步伐，定期开展土壤污染隐患排查与风险管控，防止对耕地造成污染；</w:t>
                  </w:r>
                </w:p>
                <w:p w14:paraId="622F86B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2、排放污染物的企业事业单位和其他生产经营者应当采取有效措施，确保废水、废气排放和固体废物处理、处置符合国家有关规定要求，强化土壤环境污染治理及风险管控，防止对周边农用地土壤造成污染。</w:t>
                  </w:r>
                </w:p>
                <w:p w14:paraId="510CCD0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其他同达州市工业重点总体准入要求</w:t>
                  </w:r>
                </w:p>
                <w:p w14:paraId="4BBF051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安全利用类农用地管控要求</w:t>
                  </w:r>
                </w:p>
                <w:p w14:paraId="1426174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天然气化工、硫化工等污染排放较大且环境风险防范要求较高的产业应避开下风向近距离场镇等人群集中居住区，其他同达州市工业重点总体准入要求</w:t>
                  </w:r>
                </w:p>
                <w:p w14:paraId="4E02887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污染地块管控要求</w:t>
                  </w:r>
                </w:p>
                <w:p w14:paraId="3FFF305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执行达州市工业重点管控单元总体要求</w:t>
                  </w:r>
                </w:p>
                <w:p w14:paraId="77544B1B">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园区环境风险防控要求</w:t>
                  </w:r>
                </w:p>
                <w:p w14:paraId="6596C47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1、化工园区：建立污染源头、过程处理和最终排放的“三级防控”机制。高度重视化工园区的环境安全工作，构建“企业-园区-流域”三级防控体系，实现“事故废水不出涉事企业、不出园区管网、不进园区周边水系”的风险防控目标。</w:t>
                  </w:r>
                </w:p>
                <w:p w14:paraId="4F4468B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其他同达州市工业重点总体准入要求</w:t>
                  </w:r>
                </w:p>
                <w:p w14:paraId="7B07549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企业环境风险防控要求</w:t>
                  </w:r>
                </w:p>
                <w:p w14:paraId="3F3C494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-天然气化工、硫化工等污染排放较大且环境风险防范要求较高的产业应避开下风向近距离场镇等人群集中居住区。</w:t>
                  </w:r>
                </w:p>
                <w:p w14:paraId="0DC63BD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-在化工园区外禁止设置存储大宗危险化学物质的仓储项目，化工园区内设置存储大宗危险化学物质的仓储项目应充分论证其必要性。</w:t>
                  </w:r>
                </w:p>
                <w:p w14:paraId="72DF216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其他同达州市工业重点总体准入要求</w:t>
                  </w:r>
                </w:p>
                <w:p w14:paraId="697C3160">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其他环境风险防控要求</w:t>
                  </w:r>
                </w:p>
                <w:p w14:paraId="315DC9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26561999">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本项目提出环境风险防范措施，园区已建立“三级防控”机制，构建“企业-园区-流域”三级防控体系，实现“事故废水不出涉事企业、不出园区管网、不进园区周边水系”的风险防控目标。</w:t>
                  </w:r>
                </w:p>
                <w:p w14:paraId="51ECF549">
                  <w:pPr>
                    <w:pStyle w:val="28"/>
                    <w:keepNext w:val="0"/>
                    <w:keepLines w:val="0"/>
                    <w:suppressLineNumbers w:val="0"/>
                    <w:spacing w:before="0" w:beforeAutospacing="0" w:after="0" w:afterAutospacing="0"/>
                    <w:ind w:left="0" w:right="0"/>
                    <w:jc w:val="both"/>
                    <w:rPr>
                      <w:rFonts w:hint="default" w:eastAsiaTheme="minorEastAsia"/>
                      <w:color w:val="auto"/>
                      <w:lang w:bidi="ar"/>
                    </w:rPr>
                  </w:pPr>
                  <w:r>
                    <w:rPr>
                      <w:rFonts w:hint="default" w:eastAsiaTheme="minorEastAsia"/>
                      <w:color w:val="auto"/>
                      <w:lang w:bidi="ar"/>
                    </w:rPr>
                    <w:t>本项目位于合规的化工园区内，项目为食品级硫磺和工业级硫磺等产品生产项目，不属于仓储项目。</w:t>
                  </w:r>
                </w:p>
              </w:tc>
              <w:tc>
                <w:tcPr>
                  <w:tcW w:w="183" w:type="pct"/>
                  <w:shd w:val="clear" w:color="auto" w:fill="auto"/>
                  <w:vAlign w:val="center"/>
                </w:tcPr>
                <w:p w14:paraId="7503A59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r w14:paraId="31CDCF6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36" w:type="pct"/>
                  <w:vMerge w:val="continue"/>
                  <w:shd w:val="clear" w:color="auto" w:fill="auto"/>
                  <w:vAlign w:val="center"/>
                </w:tcPr>
                <w:p w14:paraId="6DA213EE">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341" w:type="pct"/>
                  <w:vMerge w:val="continue"/>
                  <w:shd w:val="clear" w:color="auto" w:fill="auto"/>
                  <w:vAlign w:val="center"/>
                </w:tcPr>
                <w:p w14:paraId="2DE47CD4">
                  <w:pPr>
                    <w:pStyle w:val="28"/>
                    <w:keepNext w:val="0"/>
                    <w:keepLines w:val="0"/>
                    <w:suppressLineNumbers w:val="0"/>
                    <w:spacing w:before="0" w:beforeAutospacing="0" w:after="0" w:afterAutospacing="0"/>
                    <w:ind w:left="0" w:right="0"/>
                    <w:jc w:val="both"/>
                    <w:rPr>
                      <w:rFonts w:hint="default" w:eastAsiaTheme="minorEastAsia"/>
                      <w:color w:val="auto"/>
                      <w:sz w:val="20"/>
                      <w:szCs w:val="20"/>
                    </w:rPr>
                  </w:pPr>
                </w:p>
              </w:tc>
              <w:tc>
                <w:tcPr>
                  <w:tcW w:w="614" w:type="pct"/>
                  <w:shd w:val="clear" w:color="auto" w:fill="auto"/>
                  <w:vAlign w:val="center"/>
                </w:tcPr>
                <w:p w14:paraId="4FD9766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资源开发效率要求</w:t>
                  </w:r>
                </w:p>
              </w:tc>
              <w:tc>
                <w:tcPr>
                  <w:tcW w:w="2530" w:type="pct"/>
                  <w:shd w:val="clear" w:color="auto" w:fill="auto"/>
                  <w:vAlign w:val="center"/>
                </w:tcPr>
                <w:p w14:paraId="699CE20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水资源利用效率要求</w:t>
                  </w:r>
                </w:p>
                <w:p w14:paraId="10EC7226">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执行达州市工业重点管控单元总体要求</w:t>
                  </w:r>
                </w:p>
                <w:p w14:paraId="2B32D4E1">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地下水开采要求</w:t>
                  </w:r>
                </w:p>
                <w:p w14:paraId="1F43DC64">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执行达州市工业重点管控单元总体要求</w:t>
                  </w:r>
                </w:p>
                <w:p w14:paraId="257BC3DA">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能源利用效率要求</w:t>
                  </w:r>
                </w:p>
                <w:p w14:paraId="772558BC">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执行达州市工业重点管控单元总体要求</w:t>
                  </w:r>
                </w:p>
                <w:p w14:paraId="01ABA052">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其他资源利用效率要求</w:t>
                  </w:r>
                </w:p>
                <w:p w14:paraId="26D9498E">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rPr>
                    <w:t>/</w:t>
                  </w:r>
                </w:p>
              </w:tc>
              <w:tc>
                <w:tcPr>
                  <w:tcW w:w="796" w:type="pct"/>
                  <w:shd w:val="clear" w:color="auto" w:fill="auto"/>
                  <w:vAlign w:val="center"/>
                </w:tcPr>
                <w:p w14:paraId="244D0B53">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sz w:val="21"/>
                      <w:szCs w:val="21"/>
                      <w:lang w:bidi="ar"/>
                    </w:rPr>
                    <w:t>/</w:t>
                  </w:r>
                </w:p>
              </w:tc>
              <w:tc>
                <w:tcPr>
                  <w:tcW w:w="183" w:type="pct"/>
                  <w:shd w:val="clear" w:color="auto" w:fill="auto"/>
                  <w:vAlign w:val="center"/>
                </w:tcPr>
                <w:p w14:paraId="140A8527">
                  <w:pPr>
                    <w:pStyle w:val="28"/>
                    <w:keepNext w:val="0"/>
                    <w:keepLines w:val="0"/>
                    <w:suppressLineNumbers w:val="0"/>
                    <w:spacing w:before="0" w:beforeAutospacing="0" w:after="0" w:afterAutospacing="0"/>
                    <w:ind w:left="0" w:right="0"/>
                    <w:jc w:val="both"/>
                    <w:rPr>
                      <w:rFonts w:hint="default" w:eastAsiaTheme="minorEastAsia"/>
                      <w:color w:val="auto"/>
                    </w:rPr>
                  </w:pPr>
                  <w:r>
                    <w:rPr>
                      <w:rFonts w:hint="default" w:eastAsiaTheme="minorEastAsia"/>
                      <w:color w:val="auto"/>
                      <w:lang w:bidi="ar"/>
                    </w:rPr>
                    <w:t>符合</w:t>
                  </w:r>
                </w:p>
              </w:tc>
            </w:tr>
          </w:tbl>
          <w:p w14:paraId="5DD4FD7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本项目属于食品级硫磺、工业级硫磺等产品制造，位于四川达州普光经济开发区</w:t>
            </w:r>
            <w:r>
              <w:rPr>
                <w:rFonts w:hint="eastAsia" w:cs="Times New Roman"/>
                <w:color w:val="auto"/>
                <w:lang w:eastAsia="zh-CN"/>
              </w:rPr>
              <w:t>达州</w:t>
            </w:r>
            <w:r>
              <w:rPr>
                <w:rFonts w:hint="default" w:cs="Times New Roman"/>
                <w:color w:val="auto"/>
              </w:rPr>
              <w:t>普光化工园区内，为已认定的合规化工园区范围，生态环境分区管控属于达州市宣汉县环境综合管控单元工业重点管控单元（管控单元名称：四川达州普光经济开发区，管控单元编号：ZH51172220002），项目相关建设内容符合该管控单元的普适性清单和单元级清单要求。</w:t>
            </w:r>
          </w:p>
          <w:p w14:paraId="7245F70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综上，本项目与生态环境分区管控要求是相符的。</w:t>
            </w:r>
          </w:p>
          <w:p w14:paraId="5182CC0F">
            <w:pPr>
              <w:keepNext w:val="0"/>
              <w:keepLines w:val="0"/>
              <w:suppressLineNumbers w:val="0"/>
              <w:spacing w:before="0" w:beforeAutospacing="0" w:after="0" w:afterAutospacing="0"/>
              <w:ind w:left="0" w:right="0" w:firstLine="480"/>
              <w:rPr>
                <w:rFonts w:hint="default" w:cs="Times New Roman"/>
                <w:color w:val="auto"/>
              </w:rPr>
            </w:pPr>
          </w:p>
          <w:p w14:paraId="560CC3AE">
            <w:pPr>
              <w:keepNext w:val="0"/>
              <w:keepLines w:val="0"/>
              <w:suppressLineNumbers w:val="0"/>
              <w:spacing w:before="0" w:beforeAutospacing="0" w:after="0" w:afterAutospacing="0"/>
              <w:ind w:left="0" w:right="0" w:firstLine="480"/>
              <w:rPr>
                <w:rFonts w:hint="default" w:cs="Times New Roman"/>
                <w:color w:val="auto"/>
              </w:rPr>
            </w:pPr>
          </w:p>
          <w:p w14:paraId="646DEEB1">
            <w:pPr>
              <w:keepNext w:val="0"/>
              <w:keepLines w:val="0"/>
              <w:suppressLineNumbers w:val="0"/>
              <w:spacing w:before="0" w:beforeAutospacing="0" w:after="0" w:afterAutospacing="0"/>
              <w:ind w:left="0" w:right="0" w:firstLine="480"/>
              <w:rPr>
                <w:rFonts w:hint="default" w:cs="Times New Roman"/>
                <w:color w:val="auto"/>
              </w:rPr>
            </w:pPr>
          </w:p>
          <w:p w14:paraId="2A85E104">
            <w:pPr>
              <w:keepNext w:val="0"/>
              <w:keepLines w:val="0"/>
              <w:suppressLineNumbers w:val="0"/>
              <w:spacing w:before="0" w:beforeAutospacing="0" w:after="0" w:afterAutospacing="0"/>
              <w:ind w:left="0" w:right="0" w:firstLine="480"/>
              <w:rPr>
                <w:rFonts w:hint="default" w:cs="Times New Roman"/>
                <w:color w:val="auto"/>
              </w:rPr>
            </w:pPr>
          </w:p>
          <w:p w14:paraId="6DFB1BE7">
            <w:pPr>
              <w:keepNext w:val="0"/>
              <w:keepLines w:val="0"/>
              <w:suppressLineNumbers w:val="0"/>
              <w:spacing w:before="0" w:beforeAutospacing="0" w:after="0" w:afterAutospacing="0"/>
              <w:ind w:left="0" w:right="0" w:firstLine="480"/>
              <w:rPr>
                <w:rFonts w:hint="default" w:cs="Times New Roman"/>
                <w:color w:val="auto"/>
              </w:rPr>
            </w:pPr>
          </w:p>
          <w:p w14:paraId="4F1EB829">
            <w:pPr>
              <w:keepNext w:val="0"/>
              <w:keepLines w:val="0"/>
              <w:suppressLineNumbers w:val="0"/>
              <w:spacing w:before="0" w:beforeAutospacing="0" w:after="0" w:afterAutospacing="0"/>
              <w:ind w:left="0" w:right="0" w:firstLine="480"/>
              <w:rPr>
                <w:rFonts w:hint="default" w:cs="Times New Roman"/>
                <w:color w:val="auto"/>
              </w:rPr>
            </w:pPr>
          </w:p>
          <w:p w14:paraId="2FABFD02">
            <w:pPr>
              <w:keepNext w:val="0"/>
              <w:keepLines w:val="0"/>
              <w:suppressLineNumbers w:val="0"/>
              <w:spacing w:before="0" w:beforeAutospacing="0" w:after="0" w:afterAutospacing="0"/>
              <w:ind w:left="0" w:right="0" w:firstLine="480"/>
              <w:rPr>
                <w:rFonts w:hint="default" w:cs="Times New Roman"/>
                <w:color w:val="auto"/>
              </w:rPr>
            </w:pPr>
          </w:p>
          <w:p w14:paraId="012EC845">
            <w:pPr>
              <w:keepNext w:val="0"/>
              <w:keepLines w:val="0"/>
              <w:suppressLineNumbers w:val="0"/>
              <w:spacing w:before="0" w:beforeAutospacing="0" w:after="0" w:afterAutospacing="0"/>
              <w:ind w:left="0" w:right="0" w:firstLine="480"/>
              <w:rPr>
                <w:rFonts w:hint="default" w:cs="Times New Roman"/>
                <w:color w:val="auto"/>
              </w:rPr>
            </w:pPr>
          </w:p>
        </w:tc>
      </w:tr>
    </w:tbl>
    <w:p w14:paraId="1FE7011B">
      <w:pPr>
        <w:pStyle w:val="2"/>
        <w:ind w:firstLine="602"/>
        <w:rPr>
          <w:rFonts w:cs="Times New Roman"/>
          <w:color w:val="auto"/>
          <w:sz w:val="30"/>
          <w:szCs w:val="30"/>
        </w:rPr>
        <w:sectPr>
          <w:pgSz w:w="16838" w:h="11906" w:orient="landscape"/>
          <w:pgMar w:top="1797" w:right="1440" w:bottom="1797" w:left="1440" w:header="851" w:footer="992" w:gutter="0"/>
          <w:cols w:space="425" w:num="1"/>
          <w:docGrid w:type="lines" w:linePitch="326" w:charSpace="0"/>
        </w:sectPr>
      </w:pPr>
    </w:p>
    <w:tbl>
      <w:tblPr>
        <w:tblStyle w:val="1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7663"/>
      </w:tblGrid>
      <w:tr w14:paraId="16AC1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1" w:hRule="atLeast"/>
          <w:jc w:val="center"/>
        </w:trPr>
        <w:tc>
          <w:tcPr>
            <w:tcW w:w="1202" w:type="dxa"/>
            <w:vAlign w:val="center"/>
          </w:tcPr>
          <w:p w14:paraId="3F348EB0">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cs="Times New Roman"/>
                <w:color w:val="auto"/>
                <w:kern w:val="0"/>
                <w:szCs w:val="21"/>
              </w:rPr>
            </w:pPr>
            <w:r>
              <w:rPr>
                <w:rFonts w:hint="default" w:cs="Times New Roman"/>
                <w:color w:val="auto"/>
              </w:rPr>
              <w:t>其他符合性分析</w:t>
            </w:r>
          </w:p>
        </w:tc>
        <w:tc>
          <w:tcPr>
            <w:tcW w:w="7663" w:type="dxa"/>
            <w:vAlign w:val="center"/>
          </w:tcPr>
          <w:p w14:paraId="356AFEC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color w:val="auto"/>
              </w:rPr>
              <w:t>六、项目外环境关系及选址合理性分析</w:t>
            </w:r>
          </w:p>
          <w:p w14:paraId="66C2099D">
            <w:pPr>
              <w:keepNext w:val="0"/>
              <w:keepLines w:val="0"/>
              <w:suppressLineNumbers w:val="0"/>
              <w:spacing w:before="0" w:beforeAutospacing="0" w:after="0" w:afterAutospacing="0"/>
              <w:ind w:left="0" w:right="0" w:firstLine="482"/>
              <w:rPr>
                <w:rFonts w:hint="default" w:cs="Times New Roman"/>
                <w:bCs/>
                <w:color w:val="auto"/>
              </w:rPr>
            </w:pPr>
            <w:r>
              <w:rPr>
                <w:rFonts w:hint="default" w:cs="Times New Roman"/>
                <w:b/>
                <w:color w:val="auto"/>
              </w:rPr>
              <w:t>1、外环境关系</w:t>
            </w:r>
          </w:p>
          <w:p w14:paraId="680A439E">
            <w:pPr>
              <w:keepNext w:val="0"/>
              <w:keepLines w:val="0"/>
              <w:suppressLineNumbers w:val="0"/>
              <w:spacing w:before="0" w:beforeAutospacing="0" w:after="0" w:afterAutospacing="0"/>
              <w:ind w:left="0" w:right="0" w:firstLine="480"/>
              <w:rPr>
                <w:rFonts w:hint="default" w:cs="Times New Roman"/>
                <w:color w:val="auto"/>
              </w:rPr>
            </w:pPr>
            <w:bookmarkStart w:id="53" w:name="_Hlk47020085"/>
            <w:r>
              <w:rPr>
                <w:rFonts w:hint="default" w:cs="Times New Roman"/>
                <w:color w:val="auto"/>
              </w:rPr>
              <w:t>本项目位于四川省达州市宣汉县经开区普光功能区，正达凯公司地块东侧，本项目位于认定的合规化工园区范围内。根据现场踏勘，项目周围500m范围内主要为园区生产企业与居民，无文物保护区、风景名胜区和</w:t>
            </w:r>
            <w:r>
              <w:rPr>
                <w:rFonts w:hint="eastAsia" w:cs="Times New Roman"/>
                <w:color w:val="auto"/>
              </w:rPr>
              <w:t>饮用水</w:t>
            </w:r>
            <w:r>
              <w:rPr>
                <w:rFonts w:hint="default" w:cs="Times New Roman"/>
                <w:color w:val="auto"/>
              </w:rPr>
              <w:t>水源保护地等环境敏感目标。</w:t>
            </w:r>
            <w:bookmarkEnd w:id="53"/>
          </w:p>
          <w:p w14:paraId="616AD46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东面为达州冠腾新材料科技有限公司（拟建酚醛树脂脲醛树脂甲醛联产项目）；地块南侧为四川砥龙化工有限责任公司（拟建年产8万吨高分子材料功能助剂及10万吨硫磺粉体建设项目），西南侧150m、420m处分别为四川亿隆环保科技有限公司（污泥焚烧项目）、四川天敏化工有限公司（二硫化碳生产项目；项目西侧一墙之隔为四川正达凯新材料有限公司（年产120万吨MEG联产10万吨电子级DMC新材料项目），项目北面为园区道路和待开发土地。</w:t>
            </w:r>
          </w:p>
          <w:p w14:paraId="4827A80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本项目西侧460m-500m处有2户住户，西北面160-370m处有6户住户，北面150-185m有5户住户，东北面185m-490m处有21户住户。</w:t>
            </w:r>
          </w:p>
          <w:p w14:paraId="34E7BAF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项目外环境关系列表如下：</w:t>
            </w:r>
          </w:p>
          <w:p w14:paraId="0725370D">
            <w:pPr>
              <w:pStyle w:val="36"/>
              <w:keepNext w:val="0"/>
              <w:keepLines w:val="0"/>
              <w:suppressLineNumbers w:val="0"/>
              <w:spacing w:before="32" w:beforeAutospacing="0" w:after="32" w:afterAutospacing="0"/>
              <w:ind w:left="0" w:right="0" w:firstLine="480"/>
              <w:rPr>
                <w:rFonts w:hint="default" w:cs="Times New Roman"/>
                <w:color w:val="auto"/>
                <w:szCs w:val="22"/>
              </w:rPr>
            </w:pPr>
            <w:r>
              <w:rPr>
                <w:rFonts w:hint="default" w:cs="Times New Roman"/>
                <w:color w:val="auto"/>
              </w:rPr>
              <w:t>项目</w:t>
            </w:r>
            <w:r>
              <w:rPr>
                <w:rFonts w:hint="default" w:cs="Times New Roman"/>
                <w:color w:val="auto"/>
                <w:szCs w:val="22"/>
              </w:rPr>
              <w:t>外环境关系一览表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430"/>
              <w:gridCol w:w="865"/>
              <w:gridCol w:w="1823"/>
              <w:gridCol w:w="1204"/>
            </w:tblGrid>
            <w:tr w14:paraId="7E9C0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2D6B232F">
                  <w:pPr>
                    <w:pStyle w:val="28"/>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1632" w:type="pct"/>
                  <w:tcBorders>
                    <w:tl2br w:val="nil"/>
                    <w:tr2bl w:val="nil"/>
                  </w:tcBorders>
                  <w:vAlign w:val="center"/>
                </w:tcPr>
                <w:p w14:paraId="6DD2CAFC">
                  <w:pPr>
                    <w:pStyle w:val="28"/>
                    <w:keepNext w:val="0"/>
                    <w:keepLines w:val="0"/>
                    <w:suppressLineNumbers w:val="0"/>
                    <w:spacing w:before="0" w:beforeAutospacing="0" w:after="0" w:afterAutospacing="0"/>
                    <w:ind w:left="0" w:right="0"/>
                    <w:rPr>
                      <w:rFonts w:hint="default"/>
                      <w:color w:val="auto"/>
                    </w:rPr>
                  </w:pPr>
                  <w:r>
                    <w:rPr>
                      <w:rFonts w:hint="default"/>
                      <w:color w:val="auto"/>
                    </w:rPr>
                    <w:t>外环境名称</w:t>
                  </w:r>
                </w:p>
              </w:tc>
              <w:tc>
                <w:tcPr>
                  <w:tcW w:w="581" w:type="pct"/>
                  <w:tcBorders>
                    <w:tl2br w:val="nil"/>
                    <w:tr2bl w:val="nil"/>
                  </w:tcBorders>
                  <w:vAlign w:val="center"/>
                </w:tcPr>
                <w:p w14:paraId="4B273171">
                  <w:pPr>
                    <w:pStyle w:val="28"/>
                    <w:keepNext w:val="0"/>
                    <w:keepLines w:val="0"/>
                    <w:suppressLineNumbers w:val="0"/>
                    <w:spacing w:before="0" w:beforeAutospacing="0" w:after="0" w:afterAutospacing="0"/>
                    <w:ind w:left="0" w:right="0"/>
                    <w:rPr>
                      <w:rFonts w:hint="default"/>
                      <w:color w:val="auto"/>
                    </w:rPr>
                  </w:pPr>
                  <w:r>
                    <w:rPr>
                      <w:rFonts w:hint="default"/>
                      <w:color w:val="auto"/>
                    </w:rPr>
                    <w:t>方位</w:t>
                  </w:r>
                </w:p>
              </w:tc>
              <w:tc>
                <w:tcPr>
                  <w:tcW w:w="1224" w:type="pct"/>
                  <w:tcBorders>
                    <w:tl2br w:val="nil"/>
                    <w:tr2bl w:val="nil"/>
                  </w:tcBorders>
                  <w:vAlign w:val="center"/>
                </w:tcPr>
                <w:p w14:paraId="26DDB6EF">
                  <w:pPr>
                    <w:pStyle w:val="28"/>
                    <w:keepNext w:val="0"/>
                    <w:keepLines w:val="0"/>
                    <w:suppressLineNumbers w:val="0"/>
                    <w:spacing w:before="0" w:beforeAutospacing="0" w:after="0" w:afterAutospacing="0"/>
                    <w:ind w:left="0" w:right="0"/>
                    <w:rPr>
                      <w:rFonts w:hint="default"/>
                      <w:color w:val="auto"/>
                    </w:rPr>
                  </w:pPr>
                  <w:r>
                    <w:rPr>
                      <w:rFonts w:hint="default"/>
                      <w:color w:val="auto"/>
                    </w:rPr>
                    <w:t>与本项目最近距离</w:t>
                  </w:r>
                </w:p>
              </w:tc>
              <w:tc>
                <w:tcPr>
                  <w:tcW w:w="808" w:type="pct"/>
                  <w:tcBorders>
                    <w:tl2br w:val="nil"/>
                    <w:tr2bl w:val="nil"/>
                  </w:tcBorders>
                  <w:vAlign w:val="center"/>
                </w:tcPr>
                <w:p w14:paraId="4274A817">
                  <w:pPr>
                    <w:pStyle w:val="28"/>
                    <w:keepNext w:val="0"/>
                    <w:keepLines w:val="0"/>
                    <w:suppressLineNumbers w:val="0"/>
                    <w:spacing w:before="0" w:beforeAutospacing="0" w:after="0" w:afterAutospacing="0"/>
                    <w:ind w:left="0" w:right="0"/>
                    <w:rPr>
                      <w:rFonts w:hint="default"/>
                      <w:color w:val="auto"/>
                    </w:rPr>
                  </w:pPr>
                  <w:r>
                    <w:rPr>
                      <w:rFonts w:hint="default"/>
                      <w:color w:val="auto"/>
                    </w:rPr>
                    <w:t>备注</w:t>
                  </w:r>
                </w:p>
              </w:tc>
            </w:tr>
            <w:tr w14:paraId="642BC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5B6FCD23">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1632" w:type="pct"/>
                  <w:tcBorders>
                    <w:tl2br w:val="nil"/>
                    <w:tr2bl w:val="nil"/>
                  </w:tcBorders>
                  <w:vAlign w:val="center"/>
                </w:tcPr>
                <w:p w14:paraId="12F1C783">
                  <w:pPr>
                    <w:pStyle w:val="28"/>
                    <w:keepNext w:val="0"/>
                    <w:keepLines w:val="0"/>
                    <w:suppressLineNumbers w:val="0"/>
                    <w:spacing w:before="0" w:beforeAutospacing="0" w:after="0" w:afterAutospacing="0"/>
                    <w:ind w:left="0" w:right="0"/>
                    <w:rPr>
                      <w:rFonts w:hint="default"/>
                      <w:color w:val="auto"/>
                    </w:rPr>
                  </w:pPr>
                  <w:r>
                    <w:rPr>
                      <w:rFonts w:hint="default"/>
                      <w:color w:val="auto"/>
                    </w:rPr>
                    <w:t>州冠腾新材料科技有限公司</w:t>
                  </w:r>
                </w:p>
              </w:tc>
              <w:tc>
                <w:tcPr>
                  <w:tcW w:w="581" w:type="pct"/>
                  <w:tcBorders>
                    <w:tl2br w:val="nil"/>
                    <w:tr2bl w:val="nil"/>
                  </w:tcBorders>
                  <w:vAlign w:val="center"/>
                </w:tcPr>
                <w:p w14:paraId="6552AAAC">
                  <w:pPr>
                    <w:pStyle w:val="28"/>
                    <w:keepNext w:val="0"/>
                    <w:keepLines w:val="0"/>
                    <w:suppressLineNumbers w:val="0"/>
                    <w:spacing w:before="0" w:beforeAutospacing="0" w:after="0" w:afterAutospacing="0"/>
                    <w:ind w:left="0" w:right="0"/>
                    <w:rPr>
                      <w:rFonts w:hint="default"/>
                      <w:color w:val="auto"/>
                    </w:rPr>
                  </w:pPr>
                  <w:r>
                    <w:rPr>
                      <w:rFonts w:hint="default"/>
                      <w:color w:val="auto"/>
                    </w:rPr>
                    <w:t>E</w:t>
                  </w:r>
                </w:p>
              </w:tc>
              <w:tc>
                <w:tcPr>
                  <w:tcW w:w="1224" w:type="pct"/>
                  <w:tcBorders>
                    <w:tl2br w:val="nil"/>
                    <w:tr2bl w:val="nil"/>
                  </w:tcBorders>
                  <w:vAlign w:val="center"/>
                </w:tcPr>
                <w:p w14:paraId="19937BD9">
                  <w:pPr>
                    <w:pStyle w:val="28"/>
                    <w:keepNext w:val="0"/>
                    <w:keepLines w:val="0"/>
                    <w:suppressLineNumbers w:val="0"/>
                    <w:spacing w:before="0" w:beforeAutospacing="0" w:after="0" w:afterAutospacing="0"/>
                    <w:ind w:left="0" w:right="0"/>
                    <w:rPr>
                      <w:rFonts w:hint="default"/>
                      <w:color w:val="auto"/>
                    </w:rPr>
                  </w:pPr>
                  <w:r>
                    <w:rPr>
                      <w:rFonts w:hint="default"/>
                      <w:color w:val="auto"/>
                    </w:rPr>
                    <w:t>紧邻</w:t>
                  </w:r>
                </w:p>
              </w:tc>
              <w:tc>
                <w:tcPr>
                  <w:tcW w:w="808" w:type="pct"/>
                  <w:tcBorders>
                    <w:tl2br w:val="nil"/>
                    <w:tr2bl w:val="nil"/>
                  </w:tcBorders>
                  <w:vAlign w:val="center"/>
                </w:tcPr>
                <w:p w14:paraId="73299F83">
                  <w:pPr>
                    <w:pStyle w:val="28"/>
                    <w:keepNext w:val="0"/>
                    <w:keepLines w:val="0"/>
                    <w:suppressLineNumbers w:val="0"/>
                    <w:spacing w:before="0" w:beforeAutospacing="0" w:after="0" w:afterAutospacing="0"/>
                    <w:ind w:left="0" w:right="0"/>
                    <w:rPr>
                      <w:rFonts w:hint="default"/>
                      <w:color w:val="auto"/>
                    </w:rPr>
                  </w:pPr>
                  <w:r>
                    <w:rPr>
                      <w:rFonts w:hint="default"/>
                      <w:color w:val="auto"/>
                    </w:rPr>
                    <w:t>企业</w:t>
                  </w:r>
                </w:p>
              </w:tc>
            </w:tr>
            <w:tr w14:paraId="0793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746A71D9">
                  <w:pPr>
                    <w:pStyle w:val="28"/>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632" w:type="pct"/>
                  <w:tcBorders>
                    <w:tl2br w:val="nil"/>
                    <w:tr2bl w:val="nil"/>
                  </w:tcBorders>
                  <w:vAlign w:val="center"/>
                </w:tcPr>
                <w:p w14:paraId="7DBF2B02">
                  <w:pPr>
                    <w:pStyle w:val="28"/>
                    <w:keepNext w:val="0"/>
                    <w:keepLines w:val="0"/>
                    <w:suppressLineNumbers w:val="0"/>
                    <w:spacing w:before="0" w:beforeAutospacing="0" w:after="0" w:afterAutospacing="0"/>
                    <w:ind w:left="0" w:right="0"/>
                    <w:rPr>
                      <w:rFonts w:hint="default"/>
                      <w:color w:val="auto"/>
                    </w:rPr>
                  </w:pPr>
                  <w:r>
                    <w:rPr>
                      <w:rFonts w:hint="default"/>
                      <w:color w:val="auto"/>
                    </w:rPr>
                    <w:t>四川砥龙化工有限责任公司</w:t>
                  </w:r>
                </w:p>
              </w:tc>
              <w:tc>
                <w:tcPr>
                  <w:tcW w:w="581" w:type="pct"/>
                  <w:tcBorders>
                    <w:tl2br w:val="nil"/>
                    <w:tr2bl w:val="nil"/>
                  </w:tcBorders>
                  <w:vAlign w:val="center"/>
                </w:tcPr>
                <w:p w14:paraId="618C1768">
                  <w:pPr>
                    <w:pStyle w:val="28"/>
                    <w:keepNext w:val="0"/>
                    <w:keepLines w:val="0"/>
                    <w:suppressLineNumbers w:val="0"/>
                    <w:spacing w:before="0" w:beforeAutospacing="0" w:after="0" w:afterAutospacing="0"/>
                    <w:ind w:left="0" w:right="0"/>
                    <w:rPr>
                      <w:rFonts w:hint="default"/>
                      <w:color w:val="auto"/>
                    </w:rPr>
                  </w:pPr>
                  <w:r>
                    <w:rPr>
                      <w:rFonts w:hint="default"/>
                      <w:color w:val="auto"/>
                    </w:rPr>
                    <w:t>S</w:t>
                  </w:r>
                </w:p>
              </w:tc>
              <w:tc>
                <w:tcPr>
                  <w:tcW w:w="1224" w:type="pct"/>
                  <w:tcBorders>
                    <w:tl2br w:val="nil"/>
                    <w:tr2bl w:val="nil"/>
                  </w:tcBorders>
                  <w:shd w:val="clear" w:color="auto" w:fill="auto"/>
                  <w:vAlign w:val="center"/>
                </w:tcPr>
                <w:p w14:paraId="74761430">
                  <w:pPr>
                    <w:pStyle w:val="28"/>
                    <w:keepNext w:val="0"/>
                    <w:keepLines w:val="0"/>
                    <w:suppressLineNumbers w:val="0"/>
                    <w:spacing w:before="0" w:beforeAutospacing="0" w:after="0" w:afterAutospacing="0"/>
                    <w:ind w:left="0" w:right="0"/>
                    <w:rPr>
                      <w:rFonts w:hint="default"/>
                      <w:color w:val="auto"/>
                    </w:rPr>
                  </w:pPr>
                  <w:r>
                    <w:rPr>
                      <w:rFonts w:hint="default"/>
                      <w:color w:val="auto"/>
                    </w:rPr>
                    <w:t>紧邻</w:t>
                  </w:r>
                </w:p>
              </w:tc>
              <w:tc>
                <w:tcPr>
                  <w:tcW w:w="808" w:type="pct"/>
                  <w:tcBorders>
                    <w:tl2br w:val="nil"/>
                    <w:tr2bl w:val="nil"/>
                  </w:tcBorders>
                  <w:vAlign w:val="center"/>
                </w:tcPr>
                <w:p w14:paraId="5C8940ED">
                  <w:pPr>
                    <w:pStyle w:val="28"/>
                    <w:keepNext w:val="0"/>
                    <w:keepLines w:val="0"/>
                    <w:suppressLineNumbers w:val="0"/>
                    <w:spacing w:before="0" w:beforeAutospacing="0" w:after="0" w:afterAutospacing="0"/>
                    <w:ind w:left="0" w:right="0"/>
                    <w:rPr>
                      <w:rFonts w:hint="default"/>
                      <w:color w:val="auto"/>
                    </w:rPr>
                  </w:pPr>
                  <w:r>
                    <w:rPr>
                      <w:rFonts w:hint="default"/>
                      <w:color w:val="auto"/>
                    </w:rPr>
                    <w:t>企业</w:t>
                  </w:r>
                </w:p>
              </w:tc>
            </w:tr>
            <w:tr w14:paraId="60DFE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150609F3">
                  <w:pPr>
                    <w:pStyle w:val="28"/>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1632" w:type="pct"/>
                  <w:tcBorders>
                    <w:tl2br w:val="nil"/>
                    <w:tr2bl w:val="nil"/>
                  </w:tcBorders>
                  <w:vAlign w:val="center"/>
                </w:tcPr>
                <w:p w14:paraId="4F71BA87">
                  <w:pPr>
                    <w:pStyle w:val="28"/>
                    <w:keepNext w:val="0"/>
                    <w:keepLines w:val="0"/>
                    <w:suppressLineNumbers w:val="0"/>
                    <w:spacing w:before="0" w:beforeAutospacing="0" w:after="0" w:afterAutospacing="0"/>
                    <w:ind w:left="0" w:right="0"/>
                    <w:rPr>
                      <w:rFonts w:hint="default"/>
                      <w:color w:val="auto"/>
                    </w:rPr>
                  </w:pPr>
                  <w:r>
                    <w:rPr>
                      <w:rFonts w:hint="default"/>
                      <w:color w:val="auto"/>
                    </w:rPr>
                    <w:t>四川亿隆环保科技有限公司</w:t>
                  </w:r>
                </w:p>
              </w:tc>
              <w:tc>
                <w:tcPr>
                  <w:tcW w:w="581" w:type="pct"/>
                  <w:tcBorders>
                    <w:tl2br w:val="nil"/>
                    <w:tr2bl w:val="nil"/>
                  </w:tcBorders>
                  <w:vAlign w:val="center"/>
                </w:tcPr>
                <w:p w14:paraId="5111A9D1">
                  <w:pPr>
                    <w:pStyle w:val="28"/>
                    <w:keepNext w:val="0"/>
                    <w:keepLines w:val="0"/>
                    <w:suppressLineNumbers w:val="0"/>
                    <w:spacing w:before="0" w:beforeAutospacing="0" w:after="0" w:afterAutospacing="0"/>
                    <w:ind w:left="0" w:right="0"/>
                    <w:rPr>
                      <w:rFonts w:hint="default"/>
                      <w:color w:val="auto"/>
                    </w:rPr>
                  </w:pPr>
                  <w:r>
                    <w:rPr>
                      <w:rFonts w:hint="default"/>
                      <w:color w:val="auto"/>
                    </w:rPr>
                    <w:t>SW</w:t>
                  </w:r>
                </w:p>
              </w:tc>
              <w:tc>
                <w:tcPr>
                  <w:tcW w:w="1224" w:type="pct"/>
                  <w:tcBorders>
                    <w:tl2br w:val="nil"/>
                    <w:tr2bl w:val="nil"/>
                  </w:tcBorders>
                  <w:vAlign w:val="center"/>
                </w:tcPr>
                <w:p w14:paraId="519DF9BC">
                  <w:pPr>
                    <w:pStyle w:val="28"/>
                    <w:keepNext w:val="0"/>
                    <w:keepLines w:val="0"/>
                    <w:suppressLineNumbers w:val="0"/>
                    <w:spacing w:before="0" w:beforeAutospacing="0" w:after="0" w:afterAutospacing="0"/>
                    <w:ind w:left="0" w:right="0"/>
                    <w:rPr>
                      <w:rFonts w:hint="default"/>
                      <w:color w:val="auto"/>
                    </w:rPr>
                  </w:pPr>
                  <w:r>
                    <w:rPr>
                      <w:rFonts w:hint="default"/>
                      <w:color w:val="auto"/>
                    </w:rPr>
                    <w:t>150m</w:t>
                  </w:r>
                </w:p>
              </w:tc>
              <w:tc>
                <w:tcPr>
                  <w:tcW w:w="808" w:type="pct"/>
                  <w:tcBorders>
                    <w:tl2br w:val="nil"/>
                    <w:tr2bl w:val="nil"/>
                  </w:tcBorders>
                  <w:vAlign w:val="center"/>
                </w:tcPr>
                <w:p w14:paraId="130B146E">
                  <w:pPr>
                    <w:pStyle w:val="28"/>
                    <w:keepNext w:val="0"/>
                    <w:keepLines w:val="0"/>
                    <w:suppressLineNumbers w:val="0"/>
                    <w:spacing w:before="0" w:beforeAutospacing="0" w:after="0" w:afterAutospacing="0"/>
                    <w:ind w:left="0" w:right="0"/>
                    <w:rPr>
                      <w:rFonts w:hint="default"/>
                      <w:color w:val="auto"/>
                    </w:rPr>
                  </w:pPr>
                  <w:r>
                    <w:rPr>
                      <w:rFonts w:hint="default"/>
                      <w:color w:val="auto"/>
                    </w:rPr>
                    <w:t>企业</w:t>
                  </w:r>
                </w:p>
              </w:tc>
            </w:tr>
            <w:tr w14:paraId="4BEF7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3188DE36">
                  <w:pPr>
                    <w:pStyle w:val="28"/>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1632" w:type="pct"/>
                  <w:tcBorders>
                    <w:tl2br w:val="nil"/>
                    <w:tr2bl w:val="nil"/>
                  </w:tcBorders>
                  <w:vAlign w:val="center"/>
                </w:tcPr>
                <w:p w14:paraId="6F9C85B5">
                  <w:pPr>
                    <w:pStyle w:val="28"/>
                    <w:keepNext w:val="0"/>
                    <w:keepLines w:val="0"/>
                    <w:suppressLineNumbers w:val="0"/>
                    <w:spacing w:before="0" w:beforeAutospacing="0" w:after="0" w:afterAutospacing="0"/>
                    <w:ind w:left="0" w:right="0"/>
                    <w:rPr>
                      <w:rFonts w:hint="default"/>
                      <w:color w:val="auto"/>
                    </w:rPr>
                  </w:pPr>
                  <w:r>
                    <w:rPr>
                      <w:rFonts w:hint="default"/>
                      <w:color w:val="auto"/>
                    </w:rPr>
                    <w:t>四川天敏化工有限公司</w:t>
                  </w:r>
                </w:p>
              </w:tc>
              <w:tc>
                <w:tcPr>
                  <w:tcW w:w="581" w:type="pct"/>
                  <w:tcBorders>
                    <w:tl2br w:val="nil"/>
                    <w:tr2bl w:val="nil"/>
                  </w:tcBorders>
                  <w:vAlign w:val="center"/>
                </w:tcPr>
                <w:p w14:paraId="4EA29B9D">
                  <w:pPr>
                    <w:pStyle w:val="28"/>
                    <w:keepNext w:val="0"/>
                    <w:keepLines w:val="0"/>
                    <w:suppressLineNumbers w:val="0"/>
                    <w:spacing w:before="0" w:beforeAutospacing="0" w:after="0" w:afterAutospacing="0"/>
                    <w:ind w:left="0" w:right="0"/>
                    <w:rPr>
                      <w:rFonts w:hint="default"/>
                      <w:color w:val="auto"/>
                    </w:rPr>
                  </w:pPr>
                  <w:r>
                    <w:rPr>
                      <w:rFonts w:hint="default"/>
                      <w:color w:val="auto"/>
                    </w:rPr>
                    <w:t>SW</w:t>
                  </w:r>
                </w:p>
              </w:tc>
              <w:tc>
                <w:tcPr>
                  <w:tcW w:w="1224" w:type="pct"/>
                  <w:tcBorders>
                    <w:tl2br w:val="nil"/>
                    <w:tr2bl w:val="nil"/>
                  </w:tcBorders>
                  <w:vAlign w:val="center"/>
                </w:tcPr>
                <w:p w14:paraId="034F2D39">
                  <w:pPr>
                    <w:pStyle w:val="28"/>
                    <w:keepNext w:val="0"/>
                    <w:keepLines w:val="0"/>
                    <w:suppressLineNumbers w:val="0"/>
                    <w:spacing w:before="0" w:beforeAutospacing="0" w:after="0" w:afterAutospacing="0"/>
                    <w:ind w:left="0" w:right="0"/>
                    <w:rPr>
                      <w:rFonts w:hint="default"/>
                      <w:color w:val="auto"/>
                    </w:rPr>
                  </w:pPr>
                  <w:r>
                    <w:rPr>
                      <w:rFonts w:hint="default"/>
                      <w:color w:val="auto"/>
                    </w:rPr>
                    <w:t>420m</w:t>
                  </w:r>
                </w:p>
              </w:tc>
              <w:tc>
                <w:tcPr>
                  <w:tcW w:w="808" w:type="pct"/>
                  <w:tcBorders>
                    <w:tl2br w:val="nil"/>
                    <w:tr2bl w:val="nil"/>
                  </w:tcBorders>
                  <w:vAlign w:val="center"/>
                </w:tcPr>
                <w:p w14:paraId="16E657C6">
                  <w:pPr>
                    <w:pStyle w:val="28"/>
                    <w:keepNext w:val="0"/>
                    <w:keepLines w:val="0"/>
                    <w:suppressLineNumbers w:val="0"/>
                    <w:spacing w:before="0" w:beforeAutospacing="0" w:after="0" w:afterAutospacing="0"/>
                    <w:ind w:left="0" w:right="0"/>
                    <w:rPr>
                      <w:rFonts w:hint="default"/>
                      <w:color w:val="auto"/>
                    </w:rPr>
                  </w:pPr>
                  <w:r>
                    <w:rPr>
                      <w:rFonts w:hint="default"/>
                      <w:color w:val="auto"/>
                    </w:rPr>
                    <w:t>企业</w:t>
                  </w:r>
                </w:p>
              </w:tc>
            </w:tr>
            <w:tr w14:paraId="2530D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2AB5D155">
                  <w:pPr>
                    <w:pStyle w:val="28"/>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1632" w:type="pct"/>
                  <w:tcBorders>
                    <w:tl2br w:val="nil"/>
                    <w:tr2bl w:val="nil"/>
                  </w:tcBorders>
                  <w:vAlign w:val="center"/>
                </w:tcPr>
                <w:p w14:paraId="5954DC86">
                  <w:pPr>
                    <w:pStyle w:val="28"/>
                    <w:keepNext w:val="0"/>
                    <w:keepLines w:val="0"/>
                    <w:suppressLineNumbers w:val="0"/>
                    <w:spacing w:before="0" w:beforeAutospacing="0" w:after="0" w:afterAutospacing="0"/>
                    <w:ind w:left="0" w:right="0"/>
                    <w:rPr>
                      <w:rFonts w:hint="default"/>
                      <w:color w:val="auto"/>
                    </w:rPr>
                  </w:pPr>
                  <w:r>
                    <w:rPr>
                      <w:rFonts w:hint="default"/>
                      <w:color w:val="auto"/>
                    </w:rPr>
                    <w:t>四川正达凯新材料有限公司</w:t>
                  </w:r>
                </w:p>
              </w:tc>
              <w:tc>
                <w:tcPr>
                  <w:tcW w:w="581" w:type="pct"/>
                  <w:tcBorders>
                    <w:tl2br w:val="nil"/>
                    <w:tr2bl w:val="nil"/>
                  </w:tcBorders>
                  <w:vAlign w:val="center"/>
                </w:tcPr>
                <w:p w14:paraId="2ED348F6">
                  <w:pPr>
                    <w:pStyle w:val="28"/>
                    <w:keepNext w:val="0"/>
                    <w:keepLines w:val="0"/>
                    <w:suppressLineNumbers w:val="0"/>
                    <w:spacing w:before="0" w:beforeAutospacing="0" w:after="0" w:afterAutospacing="0"/>
                    <w:ind w:left="0" w:right="0"/>
                    <w:rPr>
                      <w:rFonts w:hint="default"/>
                      <w:color w:val="auto"/>
                    </w:rPr>
                  </w:pPr>
                  <w:r>
                    <w:rPr>
                      <w:rFonts w:hint="default"/>
                      <w:color w:val="auto"/>
                    </w:rPr>
                    <w:t>W</w:t>
                  </w:r>
                </w:p>
              </w:tc>
              <w:tc>
                <w:tcPr>
                  <w:tcW w:w="1224" w:type="pct"/>
                  <w:tcBorders>
                    <w:tl2br w:val="nil"/>
                    <w:tr2bl w:val="nil"/>
                  </w:tcBorders>
                  <w:shd w:val="clear" w:color="auto" w:fill="auto"/>
                  <w:vAlign w:val="center"/>
                </w:tcPr>
                <w:p w14:paraId="52D5FB4D">
                  <w:pPr>
                    <w:pStyle w:val="28"/>
                    <w:keepNext w:val="0"/>
                    <w:keepLines w:val="0"/>
                    <w:suppressLineNumbers w:val="0"/>
                    <w:spacing w:before="0" w:beforeAutospacing="0" w:after="0" w:afterAutospacing="0"/>
                    <w:ind w:left="0" w:right="0"/>
                    <w:rPr>
                      <w:rFonts w:hint="default"/>
                      <w:color w:val="auto"/>
                    </w:rPr>
                  </w:pPr>
                  <w:r>
                    <w:rPr>
                      <w:rFonts w:hint="default"/>
                      <w:color w:val="auto"/>
                    </w:rPr>
                    <w:t>紧邻</w:t>
                  </w:r>
                </w:p>
              </w:tc>
              <w:tc>
                <w:tcPr>
                  <w:tcW w:w="808" w:type="pct"/>
                  <w:tcBorders>
                    <w:tl2br w:val="nil"/>
                    <w:tr2bl w:val="nil"/>
                  </w:tcBorders>
                  <w:vAlign w:val="center"/>
                </w:tcPr>
                <w:p w14:paraId="795FA994">
                  <w:pPr>
                    <w:pStyle w:val="28"/>
                    <w:keepNext w:val="0"/>
                    <w:keepLines w:val="0"/>
                    <w:suppressLineNumbers w:val="0"/>
                    <w:spacing w:before="0" w:beforeAutospacing="0" w:after="0" w:afterAutospacing="0"/>
                    <w:ind w:left="0" w:right="0"/>
                    <w:rPr>
                      <w:rFonts w:hint="default"/>
                      <w:color w:val="auto"/>
                    </w:rPr>
                  </w:pPr>
                  <w:r>
                    <w:rPr>
                      <w:rFonts w:hint="default"/>
                      <w:color w:val="auto"/>
                    </w:rPr>
                    <w:t>企业</w:t>
                  </w:r>
                </w:p>
              </w:tc>
            </w:tr>
            <w:tr w14:paraId="2C92A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0DC62E2E">
                  <w:pPr>
                    <w:pStyle w:val="28"/>
                    <w:keepNext w:val="0"/>
                    <w:keepLines w:val="0"/>
                    <w:suppressLineNumbers w:val="0"/>
                    <w:spacing w:before="0" w:beforeAutospacing="0" w:after="0" w:afterAutospacing="0"/>
                    <w:ind w:left="0" w:right="0"/>
                    <w:rPr>
                      <w:rFonts w:hint="default"/>
                      <w:color w:val="auto"/>
                    </w:rPr>
                  </w:pPr>
                  <w:r>
                    <w:rPr>
                      <w:rFonts w:hint="default"/>
                      <w:color w:val="auto"/>
                    </w:rPr>
                    <w:t>6</w:t>
                  </w:r>
                </w:p>
              </w:tc>
              <w:tc>
                <w:tcPr>
                  <w:tcW w:w="1632" w:type="pct"/>
                  <w:tcBorders>
                    <w:tl2br w:val="nil"/>
                    <w:tr2bl w:val="nil"/>
                  </w:tcBorders>
                  <w:vAlign w:val="center"/>
                </w:tcPr>
                <w:p w14:paraId="0FFAA109">
                  <w:pPr>
                    <w:pStyle w:val="28"/>
                    <w:keepNext w:val="0"/>
                    <w:keepLines w:val="0"/>
                    <w:suppressLineNumbers w:val="0"/>
                    <w:spacing w:before="0" w:beforeAutospacing="0" w:after="0" w:afterAutospacing="0"/>
                    <w:ind w:left="0" w:right="0"/>
                    <w:rPr>
                      <w:rFonts w:hint="default"/>
                      <w:color w:val="auto"/>
                    </w:rPr>
                  </w:pPr>
                  <w:r>
                    <w:rPr>
                      <w:rFonts w:hint="default"/>
                      <w:color w:val="auto"/>
                    </w:rPr>
                    <w:t>4户居民</w:t>
                  </w:r>
                </w:p>
              </w:tc>
              <w:tc>
                <w:tcPr>
                  <w:tcW w:w="581" w:type="pct"/>
                  <w:tcBorders>
                    <w:tl2br w:val="nil"/>
                    <w:tr2bl w:val="nil"/>
                  </w:tcBorders>
                  <w:vAlign w:val="center"/>
                </w:tcPr>
                <w:p w14:paraId="56320362">
                  <w:pPr>
                    <w:pStyle w:val="28"/>
                    <w:keepNext w:val="0"/>
                    <w:keepLines w:val="0"/>
                    <w:suppressLineNumbers w:val="0"/>
                    <w:spacing w:before="0" w:beforeAutospacing="0" w:after="0" w:afterAutospacing="0"/>
                    <w:ind w:left="0" w:right="0"/>
                    <w:rPr>
                      <w:rFonts w:hint="default"/>
                      <w:color w:val="auto"/>
                    </w:rPr>
                  </w:pPr>
                  <w:r>
                    <w:rPr>
                      <w:rFonts w:hint="default"/>
                      <w:color w:val="auto"/>
                    </w:rPr>
                    <w:t>W</w:t>
                  </w:r>
                </w:p>
              </w:tc>
              <w:tc>
                <w:tcPr>
                  <w:tcW w:w="1224" w:type="pct"/>
                  <w:tcBorders>
                    <w:tl2br w:val="nil"/>
                    <w:tr2bl w:val="nil"/>
                  </w:tcBorders>
                  <w:shd w:val="clear" w:color="auto" w:fill="auto"/>
                  <w:vAlign w:val="center"/>
                </w:tcPr>
                <w:p w14:paraId="30CAFE6A">
                  <w:pPr>
                    <w:pStyle w:val="28"/>
                    <w:keepNext w:val="0"/>
                    <w:keepLines w:val="0"/>
                    <w:suppressLineNumbers w:val="0"/>
                    <w:spacing w:before="0" w:beforeAutospacing="0" w:after="0" w:afterAutospacing="0"/>
                    <w:ind w:left="0" w:right="0"/>
                    <w:rPr>
                      <w:rFonts w:hint="default"/>
                      <w:color w:val="auto"/>
                    </w:rPr>
                  </w:pPr>
                  <w:r>
                    <w:rPr>
                      <w:rFonts w:hint="default"/>
                      <w:color w:val="auto"/>
                    </w:rPr>
                    <w:t>460m-500m</w:t>
                  </w:r>
                </w:p>
              </w:tc>
              <w:tc>
                <w:tcPr>
                  <w:tcW w:w="808" w:type="pct"/>
                  <w:vMerge w:val="restart"/>
                  <w:tcBorders>
                    <w:tl2br w:val="nil"/>
                    <w:tr2bl w:val="nil"/>
                  </w:tcBorders>
                  <w:shd w:val="clear" w:color="auto" w:fill="auto"/>
                  <w:vAlign w:val="center"/>
                </w:tcPr>
                <w:p w14:paraId="118134E5">
                  <w:pPr>
                    <w:pStyle w:val="28"/>
                    <w:keepNext w:val="0"/>
                    <w:keepLines w:val="0"/>
                    <w:suppressLineNumbers w:val="0"/>
                    <w:spacing w:before="0" w:beforeAutospacing="0" w:after="0" w:afterAutospacing="0"/>
                    <w:ind w:left="0" w:right="0"/>
                    <w:rPr>
                      <w:rFonts w:hint="default"/>
                      <w:color w:val="auto"/>
                    </w:rPr>
                  </w:pPr>
                  <w:r>
                    <w:rPr>
                      <w:rFonts w:hint="default"/>
                      <w:color w:val="auto"/>
                    </w:rPr>
                    <w:t>位于园区</w:t>
                  </w:r>
                </w:p>
                <w:p w14:paraId="0EAB3F9E">
                  <w:pPr>
                    <w:pStyle w:val="28"/>
                    <w:keepNext w:val="0"/>
                    <w:keepLines w:val="0"/>
                    <w:suppressLineNumbers w:val="0"/>
                    <w:spacing w:before="0" w:beforeAutospacing="0" w:after="0" w:afterAutospacing="0"/>
                    <w:ind w:left="0" w:right="0"/>
                    <w:rPr>
                      <w:rFonts w:hint="default"/>
                      <w:color w:val="auto"/>
                    </w:rPr>
                  </w:pPr>
                  <w:r>
                    <w:rPr>
                      <w:rFonts w:hint="default"/>
                      <w:color w:val="auto"/>
                    </w:rPr>
                    <w:t>规划范围</w:t>
                  </w:r>
                </w:p>
              </w:tc>
            </w:tr>
            <w:tr w14:paraId="49383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25CE3EF5">
                  <w:pPr>
                    <w:pStyle w:val="28"/>
                    <w:keepNext w:val="0"/>
                    <w:keepLines w:val="0"/>
                    <w:suppressLineNumbers w:val="0"/>
                    <w:spacing w:before="0" w:beforeAutospacing="0" w:after="0" w:afterAutospacing="0"/>
                    <w:ind w:left="0" w:right="0"/>
                    <w:rPr>
                      <w:rFonts w:hint="default"/>
                      <w:color w:val="auto"/>
                    </w:rPr>
                  </w:pPr>
                  <w:r>
                    <w:rPr>
                      <w:rFonts w:hint="default"/>
                      <w:color w:val="auto"/>
                    </w:rPr>
                    <w:t>7</w:t>
                  </w:r>
                </w:p>
              </w:tc>
              <w:tc>
                <w:tcPr>
                  <w:tcW w:w="1632" w:type="pct"/>
                  <w:tcBorders>
                    <w:tl2br w:val="nil"/>
                    <w:tr2bl w:val="nil"/>
                  </w:tcBorders>
                  <w:shd w:val="clear" w:color="auto" w:fill="auto"/>
                  <w:vAlign w:val="center"/>
                </w:tcPr>
                <w:p w14:paraId="5501C0B7">
                  <w:pPr>
                    <w:pStyle w:val="28"/>
                    <w:keepNext w:val="0"/>
                    <w:keepLines w:val="0"/>
                    <w:suppressLineNumbers w:val="0"/>
                    <w:spacing w:before="0" w:beforeAutospacing="0" w:after="0" w:afterAutospacing="0"/>
                    <w:ind w:left="0" w:right="0"/>
                    <w:rPr>
                      <w:rFonts w:hint="default"/>
                      <w:color w:val="auto"/>
                    </w:rPr>
                  </w:pPr>
                  <w:r>
                    <w:rPr>
                      <w:rFonts w:hint="default"/>
                      <w:color w:val="auto"/>
                    </w:rPr>
                    <w:t>6户居民</w:t>
                  </w:r>
                </w:p>
              </w:tc>
              <w:tc>
                <w:tcPr>
                  <w:tcW w:w="581" w:type="pct"/>
                  <w:tcBorders>
                    <w:tl2br w:val="nil"/>
                    <w:tr2bl w:val="nil"/>
                  </w:tcBorders>
                  <w:vAlign w:val="center"/>
                </w:tcPr>
                <w:p w14:paraId="088492CB">
                  <w:pPr>
                    <w:pStyle w:val="28"/>
                    <w:keepNext w:val="0"/>
                    <w:keepLines w:val="0"/>
                    <w:suppressLineNumbers w:val="0"/>
                    <w:spacing w:before="0" w:beforeAutospacing="0" w:after="0" w:afterAutospacing="0"/>
                    <w:ind w:left="0" w:right="0"/>
                    <w:rPr>
                      <w:rFonts w:hint="default"/>
                      <w:color w:val="auto"/>
                    </w:rPr>
                  </w:pPr>
                  <w:r>
                    <w:rPr>
                      <w:rFonts w:hint="default"/>
                      <w:color w:val="auto"/>
                    </w:rPr>
                    <w:t>NW</w:t>
                  </w:r>
                </w:p>
              </w:tc>
              <w:tc>
                <w:tcPr>
                  <w:tcW w:w="1224" w:type="pct"/>
                  <w:tcBorders>
                    <w:tl2br w:val="nil"/>
                    <w:tr2bl w:val="nil"/>
                  </w:tcBorders>
                  <w:shd w:val="clear" w:color="auto" w:fill="auto"/>
                  <w:vAlign w:val="center"/>
                </w:tcPr>
                <w:p w14:paraId="78A4A524">
                  <w:pPr>
                    <w:pStyle w:val="28"/>
                    <w:keepNext w:val="0"/>
                    <w:keepLines w:val="0"/>
                    <w:suppressLineNumbers w:val="0"/>
                    <w:spacing w:before="0" w:beforeAutospacing="0" w:after="0" w:afterAutospacing="0"/>
                    <w:ind w:left="0" w:right="0"/>
                    <w:rPr>
                      <w:rFonts w:hint="default"/>
                      <w:color w:val="auto"/>
                    </w:rPr>
                  </w:pPr>
                  <w:r>
                    <w:rPr>
                      <w:rFonts w:hint="default"/>
                      <w:color w:val="auto"/>
                    </w:rPr>
                    <w:t>160-370m</w:t>
                  </w:r>
                </w:p>
              </w:tc>
              <w:tc>
                <w:tcPr>
                  <w:tcW w:w="808" w:type="pct"/>
                  <w:vMerge w:val="continue"/>
                  <w:tcBorders>
                    <w:tl2br w:val="nil"/>
                    <w:tr2bl w:val="nil"/>
                  </w:tcBorders>
                  <w:vAlign w:val="center"/>
                </w:tcPr>
                <w:p w14:paraId="0F02524E">
                  <w:pPr>
                    <w:pStyle w:val="28"/>
                    <w:keepNext w:val="0"/>
                    <w:keepLines w:val="0"/>
                    <w:suppressLineNumbers w:val="0"/>
                    <w:spacing w:before="0" w:beforeAutospacing="0" w:after="0" w:afterAutospacing="0"/>
                    <w:ind w:left="0" w:right="0"/>
                    <w:rPr>
                      <w:rFonts w:hint="default"/>
                      <w:color w:val="auto"/>
                    </w:rPr>
                  </w:pPr>
                </w:p>
              </w:tc>
            </w:tr>
            <w:tr w14:paraId="78B40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4B5EC8ED">
                  <w:pPr>
                    <w:pStyle w:val="28"/>
                    <w:keepNext w:val="0"/>
                    <w:keepLines w:val="0"/>
                    <w:suppressLineNumbers w:val="0"/>
                    <w:spacing w:before="0" w:beforeAutospacing="0" w:after="0" w:afterAutospacing="0"/>
                    <w:ind w:left="0" w:right="0"/>
                    <w:rPr>
                      <w:rFonts w:hint="default"/>
                      <w:color w:val="auto"/>
                    </w:rPr>
                  </w:pPr>
                  <w:r>
                    <w:rPr>
                      <w:rFonts w:hint="default"/>
                      <w:color w:val="auto"/>
                    </w:rPr>
                    <w:t>8</w:t>
                  </w:r>
                </w:p>
              </w:tc>
              <w:tc>
                <w:tcPr>
                  <w:tcW w:w="1632" w:type="pct"/>
                  <w:tcBorders>
                    <w:tl2br w:val="nil"/>
                    <w:tr2bl w:val="nil"/>
                  </w:tcBorders>
                  <w:shd w:val="clear" w:color="auto" w:fill="auto"/>
                  <w:vAlign w:val="center"/>
                </w:tcPr>
                <w:p w14:paraId="53039E59">
                  <w:pPr>
                    <w:pStyle w:val="28"/>
                    <w:keepNext w:val="0"/>
                    <w:keepLines w:val="0"/>
                    <w:suppressLineNumbers w:val="0"/>
                    <w:spacing w:before="0" w:beforeAutospacing="0" w:after="0" w:afterAutospacing="0"/>
                    <w:ind w:left="0" w:right="0"/>
                    <w:rPr>
                      <w:rFonts w:hint="default"/>
                      <w:color w:val="auto"/>
                    </w:rPr>
                  </w:pPr>
                  <w:r>
                    <w:rPr>
                      <w:rFonts w:hint="default"/>
                      <w:color w:val="auto"/>
                    </w:rPr>
                    <w:t>5户居民</w:t>
                  </w:r>
                </w:p>
              </w:tc>
              <w:tc>
                <w:tcPr>
                  <w:tcW w:w="581" w:type="pct"/>
                  <w:tcBorders>
                    <w:tl2br w:val="nil"/>
                    <w:tr2bl w:val="nil"/>
                  </w:tcBorders>
                  <w:vAlign w:val="center"/>
                </w:tcPr>
                <w:p w14:paraId="764EA1D9">
                  <w:pPr>
                    <w:pStyle w:val="28"/>
                    <w:keepNext w:val="0"/>
                    <w:keepLines w:val="0"/>
                    <w:suppressLineNumbers w:val="0"/>
                    <w:spacing w:before="0" w:beforeAutospacing="0" w:after="0" w:afterAutospacing="0"/>
                    <w:ind w:left="0" w:right="0"/>
                    <w:rPr>
                      <w:rFonts w:hint="default"/>
                      <w:color w:val="auto"/>
                    </w:rPr>
                  </w:pPr>
                  <w:r>
                    <w:rPr>
                      <w:rFonts w:hint="default"/>
                      <w:color w:val="auto"/>
                    </w:rPr>
                    <w:t>N</w:t>
                  </w:r>
                </w:p>
              </w:tc>
              <w:tc>
                <w:tcPr>
                  <w:tcW w:w="1224" w:type="pct"/>
                  <w:tcBorders>
                    <w:tl2br w:val="nil"/>
                    <w:tr2bl w:val="nil"/>
                  </w:tcBorders>
                  <w:shd w:val="clear" w:color="auto" w:fill="auto"/>
                  <w:vAlign w:val="center"/>
                </w:tcPr>
                <w:p w14:paraId="5A8F06C1">
                  <w:pPr>
                    <w:pStyle w:val="28"/>
                    <w:keepNext w:val="0"/>
                    <w:keepLines w:val="0"/>
                    <w:suppressLineNumbers w:val="0"/>
                    <w:spacing w:before="0" w:beforeAutospacing="0" w:after="0" w:afterAutospacing="0"/>
                    <w:ind w:left="0" w:right="0"/>
                    <w:rPr>
                      <w:rFonts w:hint="default"/>
                      <w:color w:val="auto"/>
                    </w:rPr>
                  </w:pPr>
                  <w:r>
                    <w:rPr>
                      <w:rFonts w:hint="default"/>
                      <w:color w:val="auto"/>
                    </w:rPr>
                    <w:t>150-185m</w:t>
                  </w:r>
                </w:p>
              </w:tc>
              <w:tc>
                <w:tcPr>
                  <w:tcW w:w="808" w:type="pct"/>
                  <w:vMerge w:val="continue"/>
                  <w:tcBorders>
                    <w:tl2br w:val="nil"/>
                    <w:tr2bl w:val="nil"/>
                  </w:tcBorders>
                  <w:vAlign w:val="center"/>
                </w:tcPr>
                <w:p w14:paraId="375F6A8C">
                  <w:pPr>
                    <w:pStyle w:val="28"/>
                    <w:keepNext w:val="0"/>
                    <w:keepLines w:val="0"/>
                    <w:suppressLineNumbers w:val="0"/>
                    <w:spacing w:before="0" w:beforeAutospacing="0" w:after="0" w:afterAutospacing="0"/>
                    <w:ind w:left="0" w:right="0"/>
                    <w:rPr>
                      <w:rFonts w:hint="default"/>
                      <w:color w:val="auto"/>
                    </w:rPr>
                  </w:pPr>
                </w:p>
              </w:tc>
            </w:tr>
            <w:tr w14:paraId="0D762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vAlign w:val="center"/>
                </w:tcPr>
                <w:p w14:paraId="32CF8CAC">
                  <w:pPr>
                    <w:pStyle w:val="28"/>
                    <w:keepNext w:val="0"/>
                    <w:keepLines w:val="0"/>
                    <w:suppressLineNumbers w:val="0"/>
                    <w:spacing w:before="0" w:beforeAutospacing="0" w:after="0" w:afterAutospacing="0"/>
                    <w:ind w:left="0" w:right="0"/>
                    <w:rPr>
                      <w:rFonts w:hint="default"/>
                      <w:color w:val="auto"/>
                    </w:rPr>
                  </w:pPr>
                  <w:r>
                    <w:rPr>
                      <w:rFonts w:hint="default"/>
                      <w:color w:val="auto"/>
                    </w:rPr>
                    <w:t>9</w:t>
                  </w:r>
                </w:p>
              </w:tc>
              <w:tc>
                <w:tcPr>
                  <w:tcW w:w="1632" w:type="pct"/>
                  <w:tcBorders>
                    <w:tl2br w:val="nil"/>
                    <w:tr2bl w:val="nil"/>
                  </w:tcBorders>
                  <w:vAlign w:val="center"/>
                </w:tcPr>
                <w:p w14:paraId="3B430D3F">
                  <w:pPr>
                    <w:pStyle w:val="28"/>
                    <w:keepNext w:val="0"/>
                    <w:keepLines w:val="0"/>
                    <w:suppressLineNumbers w:val="0"/>
                    <w:spacing w:before="0" w:beforeAutospacing="0" w:after="0" w:afterAutospacing="0"/>
                    <w:ind w:left="0" w:right="0"/>
                    <w:rPr>
                      <w:rFonts w:hint="default"/>
                      <w:color w:val="auto"/>
                    </w:rPr>
                  </w:pPr>
                  <w:r>
                    <w:rPr>
                      <w:rFonts w:hint="default"/>
                      <w:color w:val="auto"/>
                    </w:rPr>
                    <w:t>21户</w:t>
                  </w:r>
                </w:p>
              </w:tc>
              <w:tc>
                <w:tcPr>
                  <w:tcW w:w="581" w:type="pct"/>
                  <w:tcBorders>
                    <w:tl2br w:val="nil"/>
                    <w:tr2bl w:val="nil"/>
                  </w:tcBorders>
                  <w:vAlign w:val="center"/>
                </w:tcPr>
                <w:p w14:paraId="1AC66F50">
                  <w:pPr>
                    <w:pStyle w:val="28"/>
                    <w:keepNext w:val="0"/>
                    <w:keepLines w:val="0"/>
                    <w:suppressLineNumbers w:val="0"/>
                    <w:spacing w:before="0" w:beforeAutospacing="0" w:after="0" w:afterAutospacing="0"/>
                    <w:ind w:left="0" w:right="0"/>
                    <w:rPr>
                      <w:rFonts w:hint="default"/>
                      <w:color w:val="auto"/>
                    </w:rPr>
                  </w:pPr>
                  <w:r>
                    <w:rPr>
                      <w:rFonts w:hint="default"/>
                      <w:color w:val="auto"/>
                    </w:rPr>
                    <w:t>NE</w:t>
                  </w:r>
                </w:p>
              </w:tc>
              <w:tc>
                <w:tcPr>
                  <w:tcW w:w="1224" w:type="pct"/>
                  <w:tcBorders>
                    <w:tl2br w:val="nil"/>
                    <w:tr2bl w:val="nil"/>
                  </w:tcBorders>
                  <w:shd w:val="clear" w:color="auto" w:fill="auto"/>
                  <w:vAlign w:val="center"/>
                </w:tcPr>
                <w:p w14:paraId="11391B6B">
                  <w:pPr>
                    <w:pStyle w:val="28"/>
                    <w:keepNext w:val="0"/>
                    <w:keepLines w:val="0"/>
                    <w:suppressLineNumbers w:val="0"/>
                    <w:spacing w:before="0" w:beforeAutospacing="0" w:after="0" w:afterAutospacing="0"/>
                    <w:ind w:left="0" w:right="0"/>
                    <w:rPr>
                      <w:rFonts w:hint="default"/>
                      <w:color w:val="auto"/>
                    </w:rPr>
                  </w:pPr>
                  <w:r>
                    <w:rPr>
                      <w:rFonts w:hint="default"/>
                      <w:color w:val="auto"/>
                    </w:rPr>
                    <w:t>185m-490m</w:t>
                  </w:r>
                </w:p>
              </w:tc>
              <w:tc>
                <w:tcPr>
                  <w:tcW w:w="808" w:type="pct"/>
                  <w:vMerge w:val="continue"/>
                  <w:tcBorders>
                    <w:tl2br w:val="nil"/>
                    <w:tr2bl w:val="nil"/>
                  </w:tcBorders>
                  <w:vAlign w:val="center"/>
                </w:tcPr>
                <w:p w14:paraId="5D4A73E8">
                  <w:pPr>
                    <w:pStyle w:val="28"/>
                    <w:keepNext w:val="0"/>
                    <w:keepLines w:val="0"/>
                    <w:suppressLineNumbers w:val="0"/>
                    <w:spacing w:before="0" w:beforeAutospacing="0" w:after="0" w:afterAutospacing="0"/>
                    <w:ind w:left="0" w:right="0"/>
                    <w:rPr>
                      <w:rFonts w:hint="default"/>
                      <w:color w:val="auto"/>
                    </w:rPr>
                  </w:pPr>
                </w:p>
              </w:tc>
            </w:tr>
          </w:tbl>
          <w:p w14:paraId="2C124417">
            <w:pPr>
              <w:keepNext w:val="0"/>
              <w:keepLines w:val="0"/>
              <w:suppressLineNumbers w:val="0"/>
              <w:spacing w:before="0" w:beforeAutospacing="0" w:after="0" w:afterAutospacing="0"/>
              <w:ind w:left="0" w:right="0" w:firstLine="482"/>
              <w:rPr>
                <w:rFonts w:hint="default" w:cs="Times New Roman"/>
                <w:bCs/>
                <w:color w:val="auto"/>
              </w:rPr>
            </w:pPr>
            <w:r>
              <w:rPr>
                <w:rFonts w:hint="default" w:cs="Times New Roman"/>
                <w:b/>
                <w:color w:val="auto"/>
              </w:rPr>
              <w:t>2、选址合理性分析</w:t>
            </w:r>
          </w:p>
          <w:p w14:paraId="2DF7AB24">
            <w:pPr>
              <w:keepNext w:val="0"/>
              <w:keepLines w:val="0"/>
              <w:suppressLineNumbers w:val="0"/>
              <w:spacing w:before="0" w:beforeAutospacing="0" w:after="0" w:afterAutospacing="0"/>
              <w:ind w:left="0" w:right="0" w:firstLine="482"/>
              <w:rPr>
                <w:rFonts w:hint="default" w:cs="Times New Roman"/>
                <w:b/>
                <w:bCs/>
                <w:color w:val="auto"/>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）自备加油站</w:t>
            </w:r>
            <w:r>
              <w:rPr>
                <w:rFonts w:hint="default" w:cs="Times New Roman"/>
                <w:b/>
                <w:bCs/>
                <w:color w:val="auto"/>
              </w:rPr>
              <w:t>与《汽车加油加气加氢站技术标准》（GB50156-2021）符合性分析</w:t>
            </w:r>
          </w:p>
          <w:p w14:paraId="28495EF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本项目与根据《汽车加油加气加氢站技术标准》（GB50156-2021）规定“4 站址选址”进行见下表。</w:t>
            </w:r>
          </w:p>
          <w:p w14:paraId="57F43754">
            <w:pPr>
              <w:pStyle w:val="36"/>
              <w:keepNext w:val="0"/>
              <w:keepLines w:val="0"/>
              <w:suppressLineNumbers w:val="0"/>
              <w:spacing w:before="32" w:beforeAutospacing="0" w:after="32" w:afterAutospacing="0"/>
              <w:ind w:left="0" w:right="0" w:firstLine="480"/>
              <w:rPr>
                <w:rFonts w:hint="default" w:cs="Times New Roman"/>
                <w:color w:val="auto"/>
              </w:rPr>
            </w:pPr>
            <w:r>
              <w:rPr>
                <w:rFonts w:hint="default" w:cs="Times New Roman"/>
                <w:color w:val="auto"/>
              </w:rPr>
              <w:t>与《汽车加油加气加氢站技术标准》（GB50156-2021）符合性分析</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150"/>
              <w:gridCol w:w="1940"/>
              <w:gridCol w:w="657"/>
            </w:tblGrid>
            <w:tr w14:paraId="12F26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39" w:type="pct"/>
                  <w:tcBorders>
                    <w:tl2br w:val="nil"/>
                    <w:tr2bl w:val="nil"/>
                  </w:tcBorders>
                  <w:vAlign w:val="center"/>
                </w:tcPr>
                <w:p w14:paraId="7BB57C3C">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文件</w:t>
                  </w:r>
                </w:p>
              </w:tc>
              <w:tc>
                <w:tcPr>
                  <w:tcW w:w="2115" w:type="pct"/>
                  <w:tcBorders>
                    <w:tl2br w:val="nil"/>
                    <w:tr2bl w:val="nil"/>
                  </w:tcBorders>
                  <w:vAlign w:val="center"/>
                </w:tcPr>
                <w:p w14:paraId="17EF33CE">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要求</w:t>
                  </w:r>
                </w:p>
              </w:tc>
              <w:tc>
                <w:tcPr>
                  <w:tcW w:w="1303" w:type="pct"/>
                  <w:tcBorders>
                    <w:tl2br w:val="nil"/>
                    <w:tr2bl w:val="nil"/>
                  </w:tcBorders>
                  <w:vAlign w:val="center"/>
                </w:tcPr>
                <w:p w14:paraId="75ABC0AF">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本项目情况</w:t>
                  </w:r>
                </w:p>
              </w:tc>
              <w:tc>
                <w:tcPr>
                  <w:tcW w:w="441" w:type="pct"/>
                  <w:tcBorders>
                    <w:tl2br w:val="nil"/>
                    <w:tr2bl w:val="nil"/>
                  </w:tcBorders>
                  <w:vAlign w:val="center"/>
                </w:tcPr>
                <w:p w14:paraId="6A478EC3">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是否符合</w:t>
                  </w:r>
                </w:p>
              </w:tc>
            </w:tr>
            <w:tr w14:paraId="544CD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restart"/>
                  <w:tcBorders>
                    <w:tl2br w:val="nil"/>
                    <w:tr2bl w:val="nil"/>
                  </w:tcBorders>
                  <w:vAlign w:val="center"/>
                </w:tcPr>
                <w:p w14:paraId="2E060703">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《汽车加油加气加氢站技术标准》（GB50156-2021）</w:t>
                  </w:r>
                </w:p>
              </w:tc>
              <w:tc>
                <w:tcPr>
                  <w:tcW w:w="2115" w:type="pct"/>
                  <w:tcBorders>
                    <w:tl2br w:val="nil"/>
                    <w:tr2bl w:val="nil"/>
                  </w:tcBorders>
                  <w:vAlign w:val="center"/>
                </w:tcPr>
                <w:p w14:paraId="75DDA834">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汽车加油加气加氢站址选择应符合有关规划、环境保护和防火安全的要求，并应选在交通便利、用户使用方便的地方。</w:t>
                  </w:r>
                </w:p>
              </w:tc>
              <w:tc>
                <w:tcPr>
                  <w:tcW w:w="1303" w:type="pct"/>
                  <w:tcBorders>
                    <w:tl2br w:val="nil"/>
                    <w:tr2bl w:val="nil"/>
                  </w:tcBorders>
                  <w:vAlign w:val="center"/>
                </w:tcPr>
                <w:p w14:paraId="5A80B9A0">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本项目为自备柴油、LNG加油站，不对外营业，选址符合有关规划要求。</w:t>
                  </w:r>
                </w:p>
              </w:tc>
              <w:tc>
                <w:tcPr>
                  <w:tcW w:w="441" w:type="pct"/>
                  <w:tcBorders>
                    <w:tl2br w:val="nil"/>
                    <w:tr2bl w:val="nil"/>
                  </w:tcBorders>
                  <w:vAlign w:val="center"/>
                </w:tcPr>
                <w:p w14:paraId="6CC90FD8">
                  <w:pPr>
                    <w:pStyle w:val="28"/>
                    <w:keepNext w:val="0"/>
                    <w:keepLines w:val="0"/>
                    <w:suppressLineNumbers w:val="0"/>
                    <w:spacing w:before="0" w:beforeAutospacing="0" w:after="0" w:afterAutospacing="0" w:line="240" w:lineRule="auto"/>
                    <w:ind w:left="0" w:right="0"/>
                    <w:rPr>
                      <w:rFonts w:hint="default"/>
                      <w:color w:val="auto"/>
                    </w:rPr>
                  </w:pPr>
                  <w:r>
                    <w:rPr>
                      <w:rFonts w:hint="default"/>
                      <w:color w:val="auto"/>
                    </w:rPr>
                    <w:t>符合</w:t>
                  </w:r>
                </w:p>
              </w:tc>
            </w:tr>
            <w:tr w14:paraId="68FCD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continue"/>
                  <w:tcBorders>
                    <w:tl2br w:val="nil"/>
                    <w:tr2bl w:val="nil"/>
                  </w:tcBorders>
                  <w:vAlign w:val="center"/>
                </w:tcPr>
                <w:p w14:paraId="493908F2">
                  <w:pPr>
                    <w:pStyle w:val="28"/>
                    <w:keepNext w:val="0"/>
                    <w:keepLines w:val="0"/>
                    <w:suppressLineNumbers w:val="0"/>
                    <w:spacing w:before="0" w:beforeAutospacing="0" w:after="0" w:afterAutospacing="0" w:line="240" w:lineRule="auto"/>
                    <w:ind w:left="0" w:right="0"/>
                    <w:rPr>
                      <w:rFonts w:hint="default"/>
                      <w:color w:val="auto"/>
                    </w:rPr>
                  </w:pPr>
                </w:p>
              </w:tc>
              <w:tc>
                <w:tcPr>
                  <w:tcW w:w="2115" w:type="pct"/>
                  <w:tcBorders>
                    <w:tl2br w:val="nil"/>
                    <w:tr2bl w:val="nil"/>
                  </w:tcBorders>
                  <w:vAlign w:val="center"/>
                </w:tcPr>
                <w:p w14:paraId="06811987">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在城市中心区不应建一级汽车加油加气加氢站、</w:t>
                  </w:r>
                  <w:r>
                    <w:rPr>
                      <w:rFonts w:hint="default" w:ascii="Times New Roman" w:hAnsi="Times New Roman" w:eastAsia="宋体" w:cs="Times New Roman"/>
                      <w:color w:val="auto"/>
                      <w:lang w:val="en-US" w:eastAsia="zh-CN"/>
                    </w:rPr>
                    <w:t>LNG</w:t>
                  </w:r>
                  <w:r>
                    <w:rPr>
                      <w:rFonts w:hint="eastAsia" w:ascii="Times New Roman" w:hAnsi="Times New Roman" w:eastAsia="宋体" w:cs="Times New Roman"/>
                      <w:color w:val="auto"/>
                      <w:lang w:val="en-US" w:eastAsia="zh-CN"/>
                    </w:rPr>
                    <w:t>加气母站。</w:t>
                  </w:r>
                </w:p>
              </w:tc>
              <w:tc>
                <w:tcPr>
                  <w:tcW w:w="1303" w:type="pct"/>
                  <w:tcBorders>
                    <w:tl2br w:val="nil"/>
                    <w:tr2bl w:val="nil"/>
                  </w:tcBorders>
                  <w:vAlign w:val="center"/>
                </w:tcPr>
                <w:p w14:paraId="41168B6F">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本项目位于工业园区，不属于一级汽车加油加气加氢站、</w:t>
                  </w:r>
                  <w:r>
                    <w:rPr>
                      <w:rFonts w:hint="default" w:ascii="Times New Roman" w:hAnsi="Times New Roman" w:eastAsia="宋体" w:cs="Times New Roman"/>
                      <w:color w:val="auto"/>
                      <w:lang w:val="en-US" w:eastAsia="zh-CN"/>
                    </w:rPr>
                    <w:t>LNG</w:t>
                  </w:r>
                  <w:r>
                    <w:rPr>
                      <w:rFonts w:hint="eastAsia" w:ascii="Times New Roman" w:hAnsi="Times New Roman" w:eastAsia="宋体" w:cs="Times New Roman"/>
                      <w:color w:val="auto"/>
                      <w:lang w:val="en-US" w:eastAsia="zh-CN"/>
                    </w:rPr>
                    <w:t>加气母站。</w:t>
                  </w:r>
                </w:p>
              </w:tc>
              <w:tc>
                <w:tcPr>
                  <w:tcW w:w="657" w:type="dxa"/>
                  <w:tcBorders>
                    <w:tl2br w:val="nil"/>
                    <w:tr2bl w:val="nil"/>
                  </w:tcBorders>
                  <w:vAlign w:val="center"/>
                </w:tcPr>
                <w:p w14:paraId="06F88EB7">
                  <w:pPr>
                    <w:pStyle w:val="28"/>
                    <w:keepNext w:val="0"/>
                    <w:keepLines w:val="0"/>
                    <w:suppressLineNumbers w:val="0"/>
                    <w:spacing w:before="0" w:beforeAutospacing="0" w:after="0" w:afterAutospacing="0" w:line="240" w:lineRule="auto"/>
                    <w:ind w:left="0" w:leftChars="0" w:right="0" w:rightChars="0" w:firstLine="0" w:firstLineChars="0"/>
                    <w:rPr>
                      <w:rFonts w:hint="default"/>
                      <w:color w:val="auto"/>
                    </w:rPr>
                  </w:pPr>
                  <w:r>
                    <w:rPr>
                      <w:rFonts w:hint="default"/>
                      <w:color w:val="auto"/>
                    </w:rPr>
                    <w:t>符合</w:t>
                  </w:r>
                </w:p>
              </w:tc>
            </w:tr>
            <w:tr w14:paraId="332B7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continue"/>
                  <w:tcBorders>
                    <w:tl2br w:val="nil"/>
                    <w:tr2bl w:val="nil"/>
                  </w:tcBorders>
                  <w:vAlign w:val="center"/>
                </w:tcPr>
                <w:p w14:paraId="1282D074">
                  <w:pPr>
                    <w:pStyle w:val="28"/>
                    <w:keepNext w:val="0"/>
                    <w:keepLines w:val="0"/>
                    <w:suppressLineNumbers w:val="0"/>
                    <w:spacing w:before="0" w:beforeAutospacing="0" w:after="0" w:afterAutospacing="0" w:line="240" w:lineRule="auto"/>
                    <w:ind w:left="0" w:right="0"/>
                    <w:rPr>
                      <w:rFonts w:hint="default"/>
                      <w:color w:val="auto"/>
                    </w:rPr>
                  </w:pPr>
                </w:p>
              </w:tc>
              <w:tc>
                <w:tcPr>
                  <w:tcW w:w="2115" w:type="pct"/>
                  <w:tcBorders>
                    <w:tl2br w:val="nil"/>
                    <w:tr2bl w:val="nil"/>
                  </w:tcBorders>
                  <w:vAlign w:val="center"/>
                </w:tcPr>
                <w:p w14:paraId="49226959">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城市建成区内的汽车加油加气加氢站宜靠近城市道路，但不宜选在城市干道的交叉路口附近。</w:t>
                  </w:r>
                </w:p>
              </w:tc>
              <w:tc>
                <w:tcPr>
                  <w:tcW w:w="1303" w:type="pct"/>
                  <w:tcBorders>
                    <w:tl2br w:val="nil"/>
                    <w:tr2bl w:val="nil"/>
                  </w:tcBorders>
                  <w:vAlign w:val="center"/>
                </w:tcPr>
                <w:p w14:paraId="0B917E8C">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本项目不涉及</w:t>
                  </w:r>
                </w:p>
              </w:tc>
              <w:tc>
                <w:tcPr>
                  <w:tcW w:w="657" w:type="dxa"/>
                  <w:tcBorders>
                    <w:tl2br w:val="nil"/>
                    <w:tr2bl w:val="nil"/>
                  </w:tcBorders>
                  <w:vAlign w:val="center"/>
                </w:tcPr>
                <w:p w14:paraId="660F4DFA">
                  <w:pPr>
                    <w:pStyle w:val="28"/>
                    <w:keepNext w:val="0"/>
                    <w:keepLines w:val="0"/>
                    <w:suppressLineNumbers w:val="0"/>
                    <w:spacing w:before="0" w:beforeAutospacing="0" w:after="0" w:afterAutospacing="0" w:line="240" w:lineRule="auto"/>
                    <w:ind w:left="0" w:leftChars="0" w:right="0" w:rightChars="0" w:firstLine="0" w:firstLineChars="0"/>
                    <w:rPr>
                      <w:rFonts w:hint="default"/>
                      <w:color w:val="auto"/>
                    </w:rPr>
                  </w:pPr>
                  <w:r>
                    <w:rPr>
                      <w:rFonts w:hint="default"/>
                      <w:color w:val="auto"/>
                    </w:rPr>
                    <w:t>符合</w:t>
                  </w:r>
                </w:p>
              </w:tc>
            </w:tr>
            <w:tr w14:paraId="008CA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continue"/>
                  <w:tcBorders>
                    <w:tl2br w:val="nil"/>
                    <w:tr2bl w:val="nil"/>
                  </w:tcBorders>
                  <w:vAlign w:val="center"/>
                </w:tcPr>
                <w:p w14:paraId="2B6BAEB0">
                  <w:pPr>
                    <w:pStyle w:val="28"/>
                    <w:keepNext w:val="0"/>
                    <w:keepLines w:val="0"/>
                    <w:suppressLineNumbers w:val="0"/>
                    <w:spacing w:before="0" w:beforeAutospacing="0" w:after="0" w:afterAutospacing="0" w:line="240" w:lineRule="auto"/>
                    <w:ind w:left="0" w:right="0"/>
                    <w:rPr>
                      <w:rFonts w:hint="default"/>
                      <w:color w:val="auto"/>
                    </w:rPr>
                  </w:pPr>
                </w:p>
              </w:tc>
              <w:tc>
                <w:tcPr>
                  <w:tcW w:w="2115" w:type="pct"/>
                  <w:tcBorders>
                    <w:tl2br w:val="nil"/>
                    <w:tr2bl w:val="nil"/>
                  </w:tcBorders>
                  <w:vAlign w:val="center"/>
                </w:tcPr>
                <w:p w14:paraId="638CDC19">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加油站、各类合建站中的汽油、柴油工艺设备与站外建（构）筑物的安全间距，不应小于表</w:t>
                  </w:r>
                  <w:r>
                    <w:rPr>
                      <w:rFonts w:hint="default" w:ascii="Times New Roman" w:hAnsi="Times New Roman" w:eastAsia="宋体" w:cs="Times New Roman"/>
                      <w:color w:val="auto"/>
                      <w:lang w:val="en-US" w:eastAsia="zh-CN"/>
                    </w:rPr>
                    <w:t xml:space="preserve"> 4.0.4 </w:t>
                  </w:r>
                  <w:r>
                    <w:rPr>
                      <w:rFonts w:hint="eastAsia" w:ascii="Times New Roman" w:hAnsi="Times New Roman" w:eastAsia="宋体" w:cs="Times New Roman"/>
                      <w:color w:val="auto"/>
                      <w:lang w:val="en-US" w:eastAsia="zh-CN"/>
                    </w:rPr>
                    <w:t>的规定。</w:t>
                  </w:r>
                </w:p>
              </w:tc>
              <w:tc>
                <w:tcPr>
                  <w:tcW w:w="1303" w:type="pct"/>
                  <w:tcBorders>
                    <w:tl2br w:val="nil"/>
                    <w:tr2bl w:val="nil"/>
                  </w:tcBorders>
                  <w:vAlign w:val="center"/>
                </w:tcPr>
                <w:p w14:paraId="38B44579">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本项目设计满足要求。</w:t>
                  </w:r>
                </w:p>
              </w:tc>
              <w:tc>
                <w:tcPr>
                  <w:tcW w:w="657" w:type="dxa"/>
                  <w:tcBorders>
                    <w:tl2br w:val="nil"/>
                    <w:tr2bl w:val="nil"/>
                  </w:tcBorders>
                  <w:vAlign w:val="center"/>
                </w:tcPr>
                <w:p w14:paraId="7764CAE0">
                  <w:pPr>
                    <w:pStyle w:val="28"/>
                    <w:keepNext w:val="0"/>
                    <w:keepLines w:val="0"/>
                    <w:suppressLineNumbers w:val="0"/>
                    <w:spacing w:before="0" w:beforeAutospacing="0" w:after="0" w:afterAutospacing="0" w:line="240" w:lineRule="auto"/>
                    <w:ind w:left="0" w:leftChars="0" w:right="0" w:rightChars="0" w:firstLine="0" w:firstLineChars="0"/>
                    <w:rPr>
                      <w:rFonts w:hint="default"/>
                      <w:color w:val="auto"/>
                    </w:rPr>
                  </w:pPr>
                  <w:r>
                    <w:rPr>
                      <w:rFonts w:hint="default"/>
                      <w:color w:val="auto"/>
                    </w:rPr>
                    <w:t>符合</w:t>
                  </w:r>
                </w:p>
              </w:tc>
            </w:tr>
            <w:tr w14:paraId="194F2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continue"/>
                  <w:tcBorders>
                    <w:tl2br w:val="nil"/>
                    <w:tr2bl w:val="nil"/>
                  </w:tcBorders>
                  <w:vAlign w:val="center"/>
                </w:tcPr>
                <w:p w14:paraId="5E8464F0">
                  <w:pPr>
                    <w:pStyle w:val="28"/>
                    <w:keepNext w:val="0"/>
                    <w:keepLines w:val="0"/>
                    <w:suppressLineNumbers w:val="0"/>
                    <w:spacing w:before="0" w:beforeAutospacing="0" w:after="0" w:afterAutospacing="0" w:line="240" w:lineRule="auto"/>
                    <w:ind w:left="0" w:right="0"/>
                    <w:rPr>
                      <w:rFonts w:hint="default"/>
                      <w:color w:val="auto"/>
                    </w:rPr>
                  </w:pPr>
                </w:p>
              </w:tc>
              <w:tc>
                <w:tcPr>
                  <w:tcW w:w="2115" w:type="pct"/>
                  <w:tcBorders>
                    <w:tl2br w:val="nil"/>
                    <w:tr2bl w:val="nil"/>
                  </w:tcBorders>
                  <w:vAlign w:val="center"/>
                </w:tcPr>
                <w:p w14:paraId="1ECBCD73">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架空电力线路不应跨越汽车加油加气加氢站的作业区。架空通信线路不应跨越加气站。加氢合建站中加氢设施的作业区</w:t>
                  </w:r>
                </w:p>
              </w:tc>
              <w:tc>
                <w:tcPr>
                  <w:tcW w:w="1303" w:type="pct"/>
                  <w:tcBorders>
                    <w:tl2br w:val="nil"/>
                    <w:tr2bl w:val="nil"/>
                  </w:tcBorders>
                  <w:vAlign w:val="center"/>
                </w:tcPr>
                <w:p w14:paraId="1DD0CCCE">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本项目不涉及。</w:t>
                  </w:r>
                </w:p>
              </w:tc>
              <w:tc>
                <w:tcPr>
                  <w:tcW w:w="657" w:type="dxa"/>
                  <w:tcBorders>
                    <w:tl2br w:val="nil"/>
                    <w:tr2bl w:val="nil"/>
                  </w:tcBorders>
                  <w:vAlign w:val="center"/>
                </w:tcPr>
                <w:p w14:paraId="67349B55">
                  <w:pPr>
                    <w:pStyle w:val="28"/>
                    <w:keepNext w:val="0"/>
                    <w:keepLines w:val="0"/>
                    <w:suppressLineNumbers w:val="0"/>
                    <w:spacing w:before="0" w:beforeAutospacing="0" w:after="0" w:afterAutospacing="0" w:line="240" w:lineRule="auto"/>
                    <w:ind w:left="0" w:leftChars="0" w:right="0" w:rightChars="0" w:firstLine="0" w:firstLineChars="0"/>
                    <w:rPr>
                      <w:rFonts w:hint="default"/>
                      <w:color w:val="auto"/>
                    </w:rPr>
                  </w:pPr>
                  <w:r>
                    <w:rPr>
                      <w:rFonts w:hint="default"/>
                      <w:color w:val="auto"/>
                    </w:rPr>
                    <w:t>符合</w:t>
                  </w:r>
                </w:p>
              </w:tc>
            </w:tr>
            <w:tr w14:paraId="3599D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9" w:type="pct"/>
                  <w:vMerge w:val="continue"/>
                  <w:tcBorders>
                    <w:tl2br w:val="nil"/>
                    <w:tr2bl w:val="nil"/>
                  </w:tcBorders>
                  <w:vAlign w:val="center"/>
                </w:tcPr>
                <w:p w14:paraId="40724E64">
                  <w:pPr>
                    <w:pStyle w:val="28"/>
                    <w:keepNext w:val="0"/>
                    <w:keepLines w:val="0"/>
                    <w:suppressLineNumbers w:val="0"/>
                    <w:spacing w:before="0" w:beforeAutospacing="0" w:after="0" w:afterAutospacing="0" w:line="240" w:lineRule="auto"/>
                    <w:ind w:left="0" w:right="0"/>
                    <w:rPr>
                      <w:rFonts w:hint="default"/>
                      <w:color w:val="auto"/>
                    </w:rPr>
                  </w:pPr>
                </w:p>
              </w:tc>
              <w:tc>
                <w:tcPr>
                  <w:tcW w:w="2115" w:type="pct"/>
                  <w:tcBorders>
                    <w:tl2br w:val="nil"/>
                    <w:tr2bl w:val="nil"/>
                  </w:tcBorders>
                  <w:vAlign w:val="center"/>
                </w:tcPr>
                <w:p w14:paraId="13812B7F">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与汽车加油加气加氢站无关的可燃介质管道不应穿越汽车加油加氢加气站用地范围</w:t>
                  </w:r>
                </w:p>
              </w:tc>
              <w:tc>
                <w:tcPr>
                  <w:tcW w:w="1303" w:type="pct"/>
                  <w:tcBorders>
                    <w:tl2br w:val="nil"/>
                    <w:tr2bl w:val="nil"/>
                  </w:tcBorders>
                  <w:vAlign w:val="center"/>
                </w:tcPr>
                <w:p w14:paraId="290181F8">
                  <w:pPr>
                    <w:pStyle w:val="28"/>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本项目用地范围内无其他无关可燃介质管道穿越。</w:t>
                  </w:r>
                </w:p>
              </w:tc>
              <w:tc>
                <w:tcPr>
                  <w:tcW w:w="657" w:type="dxa"/>
                  <w:tcBorders>
                    <w:tl2br w:val="nil"/>
                    <w:tr2bl w:val="nil"/>
                  </w:tcBorders>
                  <w:vAlign w:val="center"/>
                </w:tcPr>
                <w:p w14:paraId="22DCB9D0">
                  <w:pPr>
                    <w:pStyle w:val="28"/>
                    <w:keepNext w:val="0"/>
                    <w:keepLines w:val="0"/>
                    <w:suppressLineNumbers w:val="0"/>
                    <w:spacing w:before="0" w:beforeAutospacing="0" w:after="0" w:afterAutospacing="0" w:line="240" w:lineRule="auto"/>
                    <w:ind w:left="0" w:leftChars="0" w:right="0" w:rightChars="0" w:firstLine="0" w:firstLineChars="0"/>
                    <w:rPr>
                      <w:rFonts w:hint="default"/>
                      <w:color w:val="auto"/>
                    </w:rPr>
                  </w:pPr>
                  <w:r>
                    <w:rPr>
                      <w:rFonts w:hint="default"/>
                      <w:color w:val="auto"/>
                    </w:rPr>
                    <w:t>符合</w:t>
                  </w:r>
                </w:p>
              </w:tc>
            </w:tr>
          </w:tbl>
          <w:p w14:paraId="1B60ABB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2</w:t>
            </w:r>
            <w:r>
              <w:rPr>
                <w:rFonts w:hint="default" w:cs="Times New Roman"/>
                <w:color w:val="auto"/>
              </w:rPr>
              <w:t>）本项目位于合规园区，项目建设满足规划环评及其审查意见相关要求。</w:t>
            </w:r>
          </w:p>
          <w:p w14:paraId="2C2B7D7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3</w:t>
            </w:r>
            <w:r>
              <w:rPr>
                <w:rFonts w:hint="default" w:cs="Times New Roman"/>
                <w:color w:val="auto"/>
              </w:rPr>
              <w:t>）本项目用地规划为三类工业，项目为食品级硫磺、工业级硫磺等产品生产，项目用地符合要求，目前，项目已取得合法用地手续。</w:t>
            </w:r>
          </w:p>
          <w:p w14:paraId="18C20BF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4</w:t>
            </w:r>
            <w:r>
              <w:rPr>
                <w:rFonts w:hint="default" w:cs="Times New Roman"/>
                <w:color w:val="auto"/>
              </w:rPr>
              <w:t>）本项目周边主要是化工企业，项目选址与周围环境相容。</w:t>
            </w:r>
          </w:p>
          <w:p w14:paraId="6AE5227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5</w:t>
            </w:r>
            <w:r>
              <w:rPr>
                <w:rFonts w:hint="default" w:cs="Times New Roman"/>
                <w:color w:val="auto"/>
              </w:rPr>
              <w:t>）项目附近有少量住户分布，但其均位于规划的园区范围内，后期将全部进行拆迁。</w:t>
            </w:r>
          </w:p>
          <w:p w14:paraId="5935667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6</w:t>
            </w:r>
            <w:r>
              <w:rPr>
                <w:rFonts w:hint="default" w:cs="Times New Roman"/>
                <w:color w:val="auto"/>
              </w:rPr>
              <w:t>）本项目自备柴油加油撬、LNG加注撬装置，参考相关规范，其等级三级加油站，本项目撬装装置严格遵循《阻隔防爆橇装式加油</w:t>
            </w:r>
            <w:r>
              <w:rPr>
                <w:rFonts w:hint="eastAsia" w:cs="Times New Roman"/>
                <w:color w:val="auto"/>
              </w:rPr>
              <w:t>（</w:t>
            </w:r>
            <w:r>
              <w:rPr>
                <w:rFonts w:hint="default" w:cs="Times New Roman"/>
                <w:color w:val="auto"/>
              </w:rPr>
              <w:t>气</w:t>
            </w:r>
            <w:r>
              <w:rPr>
                <w:rFonts w:hint="eastAsia" w:cs="Times New Roman"/>
                <w:color w:val="auto"/>
              </w:rPr>
              <w:t>）</w:t>
            </w:r>
            <w:r>
              <w:rPr>
                <w:rFonts w:hint="default" w:cs="Times New Roman"/>
                <w:color w:val="auto"/>
              </w:rPr>
              <w:t>站装置技术要求》</w:t>
            </w:r>
            <w:r>
              <w:rPr>
                <w:rFonts w:hint="eastAsia" w:cs="Times New Roman"/>
                <w:color w:val="auto"/>
              </w:rPr>
              <w:t>（</w:t>
            </w:r>
            <w:r>
              <w:rPr>
                <w:rFonts w:hint="default" w:cs="Times New Roman"/>
                <w:color w:val="auto"/>
              </w:rPr>
              <w:t>AQ3002-2005</w:t>
            </w:r>
            <w:r>
              <w:rPr>
                <w:rFonts w:hint="eastAsia" w:cs="Times New Roman"/>
                <w:color w:val="auto"/>
              </w:rPr>
              <w:t>）</w:t>
            </w:r>
            <w:r>
              <w:rPr>
                <w:rFonts w:hint="default" w:cs="Times New Roman"/>
                <w:color w:val="auto"/>
              </w:rPr>
              <w:t>、《采用撬装式加油装置的汽车加油站技术规范》</w:t>
            </w:r>
            <w:r>
              <w:rPr>
                <w:rFonts w:hint="eastAsia" w:cs="Times New Roman"/>
                <w:color w:val="auto"/>
              </w:rPr>
              <w:t>（</w:t>
            </w:r>
            <w:r>
              <w:rPr>
                <w:rFonts w:hint="default" w:cs="Times New Roman"/>
                <w:color w:val="auto"/>
              </w:rPr>
              <w:t>SHT-3134-2002</w:t>
            </w:r>
            <w:r>
              <w:rPr>
                <w:rFonts w:hint="eastAsia" w:cs="Times New Roman"/>
                <w:color w:val="auto"/>
              </w:rPr>
              <w:t>）</w:t>
            </w:r>
            <w:r>
              <w:rPr>
                <w:rFonts w:hint="default" w:cs="Times New Roman"/>
                <w:color w:val="auto"/>
              </w:rPr>
              <w:t>、《汽车加油加气加氢站设计与施工规范》</w:t>
            </w:r>
            <w:r>
              <w:rPr>
                <w:rFonts w:hint="eastAsia" w:cs="Times New Roman"/>
                <w:color w:val="auto"/>
              </w:rPr>
              <w:t>（</w:t>
            </w:r>
            <w:r>
              <w:rPr>
                <w:rFonts w:hint="default" w:cs="Times New Roman"/>
                <w:color w:val="auto"/>
              </w:rPr>
              <w:t>GB50156-2021</w:t>
            </w:r>
            <w:r>
              <w:rPr>
                <w:rFonts w:hint="eastAsia" w:cs="Times New Roman"/>
                <w:color w:val="auto"/>
              </w:rPr>
              <w:t>）</w:t>
            </w:r>
            <w:r>
              <w:rPr>
                <w:rFonts w:hint="default" w:cs="Times New Roman"/>
                <w:color w:val="auto"/>
              </w:rPr>
              <w:t>、《建筑设计防火规范》</w:t>
            </w:r>
            <w:r>
              <w:rPr>
                <w:rFonts w:hint="eastAsia" w:cs="Times New Roman"/>
                <w:color w:val="auto"/>
              </w:rPr>
              <w:t>（</w:t>
            </w:r>
            <w:r>
              <w:rPr>
                <w:rFonts w:hint="default" w:cs="Times New Roman"/>
                <w:color w:val="auto"/>
              </w:rPr>
              <w:t>GB50016-2018</w:t>
            </w:r>
            <w:r>
              <w:rPr>
                <w:rFonts w:hint="eastAsia" w:cs="Times New Roman"/>
                <w:color w:val="auto"/>
              </w:rPr>
              <w:t>）</w:t>
            </w:r>
            <w:r>
              <w:rPr>
                <w:rFonts w:hint="default" w:cs="Times New Roman"/>
                <w:color w:val="auto"/>
              </w:rPr>
              <w:t>、《建筑灭火器配置设计规范》</w:t>
            </w:r>
            <w:r>
              <w:rPr>
                <w:rFonts w:hint="eastAsia" w:cs="Times New Roman"/>
                <w:color w:val="auto"/>
              </w:rPr>
              <w:t>（</w:t>
            </w:r>
            <w:r>
              <w:rPr>
                <w:rFonts w:hint="default" w:cs="Times New Roman"/>
                <w:color w:val="auto"/>
              </w:rPr>
              <w:t>GB50140-2005</w:t>
            </w:r>
            <w:r>
              <w:rPr>
                <w:rFonts w:hint="eastAsia" w:cs="Times New Roman"/>
                <w:color w:val="auto"/>
              </w:rPr>
              <w:t>）</w:t>
            </w:r>
            <w:r>
              <w:rPr>
                <w:rFonts w:hint="default" w:cs="Times New Roman"/>
                <w:color w:val="auto"/>
              </w:rPr>
              <w:t>等相关规范要求，选址与外部环境满足规范要求。</w:t>
            </w:r>
          </w:p>
          <w:p w14:paraId="79D7C91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w:t>
            </w:r>
            <w:r>
              <w:rPr>
                <w:rFonts w:hint="eastAsia" w:cs="Times New Roman"/>
                <w:color w:val="auto"/>
                <w:lang w:val="en-US" w:eastAsia="zh-CN"/>
              </w:rPr>
              <w:t>7</w:t>
            </w:r>
            <w:r>
              <w:rPr>
                <w:rFonts w:hint="default" w:cs="Times New Roman"/>
                <w:color w:val="auto"/>
              </w:rPr>
              <w:t>）项目建成后经采取有效的治理措施后项目不会对周围环境产生明显影响且不会改变当地环境质量现状级别，项目环境风险可控。项目位于工业园区内，园区供水、排水、供电等基础设施完备，为项目建设提供了良好的平台。</w:t>
            </w:r>
          </w:p>
          <w:p w14:paraId="5381D3FC">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color w:val="auto"/>
              </w:rPr>
              <w:t>由上可知，本项目位于四川达州普光经济开发区达州普光化工园区，项目与周边外环境基本相容，从环境保护角度选址合理。</w:t>
            </w:r>
          </w:p>
        </w:tc>
      </w:tr>
    </w:tbl>
    <w:p w14:paraId="3A5D39D5">
      <w:pPr>
        <w:pStyle w:val="2"/>
        <w:ind w:firstLine="602"/>
        <w:rPr>
          <w:rFonts w:cs="Times New Roman"/>
          <w:color w:val="auto"/>
          <w:sz w:val="30"/>
          <w:szCs w:val="30"/>
        </w:rPr>
        <w:sectPr>
          <w:pgSz w:w="11906" w:h="16838"/>
          <w:pgMar w:top="1440" w:right="1797" w:bottom="1440" w:left="1797" w:header="851" w:footer="992" w:gutter="0"/>
          <w:cols w:space="425" w:num="1"/>
          <w:docGrid w:type="lines" w:linePitch="326" w:charSpace="0"/>
        </w:sectPr>
      </w:pPr>
    </w:p>
    <w:p w14:paraId="10EB4273">
      <w:pPr>
        <w:pStyle w:val="2"/>
        <w:ind w:firstLine="602"/>
        <w:rPr>
          <w:rFonts w:cs="Times New Roman"/>
          <w:color w:val="auto"/>
        </w:rPr>
      </w:pPr>
      <w:r>
        <w:rPr>
          <w:rFonts w:cs="Times New Roman"/>
          <w:color w:val="auto"/>
          <w:sz w:val="30"/>
          <w:szCs w:val="30"/>
        </w:rPr>
        <w:t>二、建设项目工程分析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8114"/>
      </w:tblGrid>
      <w:tr w14:paraId="2111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Align w:val="center"/>
          </w:tcPr>
          <w:p w14:paraId="1C3274F8">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建设内容</w:t>
            </w:r>
          </w:p>
        </w:tc>
        <w:tc>
          <w:tcPr>
            <w:tcW w:w="4662" w:type="pct"/>
            <w:vAlign w:val="center"/>
          </w:tcPr>
          <w:p w14:paraId="0CA99FC7">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2.1建设内容</w:t>
            </w:r>
          </w:p>
          <w:p w14:paraId="4A6AEE72">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2.1.1项目由来</w:t>
            </w:r>
          </w:p>
          <w:p w14:paraId="202F3BAB">
            <w:pPr>
              <w:keepNext w:val="0"/>
              <w:keepLines w:val="0"/>
              <w:suppressLineNumbers w:val="0"/>
              <w:spacing w:before="0" w:beforeAutospacing="0" w:after="0" w:afterAutospacing="0"/>
              <w:ind w:left="0" w:right="0" w:firstLine="480"/>
              <w:rPr>
                <w:rFonts w:hint="default" w:cs="Times New Roman"/>
                <w:color w:val="auto"/>
              </w:rPr>
            </w:pPr>
            <w:bookmarkStart w:id="54" w:name="OLE_LINK122"/>
            <w:bookmarkStart w:id="55" w:name="OLE_LINK123"/>
            <w:r>
              <w:rPr>
                <w:rFonts w:hint="default" w:cs="Times New Roman"/>
                <w:color w:val="auto"/>
              </w:rPr>
              <w:t>黔孚化工（达州）有限公司，成立于2021年6月2日，注册资本500万元，公司是由自然人股东和法人股东共同投资筹建，主要业务范围为食品级硫磺的生产、运输和销售。</w:t>
            </w:r>
          </w:p>
          <w:p w14:paraId="462D209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为充分利用临近的天然气净化厂副产硫磺资源，发展循环经济，实现资源综合利用，公司依托普光化工园内的天然气净化厂副产品工业硫磺（液态）为原料，拟在四川达州普光经济开发区达州普光化工园区</w:t>
            </w:r>
            <w:r>
              <w:rPr>
                <w:rFonts w:hint="eastAsia" w:cs="Times New Roman"/>
                <w:color w:val="auto"/>
                <w:lang w:eastAsia="zh-CN"/>
              </w:rPr>
              <w:t>规划范围内</w:t>
            </w:r>
            <w:r>
              <w:rPr>
                <w:rFonts w:hint="default" w:cs="Times New Roman"/>
                <w:color w:val="auto"/>
              </w:rPr>
              <w:t>建设5万吨/年食品级硫磺生产项目，占地约21981m</w:t>
            </w:r>
            <w:r>
              <w:rPr>
                <w:rFonts w:hint="default" w:cs="Times New Roman"/>
                <w:color w:val="auto"/>
                <w:vertAlign w:val="superscript"/>
              </w:rPr>
              <w:t>2</w:t>
            </w:r>
            <w:r>
              <w:rPr>
                <w:rFonts w:hint="default" w:cs="Times New Roman"/>
                <w:color w:val="auto"/>
              </w:rPr>
              <w:t>，建设总投资10500万元</w:t>
            </w:r>
            <w:bookmarkEnd w:id="54"/>
            <w:bookmarkEnd w:id="55"/>
            <w:r>
              <w:rPr>
                <w:rFonts w:hint="default" w:cs="Times New Roman"/>
                <w:color w:val="auto"/>
              </w:rPr>
              <w:t>。</w:t>
            </w:r>
          </w:p>
          <w:p w14:paraId="35CD57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根据《中华人民共和国环境保护法》《中华人民共和国环境影响评价法》以及国务院第682号令《建设项目环境保护管理条例》的相关内容，项目建设前必须开展环境影响评价工作。</w:t>
            </w:r>
          </w:p>
          <w:p w14:paraId="10835D2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根据《建设项目环境影响评价分类管理名录（2021版）》的相关要求，</w:t>
            </w:r>
            <w:bookmarkStart w:id="56" w:name="OLE_LINK124"/>
            <w:bookmarkStart w:id="57" w:name="OLE_LINK125"/>
            <w:r>
              <w:rPr>
                <w:rFonts w:hint="default" w:cs="Times New Roman"/>
                <w:color w:val="auto"/>
              </w:rPr>
              <w:t>本项目食品级硫磺</w:t>
            </w:r>
            <w:r>
              <w:rPr>
                <w:rFonts w:hint="eastAsia" w:cs="Times New Roman"/>
                <w:color w:val="auto"/>
              </w:rPr>
              <w:t>、食品级二氧化碳、干冰</w:t>
            </w:r>
            <w:r>
              <w:rPr>
                <w:rFonts w:hint="default" w:cs="Times New Roman"/>
                <w:color w:val="auto"/>
              </w:rPr>
              <w:t>产品</w:t>
            </w:r>
            <w:r>
              <w:rPr>
                <w:rFonts w:hint="eastAsia" w:cs="Times New Roman"/>
                <w:color w:val="auto"/>
              </w:rPr>
              <w:t>均</w:t>
            </w:r>
            <w:r>
              <w:rPr>
                <w:rFonts w:hint="default" w:cs="Times New Roman"/>
                <w:color w:val="auto"/>
              </w:rPr>
              <w:t>属于《国民经济行业分类》中1495 食品</w:t>
            </w:r>
            <w:r>
              <w:rPr>
                <w:rFonts w:hint="eastAsia" w:cs="Times New Roman"/>
                <w:color w:val="auto"/>
              </w:rPr>
              <w:t>及</w:t>
            </w:r>
            <w:r>
              <w:rPr>
                <w:rFonts w:hint="default" w:cs="Times New Roman"/>
                <w:color w:val="auto"/>
              </w:rPr>
              <w:t>饲料添加剂制造，工业级硫磺</w:t>
            </w:r>
            <w:r>
              <w:rPr>
                <w:rFonts w:hint="eastAsia" w:cs="Times New Roman"/>
                <w:color w:val="auto"/>
              </w:rPr>
              <w:t>以及其他硫素</w:t>
            </w:r>
            <w:r>
              <w:rPr>
                <w:rFonts w:hint="default" w:cs="Times New Roman"/>
                <w:color w:val="auto"/>
              </w:rPr>
              <w:t>产品属于《国民经济行业分类》中2619 其他基础化学原料制造，</w:t>
            </w:r>
            <w:bookmarkEnd w:id="56"/>
            <w:bookmarkEnd w:id="57"/>
            <w:bookmarkStart w:id="58" w:name="OLE_LINK126"/>
            <w:bookmarkStart w:id="59" w:name="OLE_LINK127"/>
            <w:r>
              <w:rPr>
                <w:rFonts w:hint="eastAsia" w:cs="Times New Roman"/>
                <w:color w:val="auto"/>
              </w:rPr>
              <w:t>且本项目产品生产工艺仅为简单物理提纯、混合、分装，不涉及化学反应</w:t>
            </w:r>
            <w:bookmarkEnd w:id="58"/>
            <w:bookmarkEnd w:id="59"/>
            <w:r>
              <w:rPr>
                <w:rFonts w:hint="eastAsia" w:cs="Times New Roman"/>
                <w:color w:val="auto"/>
              </w:rPr>
              <w:t>，因此，</w:t>
            </w:r>
            <w:r>
              <w:rPr>
                <w:rFonts w:hint="default" w:cs="Times New Roman"/>
                <w:color w:val="auto"/>
              </w:rPr>
              <w:t>产品分别属于“十一、食品制造业 14 其他食品制造149 无发酵工艺的食品及饲料添加剂制造”“二十三、化学原料和化学制品制造业26 单纯物理分离、物理提纯、混合、分装的（不产生废水或挥发性有机物的除外）”，均应当编制环境影响报告表，故建设单位委托我公司进行该项目的环境影响评价工作。在接受委托后，我公司组织专业技术人员对本项目进行实地踏勘和资料收集，并根据现场收集资料和有关技术规范及相关规定，结合本项目的污染特征，编制完成了本项目的环境影响报告表。</w:t>
            </w:r>
          </w:p>
          <w:p w14:paraId="1FE70BBC">
            <w:pPr>
              <w:keepNext w:val="0"/>
              <w:keepLines w:val="0"/>
              <w:suppressLineNumbers w:val="0"/>
              <w:spacing w:before="0" w:beforeAutospacing="0" w:after="0" w:afterAutospacing="0"/>
              <w:ind w:left="0" w:right="0" w:firstLine="0" w:firstLineChars="0"/>
              <w:rPr>
                <w:rFonts w:hint="default" w:cs="Times New Roman"/>
                <w:b/>
                <w:color w:val="auto"/>
              </w:rPr>
            </w:pPr>
            <w:r>
              <w:rPr>
                <w:rFonts w:hint="default" w:cs="Times New Roman"/>
                <w:b/>
                <w:color w:val="auto"/>
              </w:rPr>
              <w:t>2.1.2项目基本情况</w:t>
            </w:r>
          </w:p>
          <w:p w14:paraId="19A76EA3">
            <w:pPr>
              <w:keepNext w:val="0"/>
              <w:keepLines w:val="0"/>
              <w:suppressLineNumbers w:val="0"/>
              <w:spacing w:before="0" w:beforeAutospacing="0" w:after="0" w:afterAutospacing="0"/>
              <w:ind w:left="0" w:right="0" w:firstLine="480"/>
              <w:rPr>
                <w:rFonts w:hint="default" w:cs="Times New Roman"/>
                <w:color w:val="auto"/>
              </w:rPr>
            </w:pPr>
            <w:bookmarkStart w:id="60" w:name="OLE_LINK129"/>
            <w:bookmarkStart w:id="61" w:name="OLE_LINK128"/>
            <w:r>
              <w:rPr>
                <w:rFonts w:hint="default" w:cs="Times New Roman"/>
                <w:color w:val="auto"/>
              </w:rPr>
              <w:t>项目名称：</w:t>
            </w:r>
            <w:bookmarkStart w:id="62" w:name="OLE_LINK120"/>
            <w:bookmarkStart w:id="63" w:name="OLE_LINK121"/>
            <w:r>
              <w:rPr>
                <w:rFonts w:hint="default" w:cs="Times New Roman"/>
                <w:color w:val="auto"/>
              </w:rPr>
              <w:t>5万吨/年食品级硫磺生产项目</w:t>
            </w:r>
            <w:bookmarkEnd w:id="62"/>
            <w:bookmarkEnd w:id="63"/>
          </w:p>
          <w:p w14:paraId="785FC99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建设单位：黔孚化工（达州）有限公司</w:t>
            </w:r>
          </w:p>
          <w:p w14:paraId="25A6268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建设地点：四川省达州市宣汉县普光工业园区</w:t>
            </w:r>
          </w:p>
          <w:p w14:paraId="3B049A1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建设性质：新建</w:t>
            </w:r>
          </w:p>
          <w:p w14:paraId="29EEDCE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建筑面积：21981m</w:t>
            </w:r>
            <w:r>
              <w:rPr>
                <w:rFonts w:hint="default" w:cs="Times New Roman"/>
                <w:color w:val="auto"/>
                <w:vertAlign w:val="superscript"/>
              </w:rPr>
              <w:t>2</w:t>
            </w:r>
          </w:p>
          <w:p w14:paraId="7E921BE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工程投资：项目总投资10500万元，其中环保投资251万元</w:t>
            </w:r>
          </w:p>
          <w:p w14:paraId="3B8C10F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工作制度：项目劳动定员为30人，工作制度为334天/年（8000小时），三班制</w:t>
            </w:r>
          </w:p>
          <w:bookmarkEnd w:id="60"/>
          <w:bookmarkEnd w:id="61"/>
          <w:p w14:paraId="130EA6AB">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2.1.3项目建设内容及规模</w:t>
            </w:r>
          </w:p>
          <w:p w14:paraId="30A917B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新建生产车间和干冰车间各1栋，并配套建设研发楼、消防泵房、食品级硫磺仓库、矩形料仓、罐区、LNG充装撬、脱盐水制备站、二氧化碳装卸站、初期雨水池、事故应急池等辅助工程、公用工程、环保工程、储运工程等，最终达到年产5万吨硫磺的生产能力。</w:t>
            </w:r>
          </w:p>
          <w:p w14:paraId="4E2FFB71">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2.1.4产品方案</w:t>
            </w:r>
          </w:p>
          <w:p w14:paraId="376EE97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本项目产品主要分为硫磺和二氧化碳两类，其中食品级硫磺设计产能为5万吨/年，同时会副产工业级硫磺5万吨/年。根据市场需要可生产出满足不同需求的</w:t>
            </w:r>
            <w:r>
              <w:rPr>
                <w:rFonts w:hint="eastAsia" w:cs="Times New Roman"/>
                <w:color w:val="auto"/>
              </w:rPr>
              <w:t>硫素</w:t>
            </w:r>
            <w:r>
              <w:rPr>
                <w:rFonts w:hint="default" w:cs="Times New Roman"/>
                <w:color w:val="auto"/>
              </w:rPr>
              <w:t>产品，如食品级硫磺生产线可产出橡胶用硫磺粉、农药用硫磺粉、土壤改良硫磺粉这四种硫磺产品，总规模不突破5万吨/年；工业级硫磺生产线可产出硫自养填料、沥青混凝土添加剂（硫磺温拌沥青）这三类产品，总规模不突破5万吨/年。二氧化碳设计产能为1万吨，原料即食品级二氧化碳，干冰生产规模为1万吨/年。产品方案如</w:t>
            </w:r>
            <w:r>
              <w:rPr>
                <w:rFonts w:hint="default" w:cs="Times New Roman"/>
                <w:color w:val="auto"/>
              </w:rPr>
              <w:fldChar w:fldCharType="begin"/>
            </w:r>
            <w:r>
              <w:rPr>
                <w:rFonts w:hint="default" w:cs="Times New Roman"/>
                <w:color w:val="auto"/>
              </w:rPr>
              <w:instrText xml:space="preserve"> REF _Ref951 \n \h </w:instrText>
            </w:r>
            <w:r>
              <w:rPr>
                <w:rFonts w:hint="default" w:cs="Times New Roman"/>
                <w:color w:val="auto"/>
              </w:rPr>
              <w:fldChar w:fldCharType="separate"/>
            </w:r>
            <w:r>
              <w:rPr>
                <w:rFonts w:hint="default" w:cs="Times New Roman"/>
                <w:color w:val="auto"/>
              </w:rPr>
              <w:t>表2-1</w:t>
            </w:r>
            <w:r>
              <w:rPr>
                <w:rFonts w:hint="default" w:cs="Times New Roman"/>
                <w:color w:val="auto"/>
              </w:rPr>
              <w:fldChar w:fldCharType="end"/>
            </w:r>
            <w:r>
              <w:rPr>
                <w:rFonts w:hint="default" w:cs="Times New Roman"/>
                <w:color w:val="auto"/>
              </w:rPr>
              <w:t>所示：</w:t>
            </w:r>
          </w:p>
          <w:p w14:paraId="239FF240">
            <w:pPr>
              <w:pStyle w:val="34"/>
              <w:keepNext w:val="0"/>
              <w:keepLines w:val="0"/>
              <w:suppressLineNumbers w:val="0"/>
              <w:spacing w:before="0" w:beforeAutospacing="0" w:after="0" w:afterAutospacing="0"/>
              <w:ind w:left="0" w:right="0"/>
              <w:rPr>
                <w:rFonts w:hint="default"/>
                <w:color w:val="auto"/>
              </w:rPr>
            </w:pPr>
            <w:bookmarkStart w:id="64" w:name="_Ref951"/>
            <w:r>
              <w:rPr>
                <w:rFonts w:hint="default"/>
                <w:color w:val="auto"/>
              </w:rPr>
              <w:t>项目产品方案一览表</w:t>
            </w:r>
            <w:bookmarkEnd w:id="64"/>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14"/>
              <w:gridCol w:w="1006"/>
              <w:gridCol w:w="1099"/>
              <w:gridCol w:w="1125"/>
              <w:gridCol w:w="1627"/>
              <w:gridCol w:w="1200"/>
            </w:tblGrid>
            <w:tr w14:paraId="34489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pct"/>
                  <w:gridSpan w:val="2"/>
                  <w:vAlign w:val="center"/>
                </w:tcPr>
                <w:p w14:paraId="3C76B386">
                  <w:pPr>
                    <w:pStyle w:val="28"/>
                    <w:keepNext w:val="0"/>
                    <w:keepLines w:val="0"/>
                    <w:suppressLineNumbers w:val="0"/>
                    <w:spacing w:before="0" w:beforeAutospacing="0" w:after="0" w:afterAutospacing="0"/>
                    <w:ind w:left="0" w:right="0"/>
                    <w:rPr>
                      <w:rFonts w:hint="default"/>
                      <w:color w:val="auto"/>
                    </w:rPr>
                  </w:pPr>
                  <w:r>
                    <w:rPr>
                      <w:rFonts w:hint="default"/>
                      <w:color w:val="auto"/>
                    </w:rPr>
                    <w:t>产品</w:t>
                  </w:r>
                </w:p>
              </w:tc>
              <w:tc>
                <w:tcPr>
                  <w:tcW w:w="637" w:type="pct"/>
                  <w:shd w:val="clear" w:color="auto" w:fill="auto"/>
                  <w:vAlign w:val="center"/>
                </w:tcPr>
                <w:p w14:paraId="12C8B0BE">
                  <w:pPr>
                    <w:pStyle w:val="28"/>
                    <w:keepNext w:val="0"/>
                    <w:keepLines w:val="0"/>
                    <w:suppressLineNumbers w:val="0"/>
                    <w:spacing w:before="0" w:beforeAutospacing="0" w:after="0" w:afterAutospacing="0"/>
                    <w:ind w:left="0" w:right="0"/>
                    <w:rPr>
                      <w:rFonts w:hint="default"/>
                      <w:color w:val="auto"/>
                    </w:rPr>
                  </w:pPr>
                  <w:r>
                    <w:rPr>
                      <w:rFonts w:hint="default"/>
                      <w:color w:val="auto"/>
                    </w:rPr>
                    <w:t>建设规模</w:t>
                  </w:r>
                </w:p>
              </w:tc>
              <w:tc>
                <w:tcPr>
                  <w:tcW w:w="696" w:type="pct"/>
                  <w:shd w:val="clear" w:color="auto" w:fill="auto"/>
                  <w:vAlign w:val="center"/>
                </w:tcPr>
                <w:p w14:paraId="40DD87E2">
                  <w:pPr>
                    <w:pStyle w:val="28"/>
                    <w:keepNext w:val="0"/>
                    <w:keepLines w:val="0"/>
                    <w:suppressLineNumbers w:val="0"/>
                    <w:spacing w:before="0" w:beforeAutospacing="0" w:after="0" w:afterAutospacing="0"/>
                    <w:ind w:left="0" w:right="0"/>
                    <w:rPr>
                      <w:rFonts w:hint="default"/>
                      <w:color w:val="auto"/>
                    </w:rPr>
                  </w:pPr>
                  <w:r>
                    <w:rPr>
                      <w:rFonts w:hint="default"/>
                      <w:color w:val="auto"/>
                    </w:rPr>
                    <w:t>形态</w:t>
                  </w:r>
                </w:p>
              </w:tc>
              <w:tc>
                <w:tcPr>
                  <w:tcW w:w="712" w:type="pct"/>
                  <w:shd w:val="clear" w:color="auto" w:fill="auto"/>
                  <w:vAlign w:val="center"/>
                </w:tcPr>
                <w:p w14:paraId="544A5168">
                  <w:pPr>
                    <w:pStyle w:val="28"/>
                    <w:keepNext w:val="0"/>
                    <w:keepLines w:val="0"/>
                    <w:suppressLineNumbers w:val="0"/>
                    <w:spacing w:before="0" w:beforeAutospacing="0" w:after="0" w:afterAutospacing="0"/>
                    <w:ind w:left="0" w:right="0"/>
                    <w:rPr>
                      <w:rFonts w:hint="default"/>
                      <w:color w:val="auto"/>
                    </w:rPr>
                  </w:pPr>
                  <w:r>
                    <w:rPr>
                      <w:rFonts w:hint="default"/>
                      <w:color w:val="auto"/>
                    </w:rPr>
                    <w:t>包装规格</w:t>
                  </w:r>
                </w:p>
              </w:tc>
              <w:tc>
                <w:tcPr>
                  <w:tcW w:w="1030" w:type="pct"/>
                  <w:shd w:val="clear" w:color="auto" w:fill="auto"/>
                  <w:vAlign w:val="center"/>
                </w:tcPr>
                <w:p w14:paraId="04418A54">
                  <w:pPr>
                    <w:pStyle w:val="28"/>
                    <w:keepNext w:val="0"/>
                    <w:keepLines w:val="0"/>
                    <w:suppressLineNumbers w:val="0"/>
                    <w:spacing w:before="0" w:beforeAutospacing="0" w:after="0" w:afterAutospacing="0"/>
                    <w:ind w:left="0" w:right="0"/>
                    <w:rPr>
                      <w:rFonts w:hint="default"/>
                      <w:color w:val="auto"/>
                    </w:rPr>
                  </w:pPr>
                  <w:r>
                    <w:rPr>
                      <w:rFonts w:hint="default"/>
                      <w:color w:val="auto"/>
                    </w:rPr>
                    <w:t>产品质量标准</w:t>
                  </w:r>
                </w:p>
              </w:tc>
              <w:tc>
                <w:tcPr>
                  <w:tcW w:w="760" w:type="pct"/>
                  <w:shd w:val="clear" w:color="auto" w:fill="auto"/>
                  <w:vAlign w:val="center"/>
                </w:tcPr>
                <w:p w14:paraId="24122910">
                  <w:pPr>
                    <w:pStyle w:val="28"/>
                    <w:keepNext w:val="0"/>
                    <w:keepLines w:val="0"/>
                    <w:suppressLineNumbers w:val="0"/>
                    <w:spacing w:before="0" w:beforeAutospacing="0" w:after="0" w:afterAutospacing="0"/>
                    <w:ind w:left="0" w:right="0"/>
                    <w:rPr>
                      <w:rFonts w:hint="default"/>
                      <w:color w:val="auto"/>
                    </w:rPr>
                  </w:pPr>
                  <w:r>
                    <w:rPr>
                      <w:rFonts w:hint="default"/>
                      <w:color w:val="auto"/>
                    </w:rPr>
                    <w:t>产品用途</w:t>
                  </w:r>
                </w:p>
              </w:tc>
            </w:tr>
            <w:tr w14:paraId="384DF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restart"/>
                  <w:vAlign w:val="center"/>
                </w:tcPr>
                <w:p w14:paraId="1580DC65">
                  <w:pPr>
                    <w:pStyle w:val="28"/>
                    <w:keepNext w:val="0"/>
                    <w:keepLines w:val="0"/>
                    <w:suppressLineNumbers w:val="0"/>
                    <w:spacing w:before="0" w:beforeAutospacing="0" w:after="0" w:afterAutospacing="0"/>
                    <w:ind w:left="0" w:right="0"/>
                    <w:rPr>
                      <w:rFonts w:hint="default"/>
                      <w:color w:val="auto"/>
                    </w:rPr>
                  </w:pPr>
                  <w:r>
                    <w:rPr>
                      <w:rFonts w:hint="default"/>
                      <w:color w:val="auto"/>
                    </w:rPr>
                    <w:t>硫磺</w:t>
                  </w:r>
                </w:p>
                <w:p w14:paraId="36F7AC5D">
                  <w:pPr>
                    <w:pStyle w:val="28"/>
                    <w:keepNext w:val="0"/>
                    <w:keepLines w:val="0"/>
                    <w:suppressLineNumbers w:val="0"/>
                    <w:spacing w:before="0" w:beforeAutospacing="0" w:after="0" w:afterAutospacing="0"/>
                    <w:ind w:left="0" w:right="0"/>
                    <w:rPr>
                      <w:rFonts w:hint="default"/>
                      <w:color w:val="auto"/>
                    </w:rPr>
                  </w:pPr>
                  <w:r>
                    <w:rPr>
                      <w:rFonts w:hint="default"/>
                      <w:color w:val="auto"/>
                    </w:rPr>
                    <w:t>产品</w:t>
                  </w:r>
                </w:p>
              </w:tc>
              <w:tc>
                <w:tcPr>
                  <w:tcW w:w="705" w:type="pct"/>
                  <w:shd w:val="clear" w:color="auto" w:fill="auto"/>
                  <w:vAlign w:val="center"/>
                </w:tcPr>
                <w:p w14:paraId="1E2DD0DA">
                  <w:pPr>
                    <w:pStyle w:val="28"/>
                    <w:keepNext w:val="0"/>
                    <w:keepLines w:val="0"/>
                    <w:suppressLineNumbers w:val="0"/>
                    <w:spacing w:before="0" w:beforeAutospacing="0" w:after="0" w:afterAutospacing="0"/>
                    <w:ind w:left="0" w:right="0"/>
                    <w:rPr>
                      <w:rFonts w:hint="default"/>
                      <w:color w:val="auto"/>
                    </w:rPr>
                  </w:pPr>
                  <w:r>
                    <w:rPr>
                      <w:rFonts w:hint="default"/>
                      <w:color w:val="auto"/>
                    </w:rPr>
                    <w:t>食品级硫磺</w:t>
                  </w:r>
                </w:p>
              </w:tc>
              <w:tc>
                <w:tcPr>
                  <w:tcW w:w="637" w:type="pct"/>
                  <w:vMerge w:val="restart"/>
                  <w:shd w:val="clear" w:color="auto" w:fill="auto"/>
                  <w:vAlign w:val="center"/>
                </w:tcPr>
                <w:p w14:paraId="2317B328">
                  <w:pPr>
                    <w:pStyle w:val="28"/>
                    <w:keepNext w:val="0"/>
                    <w:keepLines w:val="0"/>
                    <w:suppressLineNumbers w:val="0"/>
                    <w:spacing w:before="0" w:beforeAutospacing="0" w:after="0" w:afterAutospacing="0"/>
                    <w:ind w:left="0" w:right="0"/>
                    <w:rPr>
                      <w:rFonts w:hint="default"/>
                      <w:color w:val="auto"/>
                    </w:rPr>
                  </w:pPr>
                  <w:r>
                    <w:rPr>
                      <w:rFonts w:hint="default"/>
                      <w:color w:val="auto"/>
                    </w:rPr>
                    <w:t>5万吨/年</w:t>
                  </w:r>
                </w:p>
              </w:tc>
              <w:tc>
                <w:tcPr>
                  <w:tcW w:w="696" w:type="pct"/>
                  <w:vMerge w:val="restart"/>
                  <w:shd w:val="clear" w:color="auto" w:fill="auto"/>
                  <w:vAlign w:val="center"/>
                </w:tcPr>
                <w:p w14:paraId="210EC429">
                  <w:pPr>
                    <w:pStyle w:val="28"/>
                    <w:keepNext w:val="0"/>
                    <w:keepLines w:val="0"/>
                    <w:suppressLineNumbers w:val="0"/>
                    <w:spacing w:before="0" w:beforeAutospacing="0" w:after="0" w:afterAutospacing="0"/>
                    <w:ind w:left="0" w:right="0"/>
                    <w:rPr>
                      <w:rFonts w:hint="default"/>
                      <w:color w:val="auto"/>
                    </w:rPr>
                  </w:pPr>
                  <w:r>
                    <w:rPr>
                      <w:rFonts w:hint="default"/>
                      <w:color w:val="auto"/>
                    </w:rPr>
                    <w:t>颗粒</w:t>
                  </w:r>
                </w:p>
              </w:tc>
              <w:tc>
                <w:tcPr>
                  <w:tcW w:w="712" w:type="pct"/>
                  <w:vMerge w:val="restart"/>
                  <w:shd w:val="clear" w:color="auto" w:fill="auto"/>
                  <w:vAlign w:val="center"/>
                </w:tcPr>
                <w:p w14:paraId="1B6AABDC">
                  <w:pPr>
                    <w:pStyle w:val="28"/>
                    <w:keepNext w:val="0"/>
                    <w:keepLines w:val="0"/>
                    <w:suppressLineNumbers w:val="0"/>
                    <w:spacing w:before="0" w:beforeAutospacing="0" w:after="0" w:afterAutospacing="0"/>
                    <w:ind w:left="0" w:right="0"/>
                    <w:rPr>
                      <w:rFonts w:hint="default"/>
                      <w:color w:val="auto"/>
                    </w:rPr>
                  </w:pPr>
                  <w:r>
                    <w:rPr>
                      <w:rFonts w:hint="default"/>
                      <w:color w:val="auto"/>
                    </w:rPr>
                    <w:t>1吨/袋</w:t>
                  </w:r>
                </w:p>
                <w:p w14:paraId="2ED4AACD">
                  <w:pPr>
                    <w:pStyle w:val="28"/>
                    <w:keepNext w:val="0"/>
                    <w:keepLines w:val="0"/>
                    <w:suppressLineNumbers w:val="0"/>
                    <w:spacing w:before="0" w:beforeAutospacing="0" w:after="0" w:afterAutospacing="0"/>
                    <w:ind w:left="0" w:right="0"/>
                    <w:rPr>
                      <w:rFonts w:hint="default"/>
                      <w:color w:val="auto"/>
                    </w:rPr>
                  </w:pPr>
                  <w:r>
                    <w:rPr>
                      <w:rFonts w:hint="default"/>
                      <w:color w:val="auto"/>
                    </w:rPr>
                    <w:t>50kg/袋</w:t>
                  </w:r>
                </w:p>
              </w:tc>
              <w:tc>
                <w:tcPr>
                  <w:tcW w:w="1030" w:type="pct"/>
                  <w:shd w:val="clear" w:color="auto" w:fill="auto"/>
                  <w:vAlign w:val="center"/>
                </w:tcPr>
                <w:p w14:paraId="57803EB8">
                  <w:pPr>
                    <w:pStyle w:val="28"/>
                    <w:keepNext w:val="0"/>
                    <w:keepLines w:val="0"/>
                    <w:suppressLineNumbers w:val="0"/>
                    <w:spacing w:before="0" w:beforeAutospacing="0" w:after="0" w:afterAutospacing="0"/>
                    <w:ind w:left="0" w:right="0"/>
                    <w:rPr>
                      <w:rFonts w:hint="default"/>
                      <w:color w:val="auto"/>
                    </w:rPr>
                  </w:pPr>
                  <w:r>
                    <w:rPr>
                      <w:rFonts w:hint="default"/>
                      <w:color w:val="auto"/>
                    </w:rPr>
                    <w:t>GB3150-2010</w:t>
                  </w:r>
                </w:p>
              </w:tc>
              <w:tc>
                <w:tcPr>
                  <w:tcW w:w="760" w:type="pct"/>
                  <w:shd w:val="clear" w:color="auto" w:fill="auto"/>
                  <w:vAlign w:val="center"/>
                </w:tcPr>
                <w:p w14:paraId="09043B61">
                  <w:pPr>
                    <w:pStyle w:val="28"/>
                    <w:keepNext w:val="0"/>
                    <w:keepLines w:val="0"/>
                    <w:suppressLineNumbers w:val="0"/>
                    <w:spacing w:before="0" w:beforeAutospacing="0" w:after="0" w:afterAutospacing="0"/>
                    <w:ind w:left="0" w:right="0"/>
                    <w:rPr>
                      <w:rFonts w:hint="default"/>
                      <w:color w:val="auto"/>
                    </w:rPr>
                  </w:pPr>
                  <w:r>
                    <w:rPr>
                      <w:rFonts w:hint="default"/>
                      <w:color w:val="auto"/>
                    </w:rPr>
                    <w:t>食品添加剂，在食品生产中硫磺有漂白，防腐之作用，对玉米淀粉加工必需材料，对干果类加工也有很重要的作用</w:t>
                  </w:r>
                </w:p>
              </w:tc>
            </w:tr>
            <w:tr w14:paraId="39EA5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551A24DC">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4C2729BC">
                  <w:pPr>
                    <w:pStyle w:val="28"/>
                    <w:keepNext w:val="0"/>
                    <w:keepLines w:val="0"/>
                    <w:suppressLineNumbers w:val="0"/>
                    <w:spacing w:before="0" w:beforeAutospacing="0" w:after="0" w:afterAutospacing="0"/>
                    <w:ind w:left="0" w:right="0"/>
                    <w:rPr>
                      <w:rFonts w:hint="default"/>
                      <w:color w:val="auto"/>
                      <w:highlight w:val="yellow"/>
                    </w:rPr>
                  </w:pPr>
                  <w:r>
                    <w:rPr>
                      <w:rFonts w:hint="default"/>
                      <w:color w:val="auto"/>
                    </w:rPr>
                    <w:t>橡胶用硫磺粉</w:t>
                  </w:r>
                </w:p>
              </w:tc>
              <w:tc>
                <w:tcPr>
                  <w:tcW w:w="637" w:type="pct"/>
                  <w:vMerge w:val="continue"/>
                  <w:shd w:val="clear" w:color="auto" w:fill="auto"/>
                  <w:vAlign w:val="center"/>
                </w:tcPr>
                <w:p w14:paraId="5A55E8D9">
                  <w:pPr>
                    <w:pStyle w:val="28"/>
                    <w:keepNext w:val="0"/>
                    <w:keepLines w:val="0"/>
                    <w:suppressLineNumbers w:val="0"/>
                    <w:spacing w:before="0" w:beforeAutospacing="0" w:after="0" w:afterAutospacing="0"/>
                    <w:ind w:left="0" w:right="0"/>
                    <w:rPr>
                      <w:rFonts w:hint="default"/>
                      <w:color w:val="auto"/>
                    </w:rPr>
                  </w:pPr>
                </w:p>
              </w:tc>
              <w:tc>
                <w:tcPr>
                  <w:tcW w:w="696" w:type="pct"/>
                  <w:vMerge w:val="continue"/>
                  <w:shd w:val="clear" w:color="auto" w:fill="auto"/>
                  <w:vAlign w:val="center"/>
                </w:tcPr>
                <w:p w14:paraId="4EB3869D">
                  <w:pPr>
                    <w:pStyle w:val="28"/>
                    <w:keepNext w:val="0"/>
                    <w:keepLines w:val="0"/>
                    <w:suppressLineNumbers w:val="0"/>
                    <w:spacing w:before="0" w:beforeAutospacing="0" w:after="0" w:afterAutospacing="0"/>
                    <w:ind w:left="0" w:right="0"/>
                    <w:rPr>
                      <w:rFonts w:hint="default"/>
                      <w:color w:val="auto"/>
                    </w:rPr>
                  </w:pPr>
                </w:p>
              </w:tc>
              <w:tc>
                <w:tcPr>
                  <w:tcW w:w="712" w:type="pct"/>
                  <w:vMerge w:val="continue"/>
                  <w:shd w:val="clear" w:color="auto" w:fill="auto"/>
                  <w:vAlign w:val="center"/>
                </w:tcPr>
                <w:p w14:paraId="6151F670">
                  <w:pPr>
                    <w:pStyle w:val="28"/>
                    <w:keepNext w:val="0"/>
                    <w:keepLines w:val="0"/>
                    <w:suppressLineNumbers w:val="0"/>
                    <w:spacing w:before="0" w:beforeAutospacing="0" w:after="0" w:afterAutospacing="0"/>
                    <w:ind w:left="0" w:right="0"/>
                    <w:rPr>
                      <w:rFonts w:hint="default"/>
                      <w:color w:val="auto"/>
                    </w:rPr>
                  </w:pPr>
                </w:p>
              </w:tc>
              <w:tc>
                <w:tcPr>
                  <w:tcW w:w="1030" w:type="pct"/>
                  <w:shd w:val="clear" w:color="auto" w:fill="auto"/>
                  <w:vAlign w:val="center"/>
                </w:tcPr>
                <w:p w14:paraId="60196C1F">
                  <w:pPr>
                    <w:pStyle w:val="28"/>
                    <w:keepNext w:val="0"/>
                    <w:keepLines w:val="0"/>
                    <w:suppressLineNumbers w:val="0"/>
                    <w:spacing w:before="0" w:beforeAutospacing="0" w:after="0" w:afterAutospacing="0"/>
                    <w:ind w:left="0" w:right="0"/>
                    <w:rPr>
                      <w:rFonts w:hint="default"/>
                      <w:color w:val="auto"/>
                    </w:rPr>
                  </w:pPr>
                  <w:r>
                    <w:rPr>
                      <w:rFonts w:hint="default"/>
                      <w:color w:val="auto"/>
                    </w:rPr>
                    <w:t>HG/T4558-2013</w:t>
                  </w:r>
                </w:p>
              </w:tc>
              <w:tc>
                <w:tcPr>
                  <w:tcW w:w="760" w:type="pct"/>
                  <w:shd w:val="clear" w:color="auto" w:fill="auto"/>
                  <w:vAlign w:val="center"/>
                </w:tcPr>
                <w:p w14:paraId="1479EAFE">
                  <w:pPr>
                    <w:pStyle w:val="28"/>
                    <w:keepNext w:val="0"/>
                    <w:keepLines w:val="0"/>
                    <w:suppressLineNumbers w:val="0"/>
                    <w:spacing w:before="0" w:beforeAutospacing="0" w:after="0" w:afterAutospacing="0"/>
                    <w:ind w:left="0" w:right="0"/>
                    <w:rPr>
                      <w:rFonts w:hint="default"/>
                      <w:color w:val="auto"/>
                    </w:rPr>
                  </w:pPr>
                  <w:r>
                    <w:rPr>
                      <w:rFonts w:hint="default"/>
                      <w:color w:val="auto"/>
                    </w:rPr>
                    <w:t>橡胶抗老化</w:t>
                  </w:r>
                </w:p>
              </w:tc>
            </w:tr>
            <w:tr w14:paraId="2CD09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012C83EA">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2660B30E">
                  <w:pPr>
                    <w:pStyle w:val="28"/>
                    <w:keepNext w:val="0"/>
                    <w:keepLines w:val="0"/>
                    <w:suppressLineNumbers w:val="0"/>
                    <w:spacing w:before="0" w:beforeAutospacing="0" w:after="0" w:afterAutospacing="0"/>
                    <w:ind w:left="0" w:right="0"/>
                    <w:rPr>
                      <w:rFonts w:hint="default"/>
                      <w:color w:val="auto"/>
                      <w:highlight w:val="yellow"/>
                    </w:rPr>
                  </w:pPr>
                  <w:r>
                    <w:rPr>
                      <w:rFonts w:hint="default"/>
                      <w:color w:val="auto"/>
                    </w:rPr>
                    <w:t>农药用硫磺粉</w:t>
                  </w:r>
                </w:p>
              </w:tc>
              <w:tc>
                <w:tcPr>
                  <w:tcW w:w="637" w:type="pct"/>
                  <w:vMerge w:val="continue"/>
                  <w:shd w:val="clear" w:color="auto" w:fill="auto"/>
                  <w:vAlign w:val="center"/>
                </w:tcPr>
                <w:p w14:paraId="2F712443">
                  <w:pPr>
                    <w:pStyle w:val="28"/>
                    <w:keepNext w:val="0"/>
                    <w:keepLines w:val="0"/>
                    <w:suppressLineNumbers w:val="0"/>
                    <w:spacing w:before="0" w:beforeAutospacing="0" w:after="0" w:afterAutospacing="0"/>
                    <w:ind w:left="0" w:right="0"/>
                    <w:rPr>
                      <w:rFonts w:hint="default"/>
                      <w:color w:val="auto"/>
                    </w:rPr>
                  </w:pPr>
                </w:p>
              </w:tc>
              <w:tc>
                <w:tcPr>
                  <w:tcW w:w="696" w:type="pct"/>
                  <w:vMerge w:val="continue"/>
                  <w:shd w:val="clear" w:color="auto" w:fill="auto"/>
                  <w:vAlign w:val="center"/>
                </w:tcPr>
                <w:p w14:paraId="579907A9">
                  <w:pPr>
                    <w:pStyle w:val="28"/>
                    <w:keepNext w:val="0"/>
                    <w:keepLines w:val="0"/>
                    <w:suppressLineNumbers w:val="0"/>
                    <w:spacing w:before="0" w:beforeAutospacing="0" w:after="0" w:afterAutospacing="0"/>
                    <w:ind w:left="0" w:right="0"/>
                    <w:rPr>
                      <w:rFonts w:hint="default"/>
                      <w:color w:val="auto"/>
                    </w:rPr>
                  </w:pPr>
                </w:p>
              </w:tc>
              <w:tc>
                <w:tcPr>
                  <w:tcW w:w="712" w:type="pct"/>
                  <w:vMerge w:val="continue"/>
                  <w:shd w:val="clear" w:color="auto" w:fill="auto"/>
                  <w:vAlign w:val="center"/>
                </w:tcPr>
                <w:p w14:paraId="3D4F76A0">
                  <w:pPr>
                    <w:pStyle w:val="28"/>
                    <w:keepNext w:val="0"/>
                    <w:keepLines w:val="0"/>
                    <w:suppressLineNumbers w:val="0"/>
                    <w:spacing w:before="0" w:beforeAutospacing="0" w:after="0" w:afterAutospacing="0"/>
                    <w:ind w:left="0" w:right="0"/>
                    <w:rPr>
                      <w:rFonts w:hint="default"/>
                      <w:color w:val="auto"/>
                    </w:rPr>
                  </w:pPr>
                </w:p>
              </w:tc>
              <w:tc>
                <w:tcPr>
                  <w:tcW w:w="1030" w:type="pct"/>
                  <w:shd w:val="clear" w:color="auto" w:fill="auto"/>
                  <w:vAlign w:val="center"/>
                </w:tcPr>
                <w:p w14:paraId="64055B92">
                  <w:pPr>
                    <w:pStyle w:val="28"/>
                    <w:keepNext w:val="0"/>
                    <w:keepLines w:val="0"/>
                    <w:suppressLineNumbers w:val="0"/>
                    <w:spacing w:before="0" w:beforeAutospacing="0" w:after="0" w:afterAutospacing="0"/>
                    <w:ind w:left="0" w:right="0"/>
                    <w:rPr>
                      <w:rFonts w:hint="default"/>
                      <w:color w:val="auto"/>
                    </w:rPr>
                  </w:pPr>
                  <w:r>
                    <w:rPr>
                      <w:rFonts w:hint="default"/>
                      <w:color w:val="auto"/>
                    </w:rPr>
                    <w:t>HG/T5569-2019</w:t>
                  </w:r>
                </w:p>
              </w:tc>
              <w:tc>
                <w:tcPr>
                  <w:tcW w:w="760" w:type="pct"/>
                  <w:shd w:val="clear" w:color="auto" w:fill="auto"/>
                  <w:vAlign w:val="center"/>
                </w:tcPr>
                <w:p w14:paraId="1F8BF2E7">
                  <w:pPr>
                    <w:pStyle w:val="28"/>
                    <w:keepNext w:val="0"/>
                    <w:keepLines w:val="0"/>
                    <w:suppressLineNumbers w:val="0"/>
                    <w:spacing w:before="0" w:beforeAutospacing="0" w:after="0" w:afterAutospacing="0"/>
                    <w:ind w:left="0" w:right="0"/>
                    <w:rPr>
                      <w:rFonts w:hint="default"/>
                      <w:color w:val="auto"/>
                    </w:rPr>
                  </w:pPr>
                  <w:r>
                    <w:rPr>
                      <w:rFonts w:hint="default"/>
                      <w:color w:val="auto"/>
                    </w:rPr>
                    <w:t>农作物防虫</w:t>
                  </w:r>
                </w:p>
              </w:tc>
            </w:tr>
            <w:tr w14:paraId="7BB02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1BF17D32">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3A8C1639">
                  <w:pPr>
                    <w:pStyle w:val="28"/>
                    <w:keepNext w:val="0"/>
                    <w:keepLines w:val="0"/>
                    <w:suppressLineNumbers w:val="0"/>
                    <w:spacing w:before="0" w:beforeAutospacing="0" w:after="0" w:afterAutospacing="0"/>
                    <w:ind w:left="0" w:right="0"/>
                    <w:rPr>
                      <w:rFonts w:hint="default"/>
                      <w:color w:val="auto"/>
                    </w:rPr>
                  </w:pPr>
                  <w:r>
                    <w:rPr>
                      <w:rFonts w:hint="default"/>
                      <w:color w:val="auto"/>
                    </w:rPr>
                    <w:t>土壤改良硫磺粉</w:t>
                  </w:r>
                </w:p>
              </w:tc>
              <w:tc>
                <w:tcPr>
                  <w:tcW w:w="637" w:type="pct"/>
                  <w:vMerge w:val="continue"/>
                  <w:shd w:val="clear" w:color="auto" w:fill="auto"/>
                  <w:vAlign w:val="center"/>
                </w:tcPr>
                <w:p w14:paraId="2AD21901">
                  <w:pPr>
                    <w:pStyle w:val="28"/>
                    <w:keepNext w:val="0"/>
                    <w:keepLines w:val="0"/>
                    <w:suppressLineNumbers w:val="0"/>
                    <w:spacing w:before="0" w:beforeAutospacing="0" w:after="0" w:afterAutospacing="0"/>
                    <w:ind w:left="0" w:right="0"/>
                    <w:rPr>
                      <w:rFonts w:hint="default"/>
                      <w:color w:val="auto"/>
                    </w:rPr>
                  </w:pPr>
                </w:p>
              </w:tc>
              <w:tc>
                <w:tcPr>
                  <w:tcW w:w="696" w:type="pct"/>
                  <w:vMerge w:val="continue"/>
                  <w:shd w:val="clear" w:color="auto" w:fill="auto"/>
                  <w:vAlign w:val="center"/>
                </w:tcPr>
                <w:p w14:paraId="618A59C7">
                  <w:pPr>
                    <w:pStyle w:val="28"/>
                    <w:keepNext w:val="0"/>
                    <w:keepLines w:val="0"/>
                    <w:suppressLineNumbers w:val="0"/>
                    <w:spacing w:before="0" w:beforeAutospacing="0" w:after="0" w:afterAutospacing="0"/>
                    <w:ind w:left="0" w:right="0"/>
                    <w:rPr>
                      <w:rFonts w:hint="default"/>
                      <w:color w:val="auto"/>
                    </w:rPr>
                  </w:pPr>
                </w:p>
              </w:tc>
              <w:tc>
                <w:tcPr>
                  <w:tcW w:w="712" w:type="pct"/>
                  <w:vMerge w:val="continue"/>
                  <w:shd w:val="clear" w:color="auto" w:fill="auto"/>
                  <w:vAlign w:val="center"/>
                </w:tcPr>
                <w:p w14:paraId="2ACB886B">
                  <w:pPr>
                    <w:pStyle w:val="28"/>
                    <w:keepNext w:val="0"/>
                    <w:keepLines w:val="0"/>
                    <w:suppressLineNumbers w:val="0"/>
                    <w:spacing w:before="0" w:beforeAutospacing="0" w:after="0" w:afterAutospacing="0"/>
                    <w:ind w:left="0" w:right="0"/>
                    <w:rPr>
                      <w:rFonts w:hint="default"/>
                      <w:color w:val="auto"/>
                    </w:rPr>
                  </w:pPr>
                </w:p>
              </w:tc>
              <w:tc>
                <w:tcPr>
                  <w:tcW w:w="1030" w:type="pct"/>
                  <w:shd w:val="clear" w:color="auto" w:fill="auto"/>
                  <w:vAlign w:val="center"/>
                </w:tcPr>
                <w:p w14:paraId="1400943D">
                  <w:pPr>
                    <w:pStyle w:val="28"/>
                    <w:keepNext w:val="0"/>
                    <w:keepLines w:val="0"/>
                    <w:suppressLineNumbers w:val="0"/>
                    <w:spacing w:before="0" w:beforeAutospacing="0" w:after="0" w:afterAutospacing="0"/>
                    <w:ind w:left="0" w:right="0"/>
                    <w:rPr>
                      <w:rFonts w:hint="default"/>
                      <w:color w:val="auto"/>
                    </w:rPr>
                  </w:pPr>
                  <w:r>
                    <w:rPr>
                      <w:rFonts w:hint="default"/>
                      <w:color w:val="auto"/>
                    </w:rPr>
                    <w:t>HG/T5773-2020</w:t>
                  </w:r>
                </w:p>
              </w:tc>
              <w:tc>
                <w:tcPr>
                  <w:tcW w:w="760" w:type="pct"/>
                  <w:shd w:val="clear" w:color="auto" w:fill="auto"/>
                  <w:vAlign w:val="center"/>
                </w:tcPr>
                <w:p w14:paraId="448C93A4">
                  <w:pPr>
                    <w:pStyle w:val="28"/>
                    <w:keepNext w:val="0"/>
                    <w:keepLines w:val="0"/>
                    <w:suppressLineNumbers w:val="0"/>
                    <w:spacing w:before="0" w:beforeAutospacing="0" w:after="0" w:afterAutospacing="0"/>
                    <w:ind w:left="0" w:right="0"/>
                    <w:rPr>
                      <w:rFonts w:hint="default"/>
                      <w:color w:val="auto"/>
                    </w:rPr>
                  </w:pPr>
                  <w:r>
                    <w:rPr>
                      <w:rFonts w:hint="default"/>
                      <w:color w:val="auto"/>
                    </w:rPr>
                    <w:t>土壤改良</w:t>
                  </w:r>
                </w:p>
              </w:tc>
            </w:tr>
            <w:tr w14:paraId="355B1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6C173A06">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61AAC5F9">
                  <w:pPr>
                    <w:pStyle w:val="28"/>
                    <w:keepNext w:val="0"/>
                    <w:keepLines w:val="0"/>
                    <w:suppressLineNumbers w:val="0"/>
                    <w:spacing w:before="0" w:beforeAutospacing="0" w:after="0" w:afterAutospacing="0"/>
                    <w:ind w:left="0" w:right="0"/>
                    <w:rPr>
                      <w:rFonts w:hint="default"/>
                      <w:color w:val="auto"/>
                    </w:rPr>
                  </w:pPr>
                  <w:r>
                    <w:rPr>
                      <w:rFonts w:hint="default"/>
                      <w:color w:val="auto"/>
                    </w:rPr>
                    <w:t>工业级硫磺</w:t>
                  </w:r>
                </w:p>
              </w:tc>
              <w:tc>
                <w:tcPr>
                  <w:tcW w:w="637" w:type="pct"/>
                  <w:vMerge w:val="restart"/>
                  <w:shd w:val="clear" w:color="auto" w:fill="auto"/>
                  <w:vAlign w:val="center"/>
                </w:tcPr>
                <w:p w14:paraId="6A8C7AD8">
                  <w:pPr>
                    <w:pStyle w:val="28"/>
                    <w:keepNext w:val="0"/>
                    <w:keepLines w:val="0"/>
                    <w:suppressLineNumbers w:val="0"/>
                    <w:spacing w:before="0" w:beforeAutospacing="0" w:after="0" w:afterAutospacing="0"/>
                    <w:ind w:left="0" w:right="0"/>
                    <w:rPr>
                      <w:rFonts w:hint="default"/>
                      <w:color w:val="auto"/>
                    </w:rPr>
                  </w:pPr>
                  <w:r>
                    <w:rPr>
                      <w:rFonts w:hint="default"/>
                      <w:color w:val="auto"/>
                    </w:rPr>
                    <w:t>5万吨/年</w:t>
                  </w:r>
                </w:p>
              </w:tc>
              <w:tc>
                <w:tcPr>
                  <w:tcW w:w="696" w:type="pct"/>
                  <w:vMerge w:val="restart"/>
                  <w:shd w:val="clear" w:color="auto" w:fill="auto"/>
                  <w:vAlign w:val="center"/>
                </w:tcPr>
                <w:p w14:paraId="21EE1D00">
                  <w:pPr>
                    <w:pStyle w:val="28"/>
                    <w:keepNext w:val="0"/>
                    <w:keepLines w:val="0"/>
                    <w:suppressLineNumbers w:val="0"/>
                    <w:spacing w:before="0" w:beforeAutospacing="0" w:after="0" w:afterAutospacing="0"/>
                    <w:ind w:left="0" w:right="0"/>
                    <w:rPr>
                      <w:rFonts w:hint="default"/>
                      <w:color w:val="auto"/>
                    </w:rPr>
                  </w:pPr>
                  <w:r>
                    <w:rPr>
                      <w:rFonts w:hint="default"/>
                      <w:color w:val="auto"/>
                    </w:rPr>
                    <w:t>颗粒</w:t>
                  </w:r>
                </w:p>
              </w:tc>
              <w:tc>
                <w:tcPr>
                  <w:tcW w:w="712" w:type="pct"/>
                  <w:vMerge w:val="restart"/>
                  <w:shd w:val="clear" w:color="auto" w:fill="auto"/>
                  <w:vAlign w:val="center"/>
                </w:tcPr>
                <w:p w14:paraId="2092E093">
                  <w:pPr>
                    <w:pStyle w:val="28"/>
                    <w:keepNext w:val="0"/>
                    <w:keepLines w:val="0"/>
                    <w:suppressLineNumbers w:val="0"/>
                    <w:spacing w:before="0" w:beforeAutospacing="0" w:after="0" w:afterAutospacing="0"/>
                    <w:ind w:left="0" w:right="0"/>
                    <w:rPr>
                      <w:rFonts w:hint="default"/>
                      <w:color w:val="auto"/>
                    </w:rPr>
                  </w:pPr>
                  <w:r>
                    <w:rPr>
                      <w:rFonts w:hint="default"/>
                      <w:color w:val="auto"/>
                    </w:rPr>
                    <w:t>散装</w:t>
                  </w:r>
                </w:p>
              </w:tc>
              <w:tc>
                <w:tcPr>
                  <w:tcW w:w="1030" w:type="pct"/>
                  <w:shd w:val="clear" w:color="auto" w:fill="auto"/>
                  <w:vAlign w:val="center"/>
                </w:tcPr>
                <w:p w14:paraId="17DA7C51">
                  <w:pPr>
                    <w:pStyle w:val="28"/>
                    <w:keepNext w:val="0"/>
                    <w:keepLines w:val="0"/>
                    <w:suppressLineNumbers w:val="0"/>
                    <w:spacing w:before="0" w:beforeAutospacing="0" w:after="0" w:afterAutospacing="0"/>
                    <w:ind w:left="0" w:right="0"/>
                    <w:rPr>
                      <w:rFonts w:hint="default"/>
                      <w:color w:val="auto"/>
                    </w:rPr>
                  </w:pPr>
                  <w:r>
                    <w:rPr>
                      <w:rFonts w:hint="default"/>
                      <w:color w:val="auto"/>
                    </w:rPr>
                    <w:t>GB/T 2449.1-2021中B级指标</w:t>
                  </w:r>
                </w:p>
              </w:tc>
              <w:tc>
                <w:tcPr>
                  <w:tcW w:w="760" w:type="pct"/>
                  <w:shd w:val="clear" w:color="auto" w:fill="auto"/>
                  <w:vAlign w:val="center"/>
                </w:tcPr>
                <w:p w14:paraId="5E3A9FB6">
                  <w:pPr>
                    <w:pStyle w:val="28"/>
                    <w:keepNext w:val="0"/>
                    <w:keepLines w:val="0"/>
                    <w:suppressLineNumbers w:val="0"/>
                    <w:spacing w:before="0" w:beforeAutospacing="0" w:after="0" w:afterAutospacing="0"/>
                    <w:ind w:left="0" w:right="0"/>
                    <w:rPr>
                      <w:rFonts w:hint="default"/>
                      <w:color w:val="auto"/>
                    </w:rPr>
                  </w:pPr>
                  <w:r>
                    <w:rPr>
                      <w:rFonts w:hint="default"/>
                      <w:color w:val="auto"/>
                    </w:rPr>
                    <w:t>硫磺制酸</w:t>
                  </w:r>
                </w:p>
              </w:tc>
            </w:tr>
            <w:tr w14:paraId="4A7E1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6AB0A62E">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7BC1740E">
                  <w:pPr>
                    <w:pStyle w:val="28"/>
                    <w:keepNext w:val="0"/>
                    <w:keepLines w:val="0"/>
                    <w:suppressLineNumbers w:val="0"/>
                    <w:spacing w:before="0" w:beforeAutospacing="0" w:after="0" w:afterAutospacing="0"/>
                    <w:ind w:left="0" w:right="0"/>
                    <w:rPr>
                      <w:rFonts w:hint="default"/>
                      <w:color w:val="auto"/>
                    </w:rPr>
                  </w:pPr>
                  <w:r>
                    <w:rPr>
                      <w:rFonts w:hint="default"/>
                      <w:color w:val="auto"/>
                    </w:rPr>
                    <w:t>硫自养填料</w:t>
                  </w:r>
                </w:p>
              </w:tc>
              <w:tc>
                <w:tcPr>
                  <w:tcW w:w="637" w:type="pct"/>
                  <w:vMerge w:val="continue"/>
                  <w:shd w:val="clear" w:color="auto" w:fill="auto"/>
                  <w:vAlign w:val="center"/>
                </w:tcPr>
                <w:p w14:paraId="7804FCA5">
                  <w:pPr>
                    <w:pStyle w:val="28"/>
                    <w:keepNext w:val="0"/>
                    <w:keepLines w:val="0"/>
                    <w:suppressLineNumbers w:val="0"/>
                    <w:spacing w:before="0" w:beforeAutospacing="0" w:after="0" w:afterAutospacing="0"/>
                    <w:ind w:left="0" w:right="0"/>
                    <w:rPr>
                      <w:rFonts w:hint="default"/>
                      <w:color w:val="auto"/>
                    </w:rPr>
                  </w:pPr>
                </w:p>
              </w:tc>
              <w:tc>
                <w:tcPr>
                  <w:tcW w:w="696" w:type="pct"/>
                  <w:vMerge w:val="continue"/>
                  <w:shd w:val="clear" w:color="auto" w:fill="auto"/>
                  <w:vAlign w:val="center"/>
                </w:tcPr>
                <w:p w14:paraId="07E45AD8">
                  <w:pPr>
                    <w:pStyle w:val="28"/>
                    <w:keepNext w:val="0"/>
                    <w:keepLines w:val="0"/>
                    <w:suppressLineNumbers w:val="0"/>
                    <w:spacing w:before="0" w:beforeAutospacing="0" w:after="0" w:afterAutospacing="0"/>
                    <w:ind w:left="0" w:right="0"/>
                    <w:rPr>
                      <w:rFonts w:hint="default"/>
                      <w:color w:val="auto"/>
                    </w:rPr>
                  </w:pPr>
                </w:p>
              </w:tc>
              <w:tc>
                <w:tcPr>
                  <w:tcW w:w="712" w:type="pct"/>
                  <w:vMerge w:val="continue"/>
                  <w:shd w:val="clear" w:color="auto" w:fill="auto"/>
                  <w:vAlign w:val="center"/>
                </w:tcPr>
                <w:p w14:paraId="38D66287">
                  <w:pPr>
                    <w:pStyle w:val="28"/>
                    <w:keepNext w:val="0"/>
                    <w:keepLines w:val="0"/>
                    <w:suppressLineNumbers w:val="0"/>
                    <w:spacing w:before="0" w:beforeAutospacing="0" w:after="0" w:afterAutospacing="0"/>
                    <w:ind w:left="0" w:right="0"/>
                    <w:rPr>
                      <w:rFonts w:hint="default"/>
                      <w:color w:val="auto"/>
                    </w:rPr>
                  </w:pPr>
                </w:p>
              </w:tc>
              <w:tc>
                <w:tcPr>
                  <w:tcW w:w="1030" w:type="pct"/>
                  <w:shd w:val="clear" w:color="auto" w:fill="auto"/>
                  <w:vAlign w:val="center"/>
                </w:tcPr>
                <w:p w14:paraId="33165B68">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760" w:type="pct"/>
                  <w:shd w:val="clear" w:color="auto" w:fill="auto"/>
                  <w:vAlign w:val="center"/>
                </w:tcPr>
                <w:p w14:paraId="0356823C">
                  <w:pPr>
                    <w:pStyle w:val="28"/>
                    <w:keepNext w:val="0"/>
                    <w:keepLines w:val="0"/>
                    <w:suppressLineNumbers w:val="0"/>
                    <w:spacing w:before="0" w:beforeAutospacing="0" w:after="0" w:afterAutospacing="0"/>
                    <w:ind w:left="0" w:right="0"/>
                    <w:rPr>
                      <w:rFonts w:hint="default"/>
                      <w:color w:val="auto"/>
                    </w:rPr>
                  </w:pPr>
                  <w:r>
                    <w:rPr>
                      <w:rFonts w:hint="default"/>
                      <w:color w:val="auto"/>
                    </w:rPr>
                    <w:t>污水净化</w:t>
                  </w:r>
                </w:p>
              </w:tc>
            </w:tr>
            <w:tr w14:paraId="04B6E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51C4CDFB">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3A1FCACC">
                  <w:pPr>
                    <w:pStyle w:val="28"/>
                    <w:keepNext w:val="0"/>
                    <w:keepLines w:val="0"/>
                    <w:suppressLineNumbers w:val="0"/>
                    <w:spacing w:before="0" w:beforeAutospacing="0" w:after="0" w:afterAutospacing="0"/>
                    <w:ind w:left="0" w:right="0"/>
                    <w:rPr>
                      <w:rFonts w:hint="default"/>
                      <w:color w:val="auto"/>
                    </w:rPr>
                  </w:pPr>
                  <w:r>
                    <w:rPr>
                      <w:rFonts w:hint="default"/>
                      <w:color w:val="auto"/>
                    </w:rPr>
                    <w:t>沥青混凝土添加剂（硫磺温拌沥青）</w:t>
                  </w:r>
                </w:p>
              </w:tc>
              <w:tc>
                <w:tcPr>
                  <w:tcW w:w="637" w:type="pct"/>
                  <w:vMerge w:val="continue"/>
                  <w:shd w:val="clear" w:color="auto" w:fill="auto"/>
                  <w:vAlign w:val="center"/>
                </w:tcPr>
                <w:p w14:paraId="03E363F0">
                  <w:pPr>
                    <w:pStyle w:val="28"/>
                    <w:keepNext w:val="0"/>
                    <w:keepLines w:val="0"/>
                    <w:suppressLineNumbers w:val="0"/>
                    <w:spacing w:before="0" w:beforeAutospacing="0" w:after="0" w:afterAutospacing="0"/>
                    <w:ind w:left="0" w:right="0"/>
                    <w:rPr>
                      <w:rFonts w:hint="default"/>
                      <w:color w:val="auto"/>
                    </w:rPr>
                  </w:pPr>
                </w:p>
              </w:tc>
              <w:tc>
                <w:tcPr>
                  <w:tcW w:w="696" w:type="pct"/>
                  <w:vMerge w:val="continue"/>
                  <w:shd w:val="clear" w:color="auto" w:fill="auto"/>
                  <w:vAlign w:val="center"/>
                </w:tcPr>
                <w:p w14:paraId="6B55135A">
                  <w:pPr>
                    <w:pStyle w:val="28"/>
                    <w:keepNext w:val="0"/>
                    <w:keepLines w:val="0"/>
                    <w:suppressLineNumbers w:val="0"/>
                    <w:spacing w:before="0" w:beforeAutospacing="0" w:after="0" w:afterAutospacing="0"/>
                    <w:ind w:left="0" w:right="0"/>
                    <w:rPr>
                      <w:rFonts w:hint="default"/>
                      <w:color w:val="auto"/>
                    </w:rPr>
                  </w:pPr>
                </w:p>
              </w:tc>
              <w:tc>
                <w:tcPr>
                  <w:tcW w:w="712" w:type="pct"/>
                  <w:vMerge w:val="continue"/>
                  <w:shd w:val="clear" w:color="auto" w:fill="auto"/>
                  <w:vAlign w:val="center"/>
                </w:tcPr>
                <w:p w14:paraId="20624A25">
                  <w:pPr>
                    <w:pStyle w:val="28"/>
                    <w:keepNext w:val="0"/>
                    <w:keepLines w:val="0"/>
                    <w:suppressLineNumbers w:val="0"/>
                    <w:spacing w:before="0" w:beforeAutospacing="0" w:after="0" w:afterAutospacing="0"/>
                    <w:ind w:left="0" w:right="0"/>
                    <w:rPr>
                      <w:rFonts w:hint="default"/>
                      <w:color w:val="auto"/>
                    </w:rPr>
                  </w:pPr>
                </w:p>
              </w:tc>
              <w:tc>
                <w:tcPr>
                  <w:tcW w:w="1030" w:type="pct"/>
                  <w:shd w:val="clear" w:color="auto" w:fill="auto"/>
                  <w:vAlign w:val="center"/>
                </w:tcPr>
                <w:p w14:paraId="2AED5CE3">
                  <w:pPr>
                    <w:pStyle w:val="28"/>
                    <w:keepNext w:val="0"/>
                    <w:keepLines w:val="0"/>
                    <w:suppressLineNumbers w:val="0"/>
                    <w:spacing w:before="0" w:beforeAutospacing="0" w:after="0" w:afterAutospacing="0"/>
                    <w:ind w:left="0" w:right="0"/>
                    <w:rPr>
                      <w:rFonts w:hint="default"/>
                      <w:color w:val="auto"/>
                    </w:rPr>
                  </w:pPr>
                  <w:r>
                    <w:rPr>
                      <w:rFonts w:hint="default"/>
                      <w:color w:val="auto"/>
                    </w:rPr>
                    <w:t>DB32/T2701-2014</w:t>
                  </w:r>
                </w:p>
              </w:tc>
              <w:tc>
                <w:tcPr>
                  <w:tcW w:w="760" w:type="pct"/>
                  <w:shd w:val="clear" w:color="auto" w:fill="auto"/>
                  <w:vAlign w:val="center"/>
                </w:tcPr>
                <w:p w14:paraId="755DCB75">
                  <w:pPr>
                    <w:pStyle w:val="28"/>
                    <w:keepNext w:val="0"/>
                    <w:keepLines w:val="0"/>
                    <w:suppressLineNumbers w:val="0"/>
                    <w:spacing w:before="0" w:beforeAutospacing="0" w:after="0" w:afterAutospacing="0"/>
                    <w:ind w:left="0" w:right="0"/>
                    <w:rPr>
                      <w:rFonts w:hint="default"/>
                      <w:color w:val="auto"/>
                    </w:rPr>
                  </w:pPr>
                  <w:r>
                    <w:rPr>
                      <w:rFonts w:hint="default"/>
                      <w:color w:val="auto"/>
                    </w:rPr>
                    <w:t>道路</w:t>
                  </w:r>
                </w:p>
              </w:tc>
            </w:tr>
            <w:tr w14:paraId="06AE8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restart"/>
                  <w:vAlign w:val="center"/>
                </w:tcPr>
                <w:p w14:paraId="2B7F1285">
                  <w:pPr>
                    <w:pStyle w:val="28"/>
                    <w:keepNext w:val="0"/>
                    <w:keepLines w:val="0"/>
                    <w:suppressLineNumbers w:val="0"/>
                    <w:spacing w:before="0" w:beforeAutospacing="0" w:after="0" w:afterAutospacing="0"/>
                    <w:ind w:left="0" w:right="0"/>
                    <w:rPr>
                      <w:rFonts w:hint="default"/>
                      <w:color w:val="auto"/>
                    </w:rPr>
                  </w:pPr>
                  <w:r>
                    <w:rPr>
                      <w:rFonts w:hint="default"/>
                      <w:color w:val="auto"/>
                    </w:rPr>
                    <w:t>食品级二氧化碳</w:t>
                  </w:r>
                </w:p>
              </w:tc>
              <w:tc>
                <w:tcPr>
                  <w:tcW w:w="705" w:type="pct"/>
                  <w:shd w:val="clear" w:color="auto" w:fill="auto"/>
                  <w:vAlign w:val="center"/>
                </w:tcPr>
                <w:p w14:paraId="312FF667">
                  <w:pPr>
                    <w:pStyle w:val="28"/>
                    <w:keepNext w:val="0"/>
                    <w:keepLines w:val="0"/>
                    <w:suppressLineNumbers w:val="0"/>
                    <w:spacing w:before="0" w:beforeAutospacing="0" w:after="0" w:afterAutospacing="0"/>
                    <w:ind w:left="0" w:right="0"/>
                    <w:rPr>
                      <w:rFonts w:hint="default"/>
                      <w:color w:val="auto"/>
                    </w:rPr>
                  </w:pPr>
                  <w:r>
                    <w:rPr>
                      <w:rFonts w:hint="default"/>
                      <w:color w:val="auto"/>
                    </w:rPr>
                    <w:t>食品级二氧化碳</w:t>
                  </w:r>
                </w:p>
              </w:tc>
              <w:tc>
                <w:tcPr>
                  <w:tcW w:w="637" w:type="pct"/>
                  <w:vMerge w:val="restart"/>
                  <w:shd w:val="clear" w:color="auto" w:fill="auto"/>
                  <w:vAlign w:val="center"/>
                </w:tcPr>
                <w:p w14:paraId="3937EEB9">
                  <w:pPr>
                    <w:pStyle w:val="28"/>
                    <w:keepNext w:val="0"/>
                    <w:keepLines w:val="0"/>
                    <w:suppressLineNumbers w:val="0"/>
                    <w:spacing w:before="0" w:beforeAutospacing="0" w:after="0" w:afterAutospacing="0"/>
                    <w:ind w:left="0" w:right="0"/>
                    <w:rPr>
                      <w:rFonts w:hint="default"/>
                      <w:color w:val="auto"/>
                    </w:rPr>
                  </w:pPr>
                  <w:r>
                    <w:rPr>
                      <w:rFonts w:hint="default"/>
                      <w:color w:val="auto"/>
                    </w:rPr>
                    <w:t>1万吨/年</w:t>
                  </w:r>
                </w:p>
              </w:tc>
              <w:tc>
                <w:tcPr>
                  <w:tcW w:w="696" w:type="pct"/>
                  <w:shd w:val="clear" w:color="auto" w:fill="auto"/>
                  <w:vAlign w:val="center"/>
                </w:tcPr>
                <w:p w14:paraId="0EFC5C5B">
                  <w:pPr>
                    <w:pStyle w:val="28"/>
                    <w:keepNext w:val="0"/>
                    <w:keepLines w:val="0"/>
                    <w:suppressLineNumbers w:val="0"/>
                    <w:spacing w:before="0" w:beforeAutospacing="0" w:after="0" w:afterAutospacing="0"/>
                    <w:ind w:left="0" w:right="0"/>
                    <w:rPr>
                      <w:rFonts w:hint="default"/>
                      <w:color w:val="auto"/>
                    </w:rPr>
                  </w:pPr>
                  <w:r>
                    <w:rPr>
                      <w:rFonts w:hint="default"/>
                      <w:color w:val="auto"/>
                    </w:rPr>
                    <w:t>液态</w:t>
                  </w:r>
                </w:p>
              </w:tc>
              <w:tc>
                <w:tcPr>
                  <w:tcW w:w="712" w:type="pct"/>
                  <w:shd w:val="clear" w:color="auto" w:fill="auto"/>
                  <w:vAlign w:val="center"/>
                </w:tcPr>
                <w:p w14:paraId="26D8F8D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030" w:type="pct"/>
                  <w:vMerge w:val="restart"/>
                  <w:shd w:val="clear" w:color="auto" w:fill="auto"/>
                  <w:vAlign w:val="center"/>
                </w:tcPr>
                <w:p w14:paraId="287A249F">
                  <w:pPr>
                    <w:pStyle w:val="28"/>
                    <w:keepNext w:val="0"/>
                    <w:keepLines w:val="0"/>
                    <w:suppressLineNumbers w:val="0"/>
                    <w:spacing w:before="0" w:beforeAutospacing="0" w:after="0" w:afterAutospacing="0"/>
                    <w:ind w:left="0" w:right="0"/>
                    <w:rPr>
                      <w:rFonts w:hint="default"/>
                      <w:color w:val="auto"/>
                    </w:rPr>
                  </w:pPr>
                  <w:r>
                    <w:rPr>
                      <w:rFonts w:hint="default"/>
                      <w:color w:val="auto"/>
                    </w:rPr>
                    <w:t>GB1886.228-2016</w:t>
                  </w:r>
                </w:p>
              </w:tc>
              <w:tc>
                <w:tcPr>
                  <w:tcW w:w="760" w:type="pct"/>
                  <w:shd w:val="clear" w:color="auto" w:fill="auto"/>
                  <w:vAlign w:val="center"/>
                </w:tcPr>
                <w:p w14:paraId="1BB461C7">
                  <w:pPr>
                    <w:pStyle w:val="28"/>
                    <w:keepNext w:val="0"/>
                    <w:keepLines w:val="0"/>
                    <w:suppressLineNumbers w:val="0"/>
                    <w:spacing w:before="0" w:beforeAutospacing="0" w:after="0" w:afterAutospacing="0"/>
                    <w:ind w:left="0" w:right="0"/>
                    <w:rPr>
                      <w:rFonts w:hint="default"/>
                      <w:color w:val="auto"/>
                    </w:rPr>
                  </w:pPr>
                  <w:r>
                    <w:rPr>
                      <w:rFonts w:hint="default"/>
                      <w:color w:val="auto"/>
                    </w:rPr>
                    <w:t>食品添加剂</w:t>
                  </w:r>
                </w:p>
              </w:tc>
            </w:tr>
            <w:tr w14:paraId="76269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 w:type="pct"/>
                  <w:vMerge w:val="continue"/>
                  <w:vAlign w:val="center"/>
                </w:tcPr>
                <w:p w14:paraId="18D66A1B">
                  <w:pPr>
                    <w:pStyle w:val="28"/>
                    <w:keepNext w:val="0"/>
                    <w:keepLines w:val="0"/>
                    <w:suppressLineNumbers w:val="0"/>
                    <w:spacing w:before="0" w:beforeAutospacing="0" w:after="0" w:afterAutospacing="0"/>
                    <w:ind w:left="0" w:right="0"/>
                    <w:rPr>
                      <w:rFonts w:hint="default"/>
                      <w:color w:val="auto"/>
                    </w:rPr>
                  </w:pPr>
                </w:p>
              </w:tc>
              <w:tc>
                <w:tcPr>
                  <w:tcW w:w="705" w:type="pct"/>
                  <w:shd w:val="clear" w:color="auto" w:fill="auto"/>
                  <w:vAlign w:val="center"/>
                </w:tcPr>
                <w:p w14:paraId="2522F658">
                  <w:pPr>
                    <w:pStyle w:val="28"/>
                    <w:keepNext w:val="0"/>
                    <w:keepLines w:val="0"/>
                    <w:suppressLineNumbers w:val="0"/>
                    <w:spacing w:before="0" w:beforeAutospacing="0" w:after="0" w:afterAutospacing="0"/>
                    <w:ind w:left="0" w:right="0"/>
                    <w:rPr>
                      <w:rFonts w:hint="default"/>
                      <w:color w:val="auto"/>
                    </w:rPr>
                  </w:pPr>
                  <w:r>
                    <w:rPr>
                      <w:rFonts w:hint="default"/>
                      <w:color w:val="auto"/>
                    </w:rPr>
                    <w:t>干冰</w:t>
                  </w:r>
                </w:p>
              </w:tc>
              <w:tc>
                <w:tcPr>
                  <w:tcW w:w="637" w:type="pct"/>
                  <w:vMerge w:val="continue"/>
                  <w:shd w:val="clear" w:color="auto" w:fill="auto"/>
                  <w:vAlign w:val="center"/>
                </w:tcPr>
                <w:p w14:paraId="6B91C6A3">
                  <w:pPr>
                    <w:pStyle w:val="28"/>
                    <w:keepNext w:val="0"/>
                    <w:keepLines w:val="0"/>
                    <w:suppressLineNumbers w:val="0"/>
                    <w:spacing w:before="0" w:beforeAutospacing="0" w:after="0" w:afterAutospacing="0"/>
                    <w:ind w:left="0" w:right="0"/>
                    <w:rPr>
                      <w:rFonts w:hint="default"/>
                      <w:color w:val="auto"/>
                    </w:rPr>
                  </w:pPr>
                </w:p>
              </w:tc>
              <w:tc>
                <w:tcPr>
                  <w:tcW w:w="696" w:type="pct"/>
                  <w:shd w:val="clear" w:color="auto" w:fill="auto"/>
                  <w:vAlign w:val="center"/>
                </w:tcPr>
                <w:p w14:paraId="43BF3A31">
                  <w:pPr>
                    <w:pStyle w:val="28"/>
                    <w:keepNext w:val="0"/>
                    <w:keepLines w:val="0"/>
                    <w:suppressLineNumbers w:val="0"/>
                    <w:spacing w:before="0" w:beforeAutospacing="0" w:after="0" w:afterAutospacing="0"/>
                    <w:ind w:left="0" w:right="0"/>
                    <w:rPr>
                      <w:rFonts w:hint="default"/>
                      <w:color w:val="auto"/>
                      <w:sz w:val="16"/>
                    </w:rPr>
                  </w:pPr>
                  <w:r>
                    <w:rPr>
                      <w:rFonts w:hint="default"/>
                      <w:color w:val="auto"/>
                    </w:rPr>
                    <w:t>固态条形</w:t>
                  </w:r>
                  <w:r>
                    <w:rPr>
                      <w:rFonts w:hint="default"/>
                      <w:color w:val="auto"/>
                      <w:sz w:val="16"/>
                    </w:rPr>
                    <w:t>150mm*</w:t>
                  </w:r>
                </w:p>
                <w:p w14:paraId="01FA5ADC">
                  <w:pPr>
                    <w:pStyle w:val="28"/>
                    <w:keepNext w:val="0"/>
                    <w:keepLines w:val="0"/>
                    <w:suppressLineNumbers w:val="0"/>
                    <w:spacing w:before="0" w:beforeAutospacing="0" w:after="0" w:afterAutospacing="0"/>
                    <w:ind w:left="0" w:right="0"/>
                    <w:rPr>
                      <w:rFonts w:hint="default"/>
                      <w:color w:val="auto"/>
                    </w:rPr>
                  </w:pPr>
                  <w:r>
                    <w:rPr>
                      <w:rFonts w:hint="default"/>
                      <w:color w:val="auto"/>
                      <w:sz w:val="16"/>
                    </w:rPr>
                    <w:t>10mm*5mm</w:t>
                  </w:r>
                </w:p>
              </w:tc>
              <w:tc>
                <w:tcPr>
                  <w:tcW w:w="712" w:type="pct"/>
                  <w:shd w:val="clear" w:color="auto" w:fill="auto"/>
                  <w:noWrap/>
                  <w:vAlign w:val="center"/>
                </w:tcPr>
                <w:p w14:paraId="3ED693D5">
                  <w:pPr>
                    <w:pStyle w:val="28"/>
                    <w:keepNext w:val="0"/>
                    <w:keepLines w:val="0"/>
                    <w:suppressLineNumbers w:val="0"/>
                    <w:spacing w:before="0" w:beforeAutospacing="0" w:after="0" w:afterAutospacing="0"/>
                    <w:ind w:left="0" w:right="0"/>
                    <w:rPr>
                      <w:rFonts w:hint="default"/>
                      <w:color w:val="auto"/>
                    </w:rPr>
                  </w:pPr>
                  <w:r>
                    <w:rPr>
                      <w:rFonts w:hint="default"/>
                      <w:color w:val="auto"/>
                    </w:rPr>
                    <w:t>50公斤/箱</w:t>
                  </w:r>
                </w:p>
              </w:tc>
              <w:tc>
                <w:tcPr>
                  <w:tcW w:w="1030" w:type="pct"/>
                  <w:vMerge w:val="continue"/>
                  <w:shd w:val="clear" w:color="auto" w:fill="auto"/>
                  <w:vAlign w:val="center"/>
                </w:tcPr>
                <w:p w14:paraId="6E133BD4">
                  <w:pPr>
                    <w:pStyle w:val="28"/>
                    <w:keepNext w:val="0"/>
                    <w:keepLines w:val="0"/>
                    <w:suppressLineNumbers w:val="0"/>
                    <w:spacing w:before="0" w:beforeAutospacing="0" w:after="0" w:afterAutospacing="0"/>
                    <w:ind w:left="0" w:right="0"/>
                    <w:rPr>
                      <w:rFonts w:hint="default"/>
                      <w:color w:val="auto"/>
                    </w:rPr>
                  </w:pPr>
                </w:p>
              </w:tc>
              <w:tc>
                <w:tcPr>
                  <w:tcW w:w="760" w:type="pct"/>
                  <w:shd w:val="clear" w:color="auto" w:fill="auto"/>
                  <w:vAlign w:val="center"/>
                </w:tcPr>
                <w:p w14:paraId="26BF3674">
                  <w:pPr>
                    <w:pStyle w:val="28"/>
                    <w:keepNext w:val="0"/>
                    <w:keepLines w:val="0"/>
                    <w:suppressLineNumbers w:val="0"/>
                    <w:spacing w:before="0" w:beforeAutospacing="0" w:after="0" w:afterAutospacing="0"/>
                    <w:ind w:left="0" w:right="0"/>
                    <w:rPr>
                      <w:rFonts w:hint="default"/>
                      <w:color w:val="auto"/>
                    </w:rPr>
                  </w:pPr>
                  <w:r>
                    <w:rPr>
                      <w:rFonts w:hint="default"/>
                      <w:color w:val="auto"/>
                    </w:rPr>
                    <w:t>保鲜或冷藏</w:t>
                  </w:r>
                </w:p>
              </w:tc>
            </w:tr>
          </w:tbl>
          <w:p w14:paraId="5C3AA21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其中食品级二氧化碳采用食品级二氧化碳</w:t>
            </w:r>
            <w:r>
              <w:rPr>
                <w:rFonts w:hint="eastAsia" w:cs="Times New Roman"/>
                <w:color w:val="auto"/>
              </w:rPr>
              <w:t>原料</w:t>
            </w:r>
            <w:r>
              <w:rPr>
                <w:rFonts w:hint="default" w:cs="Times New Roman"/>
                <w:color w:val="auto"/>
              </w:rPr>
              <w:t>入厂。</w:t>
            </w:r>
          </w:p>
          <w:p w14:paraId="7CE43CA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项目产品食品级硫磺满足</w:t>
            </w:r>
            <w:bookmarkStart w:id="65" w:name="OLE_LINK6"/>
            <w:r>
              <w:rPr>
                <w:rFonts w:hint="default" w:cs="Times New Roman"/>
                <w:color w:val="auto"/>
              </w:rPr>
              <w:t>《食品添加剂 硫磺》（GB3150-2010）</w:t>
            </w:r>
            <w:bookmarkEnd w:id="65"/>
            <w:r>
              <w:rPr>
                <w:rFonts w:hint="default" w:cs="Times New Roman"/>
                <w:color w:val="auto"/>
              </w:rPr>
              <w:t>中的各项技术指标：</w:t>
            </w:r>
          </w:p>
          <w:p w14:paraId="7AAF54D4">
            <w:pPr>
              <w:pStyle w:val="34"/>
              <w:keepNext w:val="0"/>
              <w:keepLines w:val="0"/>
              <w:suppressLineNumbers w:val="0"/>
              <w:spacing w:before="0" w:beforeAutospacing="0" w:after="0" w:afterAutospacing="0"/>
              <w:ind w:left="0" w:right="0"/>
              <w:rPr>
                <w:rFonts w:hint="default"/>
                <w:color w:val="auto"/>
              </w:rPr>
            </w:pPr>
            <w:r>
              <w:rPr>
                <w:rFonts w:hint="default"/>
                <w:color w:val="auto"/>
              </w:rPr>
              <w:t>《食品添加剂 硫磺》（GB3150-2010）中的技术指标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8"/>
              <w:gridCol w:w="3567"/>
            </w:tblGrid>
            <w:tr w14:paraId="496E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66DA32B2">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567" w:type="dxa"/>
                  <w:tcBorders>
                    <w:tl2br w:val="nil"/>
                    <w:tr2bl w:val="nil"/>
                  </w:tcBorders>
                  <w:vAlign w:val="center"/>
                </w:tcPr>
                <w:p w14:paraId="0359258A">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55812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71321092">
                  <w:pPr>
                    <w:pStyle w:val="27"/>
                    <w:keepNext w:val="0"/>
                    <w:keepLines w:val="0"/>
                    <w:suppressLineNumbers w:val="0"/>
                    <w:spacing w:before="0" w:beforeAutospacing="0" w:after="0" w:afterAutospacing="0"/>
                    <w:ind w:left="0" w:right="0"/>
                    <w:rPr>
                      <w:rFonts w:hint="default"/>
                      <w:color w:val="auto"/>
                    </w:rPr>
                  </w:pPr>
                  <w:r>
                    <w:rPr>
                      <w:rFonts w:hint="default"/>
                      <w:color w:val="auto"/>
                    </w:rPr>
                    <w:t>色泽，组织状态</w:t>
                  </w:r>
                </w:p>
              </w:tc>
              <w:tc>
                <w:tcPr>
                  <w:tcW w:w="3567" w:type="dxa"/>
                  <w:tcBorders>
                    <w:tl2br w:val="nil"/>
                    <w:tr2bl w:val="nil"/>
                  </w:tcBorders>
                  <w:vAlign w:val="center"/>
                </w:tcPr>
                <w:p w14:paraId="48053D85">
                  <w:pPr>
                    <w:pStyle w:val="27"/>
                    <w:keepNext w:val="0"/>
                    <w:keepLines w:val="0"/>
                    <w:suppressLineNumbers w:val="0"/>
                    <w:spacing w:before="0" w:beforeAutospacing="0" w:after="0" w:afterAutospacing="0"/>
                    <w:ind w:left="0" w:right="0"/>
                    <w:rPr>
                      <w:rFonts w:hint="default"/>
                      <w:color w:val="auto"/>
                    </w:rPr>
                  </w:pPr>
                  <w:r>
                    <w:rPr>
                      <w:rFonts w:hint="default"/>
                      <w:color w:val="auto"/>
                    </w:rPr>
                    <w:t>黄色或淡黄色，粉状或片状</w:t>
                  </w:r>
                </w:p>
              </w:tc>
            </w:tr>
            <w:tr w14:paraId="04CCA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648C0CF5">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硫（S），w/%                      ≥</w:t>
                  </w:r>
                </w:p>
              </w:tc>
              <w:tc>
                <w:tcPr>
                  <w:tcW w:w="3567" w:type="dxa"/>
                  <w:tcBorders>
                    <w:tl2br w:val="nil"/>
                    <w:tr2bl w:val="nil"/>
                  </w:tcBorders>
                  <w:vAlign w:val="center"/>
                </w:tcPr>
                <w:p w14:paraId="5384789E">
                  <w:pPr>
                    <w:pStyle w:val="27"/>
                    <w:keepNext w:val="0"/>
                    <w:keepLines w:val="0"/>
                    <w:suppressLineNumbers w:val="0"/>
                    <w:spacing w:before="0" w:beforeAutospacing="0" w:after="0" w:afterAutospacing="0"/>
                    <w:ind w:left="0" w:right="0"/>
                    <w:rPr>
                      <w:rFonts w:hint="default"/>
                      <w:color w:val="auto"/>
                    </w:rPr>
                  </w:pPr>
                  <w:r>
                    <w:rPr>
                      <w:rFonts w:hint="default"/>
                      <w:color w:val="auto"/>
                    </w:rPr>
                    <w:t>99.9</w:t>
                  </w:r>
                </w:p>
              </w:tc>
            </w:tr>
            <w:tr w14:paraId="700F6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37725C24">
                  <w:pPr>
                    <w:pStyle w:val="27"/>
                    <w:keepNext w:val="0"/>
                    <w:keepLines w:val="0"/>
                    <w:suppressLineNumbers w:val="0"/>
                    <w:spacing w:before="0" w:beforeAutospacing="0" w:after="0" w:afterAutospacing="0"/>
                    <w:ind w:left="0" w:right="0"/>
                    <w:rPr>
                      <w:rFonts w:hint="default"/>
                      <w:color w:val="auto"/>
                    </w:rPr>
                  </w:pPr>
                  <w:r>
                    <w:rPr>
                      <w:rFonts w:hint="default"/>
                      <w:color w:val="auto"/>
                    </w:rPr>
                    <w:t>水分，w/%                   ≤</w:t>
                  </w:r>
                </w:p>
              </w:tc>
              <w:tc>
                <w:tcPr>
                  <w:tcW w:w="3567" w:type="dxa"/>
                  <w:tcBorders>
                    <w:tl2br w:val="nil"/>
                    <w:tr2bl w:val="nil"/>
                  </w:tcBorders>
                  <w:vAlign w:val="center"/>
                </w:tcPr>
                <w:p w14:paraId="6C528228">
                  <w:pPr>
                    <w:pStyle w:val="27"/>
                    <w:keepNext w:val="0"/>
                    <w:keepLines w:val="0"/>
                    <w:suppressLineNumbers w:val="0"/>
                    <w:spacing w:before="0" w:beforeAutospacing="0" w:after="0" w:afterAutospacing="0"/>
                    <w:ind w:left="0" w:right="0"/>
                    <w:rPr>
                      <w:rFonts w:hint="default"/>
                      <w:color w:val="auto"/>
                    </w:rPr>
                  </w:pPr>
                  <w:r>
                    <w:rPr>
                      <w:rFonts w:hint="default"/>
                      <w:color w:val="auto"/>
                    </w:rPr>
                    <w:t>0.1</w:t>
                  </w:r>
                </w:p>
              </w:tc>
            </w:tr>
            <w:tr w14:paraId="6DD0C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0F051F6B">
                  <w:pPr>
                    <w:pStyle w:val="27"/>
                    <w:keepNext w:val="0"/>
                    <w:keepLines w:val="0"/>
                    <w:suppressLineNumbers w:val="0"/>
                    <w:spacing w:before="0" w:beforeAutospacing="0" w:after="0" w:afterAutospacing="0"/>
                    <w:ind w:left="0" w:right="0"/>
                    <w:rPr>
                      <w:rFonts w:hint="default"/>
                      <w:color w:val="auto"/>
                    </w:rPr>
                  </w:pPr>
                  <w:r>
                    <w:rPr>
                      <w:rFonts w:hint="default"/>
                      <w:color w:val="auto"/>
                    </w:rPr>
                    <w:t>灰分，w/%                   ≤</w:t>
                  </w:r>
                </w:p>
              </w:tc>
              <w:tc>
                <w:tcPr>
                  <w:tcW w:w="3567" w:type="dxa"/>
                  <w:tcBorders>
                    <w:tl2br w:val="nil"/>
                    <w:tr2bl w:val="nil"/>
                  </w:tcBorders>
                  <w:vAlign w:val="center"/>
                </w:tcPr>
                <w:p w14:paraId="6C83244C">
                  <w:pPr>
                    <w:pStyle w:val="27"/>
                    <w:keepNext w:val="0"/>
                    <w:keepLines w:val="0"/>
                    <w:suppressLineNumbers w:val="0"/>
                    <w:spacing w:before="0" w:beforeAutospacing="0" w:after="0" w:afterAutospacing="0"/>
                    <w:ind w:left="0" w:right="0"/>
                    <w:rPr>
                      <w:rFonts w:hint="default"/>
                      <w:color w:val="auto"/>
                    </w:rPr>
                  </w:pPr>
                  <w:r>
                    <w:rPr>
                      <w:rFonts w:hint="default"/>
                      <w:color w:val="auto"/>
                    </w:rPr>
                    <w:t>0.03</w:t>
                  </w:r>
                </w:p>
              </w:tc>
            </w:tr>
            <w:tr w14:paraId="1E147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091379F7">
                  <w:pPr>
                    <w:pStyle w:val="27"/>
                    <w:keepNext w:val="0"/>
                    <w:keepLines w:val="0"/>
                    <w:suppressLineNumbers w:val="0"/>
                    <w:spacing w:before="0" w:beforeAutospacing="0" w:after="0" w:afterAutospacing="0"/>
                    <w:ind w:left="0" w:right="0"/>
                    <w:rPr>
                      <w:rFonts w:hint="default"/>
                      <w:color w:val="auto"/>
                    </w:rPr>
                  </w:pPr>
                  <w:r>
                    <w:rPr>
                      <w:rFonts w:hint="default"/>
                      <w:color w:val="auto"/>
                    </w:rPr>
                    <w:t>酸度（以H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计），w/%           ≤</w:t>
                  </w:r>
                </w:p>
              </w:tc>
              <w:tc>
                <w:tcPr>
                  <w:tcW w:w="3567" w:type="dxa"/>
                  <w:tcBorders>
                    <w:tl2br w:val="nil"/>
                    <w:tr2bl w:val="nil"/>
                  </w:tcBorders>
                  <w:vAlign w:val="center"/>
                </w:tcPr>
                <w:p w14:paraId="1C19699B">
                  <w:pPr>
                    <w:pStyle w:val="27"/>
                    <w:keepNext w:val="0"/>
                    <w:keepLines w:val="0"/>
                    <w:suppressLineNumbers w:val="0"/>
                    <w:spacing w:before="0" w:beforeAutospacing="0" w:after="0" w:afterAutospacing="0"/>
                    <w:ind w:left="0" w:right="0"/>
                    <w:rPr>
                      <w:rFonts w:hint="default"/>
                      <w:color w:val="auto"/>
                    </w:rPr>
                  </w:pPr>
                  <w:r>
                    <w:rPr>
                      <w:rFonts w:hint="default"/>
                      <w:color w:val="auto"/>
                    </w:rPr>
                    <w:t>0.003</w:t>
                  </w:r>
                </w:p>
              </w:tc>
            </w:tr>
            <w:tr w14:paraId="53890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62CFBD20">
                  <w:pPr>
                    <w:pStyle w:val="27"/>
                    <w:keepNext w:val="0"/>
                    <w:keepLines w:val="0"/>
                    <w:suppressLineNumbers w:val="0"/>
                    <w:spacing w:before="0" w:beforeAutospacing="0" w:after="0" w:afterAutospacing="0"/>
                    <w:ind w:left="0" w:right="0"/>
                    <w:rPr>
                      <w:rFonts w:hint="default"/>
                      <w:color w:val="auto"/>
                    </w:rPr>
                  </w:pPr>
                  <w:r>
                    <w:rPr>
                      <w:rFonts w:hint="default"/>
                      <w:color w:val="auto"/>
                    </w:rPr>
                    <w:t>有机物/%，w/%                   ≤</w:t>
                  </w:r>
                </w:p>
              </w:tc>
              <w:tc>
                <w:tcPr>
                  <w:tcW w:w="3567" w:type="dxa"/>
                  <w:tcBorders>
                    <w:tl2br w:val="nil"/>
                    <w:tr2bl w:val="nil"/>
                  </w:tcBorders>
                  <w:vAlign w:val="center"/>
                </w:tcPr>
                <w:p w14:paraId="7D504729">
                  <w:pPr>
                    <w:pStyle w:val="27"/>
                    <w:keepNext w:val="0"/>
                    <w:keepLines w:val="0"/>
                    <w:suppressLineNumbers w:val="0"/>
                    <w:spacing w:before="0" w:beforeAutospacing="0" w:after="0" w:afterAutospacing="0"/>
                    <w:ind w:left="0" w:right="0"/>
                    <w:rPr>
                      <w:rFonts w:hint="default"/>
                      <w:color w:val="auto"/>
                    </w:rPr>
                  </w:pPr>
                  <w:r>
                    <w:rPr>
                      <w:rFonts w:hint="default"/>
                      <w:color w:val="auto"/>
                    </w:rPr>
                    <w:t>0.03</w:t>
                  </w:r>
                </w:p>
              </w:tc>
            </w:tr>
            <w:tr w14:paraId="4C953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1CC4A0AE">
                  <w:pPr>
                    <w:pStyle w:val="27"/>
                    <w:keepNext w:val="0"/>
                    <w:keepLines w:val="0"/>
                    <w:suppressLineNumbers w:val="0"/>
                    <w:spacing w:before="0" w:beforeAutospacing="0" w:after="0" w:afterAutospacing="0"/>
                    <w:ind w:left="0" w:right="0"/>
                    <w:rPr>
                      <w:rFonts w:hint="default"/>
                      <w:color w:val="auto"/>
                    </w:rPr>
                  </w:pPr>
                  <w:r>
                    <w:rPr>
                      <w:rFonts w:hint="default"/>
                      <w:color w:val="auto"/>
                    </w:rPr>
                    <w:t xml:space="preserve">硫化物          </w:t>
                  </w:r>
                </w:p>
              </w:tc>
              <w:tc>
                <w:tcPr>
                  <w:tcW w:w="3567" w:type="dxa"/>
                  <w:tcBorders>
                    <w:tl2br w:val="nil"/>
                    <w:tr2bl w:val="nil"/>
                  </w:tcBorders>
                  <w:vAlign w:val="center"/>
                </w:tcPr>
                <w:p w14:paraId="74FBBB37">
                  <w:pPr>
                    <w:pStyle w:val="27"/>
                    <w:keepNext w:val="0"/>
                    <w:keepLines w:val="0"/>
                    <w:suppressLineNumbers w:val="0"/>
                    <w:spacing w:before="0" w:beforeAutospacing="0" w:after="0" w:afterAutospacing="0"/>
                    <w:ind w:left="0" w:right="0"/>
                    <w:rPr>
                      <w:rFonts w:hint="default"/>
                      <w:color w:val="auto"/>
                    </w:rPr>
                  </w:pPr>
                  <w:r>
                    <w:rPr>
                      <w:rFonts w:hint="default"/>
                      <w:color w:val="auto"/>
                    </w:rPr>
                    <w:t>通过检验（附录A中A.9）</w:t>
                  </w:r>
                </w:p>
              </w:tc>
            </w:tr>
            <w:tr w14:paraId="65C54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3FDC84E2">
                  <w:pPr>
                    <w:pStyle w:val="27"/>
                    <w:keepNext w:val="0"/>
                    <w:keepLines w:val="0"/>
                    <w:suppressLineNumbers w:val="0"/>
                    <w:spacing w:before="0" w:beforeAutospacing="0" w:after="0" w:afterAutospacing="0"/>
                    <w:ind w:left="0" w:right="0"/>
                    <w:rPr>
                      <w:rFonts w:hint="default"/>
                      <w:color w:val="auto"/>
                    </w:rPr>
                  </w:pPr>
                  <w:r>
                    <w:rPr>
                      <w:rFonts w:hint="default"/>
                      <w:color w:val="auto"/>
                    </w:rPr>
                    <w:t>砷</w:t>
                  </w:r>
                  <w:r>
                    <w:rPr>
                      <w:rFonts w:hint="eastAsia"/>
                      <w:color w:val="auto"/>
                    </w:rPr>
                    <w:t>（</w:t>
                  </w:r>
                  <w:r>
                    <w:rPr>
                      <w:rFonts w:hint="default"/>
                      <w:color w:val="auto"/>
                    </w:rPr>
                    <w:t>As</w:t>
                  </w:r>
                  <w:r>
                    <w:rPr>
                      <w:rFonts w:hint="eastAsia"/>
                      <w:color w:val="auto"/>
                    </w:rPr>
                    <w:t>）</w:t>
                  </w:r>
                  <w:r>
                    <w:rPr>
                      <w:rFonts w:hint="default"/>
                      <w:color w:val="auto"/>
                    </w:rPr>
                    <w:t xml:space="preserve"> /（mg/kg）            ≤</w:t>
                  </w:r>
                </w:p>
              </w:tc>
              <w:tc>
                <w:tcPr>
                  <w:tcW w:w="3567" w:type="dxa"/>
                  <w:tcBorders>
                    <w:tl2br w:val="nil"/>
                    <w:tr2bl w:val="nil"/>
                  </w:tcBorders>
                  <w:vAlign w:val="center"/>
                </w:tcPr>
                <w:p w14:paraId="39153FC2">
                  <w:pPr>
                    <w:pStyle w:val="27"/>
                    <w:keepNext w:val="0"/>
                    <w:keepLines w:val="0"/>
                    <w:suppressLineNumbers w:val="0"/>
                    <w:spacing w:before="0" w:beforeAutospacing="0" w:after="0" w:afterAutospacing="0"/>
                    <w:ind w:left="0" w:right="0"/>
                    <w:rPr>
                      <w:rFonts w:hint="default"/>
                      <w:color w:val="auto"/>
                    </w:rPr>
                  </w:pPr>
                  <w:r>
                    <w:rPr>
                      <w:rFonts w:hint="default"/>
                      <w:color w:val="auto"/>
                    </w:rPr>
                    <w:t>1</w:t>
                  </w:r>
                </w:p>
              </w:tc>
            </w:tr>
          </w:tbl>
          <w:p w14:paraId="3E5BAF7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项目其他产品满足各产品的质量标准，具体见表2-3至表2-9。</w:t>
            </w:r>
          </w:p>
          <w:p w14:paraId="5C0FAC8E">
            <w:pPr>
              <w:pStyle w:val="34"/>
              <w:keepNext w:val="0"/>
              <w:keepLines w:val="0"/>
              <w:suppressLineNumbers w:val="0"/>
              <w:spacing w:before="0" w:beforeAutospacing="0" w:after="0" w:afterAutospacing="0"/>
              <w:ind w:left="0" w:right="0"/>
              <w:rPr>
                <w:rFonts w:hint="default"/>
                <w:color w:val="auto"/>
              </w:rPr>
            </w:pPr>
            <w:r>
              <w:rPr>
                <w:rFonts w:hint="default"/>
                <w:color w:val="auto"/>
              </w:rPr>
              <w:t>《工业硫磺 第</w:t>
            </w:r>
            <w:r>
              <w:rPr>
                <w:rFonts w:hint="eastAsia"/>
                <w:color w:val="auto"/>
              </w:rPr>
              <w:t>1</w:t>
            </w:r>
            <w:r>
              <w:rPr>
                <w:rFonts w:hint="default"/>
                <w:color w:val="auto"/>
              </w:rPr>
              <w:t>部分：固体产品》（GB/T 2449.1-2021）中B级的技术指标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3425"/>
            </w:tblGrid>
            <w:tr w14:paraId="33CFA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60" w:type="dxa"/>
                  <w:gridSpan w:val="2"/>
                  <w:tcBorders>
                    <w:tl2br w:val="nil"/>
                    <w:tr2bl w:val="nil"/>
                  </w:tcBorders>
                  <w:vAlign w:val="center"/>
                </w:tcPr>
                <w:p w14:paraId="6C1ED93E">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425" w:type="dxa"/>
                  <w:tcBorders>
                    <w:tl2br w:val="nil"/>
                    <w:tr2bl w:val="nil"/>
                  </w:tcBorders>
                  <w:vAlign w:val="center"/>
                </w:tcPr>
                <w:p w14:paraId="74A97D1F">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34240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523B0068">
                  <w:pPr>
                    <w:pStyle w:val="27"/>
                    <w:keepNext w:val="0"/>
                    <w:keepLines w:val="0"/>
                    <w:suppressLineNumbers w:val="0"/>
                    <w:spacing w:before="0" w:beforeAutospacing="0" w:after="0" w:afterAutospacing="0"/>
                    <w:ind w:left="0" w:right="0"/>
                    <w:rPr>
                      <w:rFonts w:hint="default"/>
                      <w:color w:val="auto"/>
                    </w:rPr>
                  </w:pPr>
                  <w:r>
                    <w:rPr>
                      <w:rFonts w:hint="default"/>
                      <w:color w:val="auto"/>
                    </w:rPr>
                    <w:t>外观</w:t>
                  </w:r>
                </w:p>
              </w:tc>
              <w:tc>
                <w:tcPr>
                  <w:tcW w:w="3425" w:type="dxa"/>
                  <w:tcBorders>
                    <w:tl2br w:val="nil"/>
                    <w:tr2bl w:val="nil"/>
                  </w:tcBorders>
                  <w:vAlign w:val="center"/>
                </w:tcPr>
                <w:p w14:paraId="4D10F002">
                  <w:pPr>
                    <w:pStyle w:val="27"/>
                    <w:keepNext w:val="0"/>
                    <w:keepLines w:val="0"/>
                    <w:suppressLineNumbers w:val="0"/>
                    <w:spacing w:before="0" w:beforeAutospacing="0" w:after="0" w:afterAutospacing="0"/>
                    <w:ind w:left="0" w:right="0"/>
                    <w:rPr>
                      <w:rFonts w:hint="default"/>
                      <w:color w:val="auto"/>
                    </w:rPr>
                  </w:pPr>
                  <w:r>
                    <w:rPr>
                      <w:rFonts w:hint="default"/>
                      <w:color w:val="auto"/>
                    </w:rPr>
                    <w:t>固体工业硫磺有块状、粉状、粒状和片状等，呈黄色或者淡黄色，无肉眼可见杂质</w:t>
                  </w:r>
                </w:p>
              </w:tc>
            </w:tr>
            <w:tr w14:paraId="0B861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7ADBE5C5">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硫的质量分数（</w:t>
                  </w:r>
                  <w:r>
                    <w:rPr>
                      <w:rFonts w:hint="eastAsia"/>
                      <w:color w:val="auto"/>
                    </w:rPr>
                    <w:t>S</w:t>
                  </w:r>
                  <w:r>
                    <w:rPr>
                      <w:rFonts w:hint="default"/>
                      <w:color w:val="auto"/>
                    </w:rPr>
                    <w:t>）（以干基计）%   ≥</w:t>
                  </w:r>
                </w:p>
              </w:tc>
              <w:tc>
                <w:tcPr>
                  <w:tcW w:w="3425" w:type="dxa"/>
                  <w:tcBorders>
                    <w:tl2br w:val="nil"/>
                    <w:tr2bl w:val="nil"/>
                  </w:tcBorders>
                  <w:vAlign w:val="center"/>
                </w:tcPr>
                <w:p w14:paraId="5F14BA1B">
                  <w:pPr>
                    <w:pStyle w:val="27"/>
                    <w:keepNext w:val="0"/>
                    <w:keepLines w:val="0"/>
                    <w:suppressLineNumbers w:val="0"/>
                    <w:spacing w:before="0" w:beforeAutospacing="0" w:after="0" w:afterAutospacing="0"/>
                    <w:ind w:left="0" w:right="0"/>
                    <w:rPr>
                      <w:rFonts w:hint="default"/>
                      <w:color w:val="auto"/>
                    </w:rPr>
                  </w:pPr>
                  <w:r>
                    <w:rPr>
                      <w:rFonts w:hint="default"/>
                      <w:color w:val="auto"/>
                    </w:rPr>
                    <w:t>99.5</w:t>
                  </w:r>
                </w:p>
              </w:tc>
            </w:tr>
            <w:tr w14:paraId="2C831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197A7F4C">
                  <w:pPr>
                    <w:pStyle w:val="27"/>
                    <w:keepNext w:val="0"/>
                    <w:keepLines w:val="0"/>
                    <w:suppressLineNumbers w:val="0"/>
                    <w:spacing w:before="0" w:beforeAutospacing="0" w:after="0" w:afterAutospacing="0"/>
                    <w:ind w:left="0" w:right="0"/>
                    <w:rPr>
                      <w:rFonts w:hint="default"/>
                      <w:color w:val="auto"/>
                    </w:rPr>
                  </w:pPr>
                  <w:r>
                    <w:rPr>
                      <w:rFonts w:hint="default"/>
                      <w:color w:val="auto"/>
                    </w:rPr>
                    <w:t>水分的质量分数%                   ≤</w:t>
                  </w:r>
                </w:p>
              </w:tc>
              <w:tc>
                <w:tcPr>
                  <w:tcW w:w="3425" w:type="dxa"/>
                  <w:tcBorders>
                    <w:tl2br w:val="nil"/>
                    <w:tr2bl w:val="nil"/>
                  </w:tcBorders>
                  <w:vAlign w:val="center"/>
                </w:tcPr>
                <w:p w14:paraId="6348F395">
                  <w:pPr>
                    <w:pStyle w:val="27"/>
                    <w:keepNext w:val="0"/>
                    <w:keepLines w:val="0"/>
                    <w:suppressLineNumbers w:val="0"/>
                    <w:spacing w:before="0" w:beforeAutospacing="0" w:after="0" w:afterAutospacing="0"/>
                    <w:ind w:left="0" w:right="0"/>
                    <w:rPr>
                      <w:rFonts w:hint="default"/>
                      <w:color w:val="auto"/>
                    </w:rPr>
                  </w:pPr>
                  <w:r>
                    <w:rPr>
                      <w:rFonts w:hint="default"/>
                      <w:color w:val="auto"/>
                    </w:rPr>
                    <w:t>2.0</w:t>
                  </w:r>
                </w:p>
              </w:tc>
            </w:tr>
            <w:tr w14:paraId="47DAE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14F88DC9">
                  <w:pPr>
                    <w:pStyle w:val="27"/>
                    <w:keepNext w:val="0"/>
                    <w:keepLines w:val="0"/>
                    <w:suppressLineNumbers w:val="0"/>
                    <w:spacing w:before="0" w:beforeAutospacing="0" w:after="0" w:afterAutospacing="0"/>
                    <w:ind w:left="0" w:right="0"/>
                    <w:rPr>
                      <w:rFonts w:hint="default"/>
                      <w:color w:val="auto"/>
                    </w:rPr>
                  </w:pPr>
                  <w:r>
                    <w:rPr>
                      <w:rFonts w:hint="default"/>
                      <w:color w:val="auto"/>
                    </w:rPr>
                    <w:t>灰分的质量分数（以干基计）%         ≤</w:t>
                  </w:r>
                </w:p>
              </w:tc>
              <w:tc>
                <w:tcPr>
                  <w:tcW w:w="3425" w:type="dxa"/>
                  <w:tcBorders>
                    <w:tl2br w:val="nil"/>
                    <w:tr2bl w:val="nil"/>
                  </w:tcBorders>
                  <w:vAlign w:val="center"/>
                </w:tcPr>
                <w:p w14:paraId="0371B7EF">
                  <w:pPr>
                    <w:pStyle w:val="27"/>
                    <w:keepNext w:val="0"/>
                    <w:keepLines w:val="0"/>
                    <w:suppressLineNumbers w:val="0"/>
                    <w:spacing w:before="0" w:beforeAutospacing="0" w:after="0" w:afterAutospacing="0"/>
                    <w:ind w:left="0" w:right="0"/>
                    <w:rPr>
                      <w:rFonts w:hint="default"/>
                      <w:color w:val="auto"/>
                    </w:rPr>
                  </w:pPr>
                  <w:r>
                    <w:rPr>
                      <w:rFonts w:hint="default"/>
                      <w:color w:val="auto"/>
                    </w:rPr>
                    <w:t>0.10</w:t>
                  </w:r>
                </w:p>
              </w:tc>
            </w:tr>
            <w:tr w14:paraId="23C86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4808B97E">
                  <w:pPr>
                    <w:pStyle w:val="27"/>
                    <w:keepNext w:val="0"/>
                    <w:keepLines w:val="0"/>
                    <w:suppressLineNumbers w:val="0"/>
                    <w:spacing w:before="0" w:beforeAutospacing="0" w:after="0" w:afterAutospacing="0"/>
                    <w:ind w:left="0" w:right="0"/>
                    <w:rPr>
                      <w:rFonts w:hint="default"/>
                      <w:color w:val="auto"/>
                    </w:rPr>
                  </w:pPr>
                  <w:r>
                    <w:rPr>
                      <w:rFonts w:hint="default"/>
                      <w:color w:val="auto"/>
                    </w:rPr>
                    <w:t>酸度的质量分数（以H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计）（以干基计）%  ≤</w:t>
                  </w:r>
                </w:p>
              </w:tc>
              <w:tc>
                <w:tcPr>
                  <w:tcW w:w="3425" w:type="dxa"/>
                  <w:tcBorders>
                    <w:tl2br w:val="nil"/>
                    <w:tr2bl w:val="nil"/>
                  </w:tcBorders>
                  <w:vAlign w:val="center"/>
                </w:tcPr>
                <w:p w14:paraId="43658119">
                  <w:pPr>
                    <w:pStyle w:val="27"/>
                    <w:keepNext w:val="0"/>
                    <w:keepLines w:val="0"/>
                    <w:suppressLineNumbers w:val="0"/>
                    <w:spacing w:before="0" w:beforeAutospacing="0" w:after="0" w:afterAutospacing="0"/>
                    <w:ind w:left="0" w:right="0"/>
                    <w:rPr>
                      <w:rFonts w:hint="default"/>
                      <w:color w:val="auto"/>
                    </w:rPr>
                  </w:pPr>
                  <w:r>
                    <w:rPr>
                      <w:rFonts w:hint="default"/>
                      <w:color w:val="auto"/>
                    </w:rPr>
                    <w:t>0.005</w:t>
                  </w:r>
                </w:p>
              </w:tc>
            </w:tr>
            <w:tr w14:paraId="1B4BF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53890823">
                  <w:pPr>
                    <w:pStyle w:val="27"/>
                    <w:keepNext w:val="0"/>
                    <w:keepLines w:val="0"/>
                    <w:suppressLineNumbers w:val="0"/>
                    <w:spacing w:before="0" w:beforeAutospacing="0" w:after="0" w:afterAutospacing="0"/>
                    <w:ind w:left="0" w:right="0"/>
                    <w:rPr>
                      <w:rFonts w:hint="default"/>
                      <w:color w:val="auto"/>
                    </w:rPr>
                  </w:pPr>
                  <w:r>
                    <w:rPr>
                      <w:rFonts w:hint="default"/>
                      <w:color w:val="auto"/>
                    </w:rPr>
                    <w:t>有机物的质量分数（以</w:t>
                  </w:r>
                  <w:r>
                    <w:rPr>
                      <w:rFonts w:hint="eastAsia"/>
                      <w:color w:val="auto"/>
                    </w:rPr>
                    <w:t>C</w:t>
                  </w:r>
                  <w:r>
                    <w:rPr>
                      <w:rFonts w:hint="default"/>
                      <w:color w:val="auto"/>
                    </w:rPr>
                    <w:t>计）（以干基计）%                   ≤</w:t>
                  </w:r>
                </w:p>
              </w:tc>
              <w:tc>
                <w:tcPr>
                  <w:tcW w:w="3425" w:type="dxa"/>
                  <w:tcBorders>
                    <w:tl2br w:val="nil"/>
                    <w:tr2bl w:val="nil"/>
                  </w:tcBorders>
                  <w:vAlign w:val="center"/>
                </w:tcPr>
                <w:p w14:paraId="3DEECF3C">
                  <w:pPr>
                    <w:pStyle w:val="27"/>
                    <w:keepNext w:val="0"/>
                    <w:keepLines w:val="0"/>
                    <w:suppressLineNumbers w:val="0"/>
                    <w:spacing w:before="0" w:beforeAutospacing="0" w:after="0" w:afterAutospacing="0"/>
                    <w:ind w:left="0" w:right="0"/>
                    <w:rPr>
                      <w:rFonts w:hint="default"/>
                      <w:color w:val="auto"/>
                    </w:rPr>
                  </w:pPr>
                  <w:r>
                    <w:rPr>
                      <w:rFonts w:hint="default"/>
                      <w:color w:val="auto"/>
                    </w:rPr>
                    <w:t>0.30</w:t>
                  </w:r>
                </w:p>
              </w:tc>
            </w:tr>
            <w:tr w14:paraId="1CA34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243FA5B3">
                  <w:pPr>
                    <w:pStyle w:val="27"/>
                    <w:keepNext w:val="0"/>
                    <w:keepLines w:val="0"/>
                    <w:suppressLineNumbers w:val="0"/>
                    <w:spacing w:before="0" w:beforeAutospacing="0" w:after="0" w:afterAutospacing="0"/>
                    <w:ind w:left="0" w:right="0"/>
                    <w:rPr>
                      <w:rFonts w:hint="default"/>
                      <w:color w:val="auto"/>
                    </w:rPr>
                  </w:pPr>
                  <w:r>
                    <w:rPr>
                      <w:rFonts w:hint="default"/>
                      <w:color w:val="auto"/>
                    </w:rPr>
                    <w:t>砷（As）的质量分数（以干基计）%     ≤</w:t>
                  </w:r>
                </w:p>
              </w:tc>
              <w:tc>
                <w:tcPr>
                  <w:tcW w:w="3425" w:type="dxa"/>
                  <w:tcBorders>
                    <w:tl2br w:val="nil"/>
                    <w:tr2bl w:val="nil"/>
                  </w:tcBorders>
                  <w:vAlign w:val="center"/>
                </w:tcPr>
                <w:p w14:paraId="1476DB83">
                  <w:pPr>
                    <w:pStyle w:val="27"/>
                    <w:keepNext w:val="0"/>
                    <w:keepLines w:val="0"/>
                    <w:suppressLineNumbers w:val="0"/>
                    <w:spacing w:before="0" w:beforeAutospacing="0" w:after="0" w:afterAutospacing="0"/>
                    <w:ind w:left="0" w:right="0"/>
                    <w:rPr>
                      <w:rFonts w:hint="default"/>
                      <w:color w:val="auto"/>
                    </w:rPr>
                  </w:pPr>
                  <w:r>
                    <w:rPr>
                      <w:rFonts w:hint="default"/>
                      <w:color w:val="auto"/>
                    </w:rPr>
                    <w:t>0.01</w:t>
                  </w:r>
                </w:p>
              </w:tc>
            </w:tr>
            <w:tr w14:paraId="0B34E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3D37CB31">
                  <w:pPr>
                    <w:pStyle w:val="27"/>
                    <w:keepNext w:val="0"/>
                    <w:keepLines w:val="0"/>
                    <w:suppressLineNumbers w:val="0"/>
                    <w:spacing w:before="0" w:beforeAutospacing="0" w:after="0" w:afterAutospacing="0"/>
                    <w:ind w:left="0" w:right="0"/>
                    <w:rPr>
                      <w:rFonts w:hint="default"/>
                      <w:color w:val="auto"/>
                    </w:rPr>
                  </w:pPr>
                  <w:r>
                    <w:rPr>
                      <w:rFonts w:hint="default"/>
                      <w:color w:val="auto"/>
                    </w:rPr>
                    <w:t>铁（Fe）的质量分数（以干基计）％ ≤</w:t>
                  </w:r>
                </w:p>
              </w:tc>
              <w:tc>
                <w:tcPr>
                  <w:tcW w:w="3425" w:type="dxa"/>
                  <w:tcBorders>
                    <w:tl2br w:val="nil"/>
                    <w:tr2bl w:val="nil"/>
                  </w:tcBorders>
                  <w:vAlign w:val="center"/>
                </w:tcPr>
                <w:p w14:paraId="0A621569">
                  <w:pPr>
                    <w:pStyle w:val="27"/>
                    <w:keepNext w:val="0"/>
                    <w:keepLines w:val="0"/>
                    <w:suppressLineNumbers w:val="0"/>
                    <w:spacing w:before="0" w:beforeAutospacing="0" w:after="0" w:afterAutospacing="0"/>
                    <w:ind w:left="0" w:right="0"/>
                    <w:rPr>
                      <w:rFonts w:hint="default"/>
                      <w:color w:val="auto"/>
                    </w:rPr>
                  </w:pPr>
                  <w:r>
                    <w:rPr>
                      <w:rFonts w:hint="default"/>
                      <w:color w:val="auto"/>
                    </w:rPr>
                    <w:t>0.005</w:t>
                  </w:r>
                </w:p>
              </w:tc>
            </w:tr>
            <w:tr w14:paraId="05AB7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Merge w:val="restart"/>
                  <w:tcBorders>
                    <w:tl2br w:val="nil"/>
                    <w:tr2bl w:val="nil"/>
                  </w:tcBorders>
                  <w:vAlign w:val="center"/>
                </w:tcPr>
                <w:p w14:paraId="3593E2E7">
                  <w:pPr>
                    <w:pStyle w:val="27"/>
                    <w:keepNext w:val="0"/>
                    <w:keepLines w:val="0"/>
                    <w:suppressLineNumbers w:val="0"/>
                    <w:spacing w:before="0" w:beforeAutospacing="0" w:after="0" w:afterAutospacing="0"/>
                    <w:ind w:left="0" w:right="0"/>
                    <w:rPr>
                      <w:rFonts w:hint="default"/>
                      <w:color w:val="auto"/>
                    </w:rPr>
                  </w:pPr>
                  <w:r>
                    <w:rPr>
                      <w:rFonts w:hint="default"/>
                      <w:color w:val="auto"/>
                    </w:rPr>
                    <w:t>筛余物</w:t>
                  </w:r>
                  <w:r>
                    <w:rPr>
                      <w:rFonts w:hint="default"/>
                      <w:color w:val="auto"/>
                      <w:vertAlign w:val="superscript"/>
                    </w:rPr>
                    <w:t>a</w:t>
                  </w:r>
                  <w:r>
                    <w:rPr>
                      <w:rFonts w:hint="default"/>
                      <w:color w:val="auto"/>
                    </w:rPr>
                    <w:t>的质量分数%</w:t>
                  </w:r>
                </w:p>
              </w:tc>
              <w:tc>
                <w:tcPr>
                  <w:tcW w:w="2180" w:type="dxa"/>
                  <w:tcBorders>
                    <w:tl2br w:val="nil"/>
                    <w:tr2bl w:val="nil"/>
                  </w:tcBorders>
                  <w:vAlign w:val="center"/>
                </w:tcPr>
                <w:p w14:paraId="21C13313">
                  <w:pPr>
                    <w:pStyle w:val="27"/>
                    <w:keepNext w:val="0"/>
                    <w:keepLines w:val="0"/>
                    <w:suppressLineNumbers w:val="0"/>
                    <w:spacing w:before="0" w:beforeAutospacing="0" w:after="0" w:afterAutospacing="0"/>
                    <w:ind w:left="0" w:right="0"/>
                    <w:rPr>
                      <w:rFonts w:hint="default"/>
                      <w:color w:val="auto"/>
                    </w:rPr>
                  </w:pPr>
                  <w:r>
                    <w:rPr>
                      <w:rFonts w:hint="default"/>
                      <w:color w:val="auto"/>
                    </w:rPr>
                    <w:t>粒径大于150μm ≤</w:t>
                  </w:r>
                </w:p>
              </w:tc>
              <w:tc>
                <w:tcPr>
                  <w:tcW w:w="3425" w:type="dxa"/>
                  <w:tcBorders>
                    <w:tl2br w:val="nil"/>
                    <w:tr2bl w:val="nil"/>
                  </w:tcBorders>
                  <w:vAlign w:val="center"/>
                </w:tcPr>
                <w:p w14:paraId="7D977445">
                  <w:pPr>
                    <w:pStyle w:val="27"/>
                    <w:keepNext w:val="0"/>
                    <w:keepLines w:val="0"/>
                    <w:suppressLineNumbers w:val="0"/>
                    <w:spacing w:before="0" w:beforeAutospacing="0" w:after="0" w:afterAutospacing="0"/>
                    <w:ind w:left="0" w:right="0"/>
                    <w:rPr>
                      <w:rFonts w:hint="default"/>
                      <w:color w:val="auto"/>
                    </w:rPr>
                  </w:pPr>
                  <w:r>
                    <w:rPr>
                      <w:rFonts w:hint="default"/>
                      <w:color w:val="auto"/>
                    </w:rPr>
                    <w:t>0</w:t>
                  </w:r>
                </w:p>
              </w:tc>
            </w:tr>
            <w:tr w14:paraId="6434B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Merge w:val="continue"/>
                  <w:tcBorders>
                    <w:tl2br w:val="nil"/>
                    <w:tr2bl w:val="nil"/>
                  </w:tcBorders>
                  <w:vAlign w:val="center"/>
                </w:tcPr>
                <w:p w14:paraId="3C2CC04A">
                  <w:pPr>
                    <w:pStyle w:val="27"/>
                    <w:keepNext w:val="0"/>
                    <w:keepLines w:val="0"/>
                    <w:suppressLineNumbers w:val="0"/>
                    <w:spacing w:before="0" w:beforeAutospacing="0" w:after="0" w:afterAutospacing="0"/>
                    <w:ind w:left="0" w:right="0"/>
                    <w:rPr>
                      <w:rFonts w:hint="default"/>
                      <w:color w:val="auto"/>
                    </w:rPr>
                  </w:pPr>
                </w:p>
              </w:tc>
              <w:tc>
                <w:tcPr>
                  <w:tcW w:w="2180" w:type="dxa"/>
                  <w:tcBorders>
                    <w:tl2br w:val="nil"/>
                    <w:tr2bl w:val="nil"/>
                  </w:tcBorders>
                  <w:vAlign w:val="center"/>
                </w:tcPr>
                <w:p w14:paraId="6E278967">
                  <w:pPr>
                    <w:pStyle w:val="27"/>
                    <w:keepNext w:val="0"/>
                    <w:keepLines w:val="0"/>
                    <w:suppressLineNumbers w:val="0"/>
                    <w:spacing w:before="0" w:beforeAutospacing="0" w:after="0" w:afterAutospacing="0"/>
                    <w:ind w:left="0" w:right="0"/>
                    <w:rPr>
                      <w:rFonts w:hint="default"/>
                      <w:color w:val="auto"/>
                    </w:rPr>
                  </w:pPr>
                  <w:r>
                    <w:rPr>
                      <w:rFonts w:hint="default"/>
                      <w:color w:val="auto"/>
                    </w:rPr>
                    <w:t>粒径为75μm ~150μm ≤</w:t>
                  </w:r>
                </w:p>
              </w:tc>
              <w:tc>
                <w:tcPr>
                  <w:tcW w:w="3425" w:type="dxa"/>
                  <w:tcBorders>
                    <w:tl2br w:val="nil"/>
                    <w:tr2bl w:val="nil"/>
                  </w:tcBorders>
                  <w:vAlign w:val="center"/>
                </w:tcPr>
                <w:p w14:paraId="2B4206D4">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r>
            <w:tr w14:paraId="60A3E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3"/>
                  <w:tcBorders>
                    <w:tl2br w:val="nil"/>
                    <w:tr2bl w:val="nil"/>
                  </w:tcBorders>
                  <w:vAlign w:val="center"/>
                </w:tcPr>
                <w:p w14:paraId="2B05F065">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a 筛余物指标仅用于粉状硫磺</w:t>
                  </w:r>
                </w:p>
              </w:tc>
            </w:tr>
          </w:tbl>
          <w:p w14:paraId="18D6442D">
            <w:pPr>
              <w:pStyle w:val="34"/>
              <w:keepNext w:val="0"/>
              <w:keepLines w:val="0"/>
              <w:numPr>
                <w:ilvl w:val="0"/>
                <w:numId w:val="0"/>
              </w:numPr>
              <w:suppressLineNumbers w:val="0"/>
              <w:spacing w:before="0" w:beforeAutospacing="0" w:after="0" w:afterAutospacing="0"/>
              <w:ind w:left="0" w:right="0"/>
              <w:jc w:val="both"/>
              <w:rPr>
                <w:rFonts w:hint="default"/>
                <w:color w:val="auto"/>
              </w:rPr>
            </w:pPr>
          </w:p>
          <w:p w14:paraId="670D4B84">
            <w:pPr>
              <w:pStyle w:val="34"/>
              <w:keepNext w:val="0"/>
              <w:keepLines w:val="0"/>
              <w:suppressLineNumbers w:val="0"/>
              <w:spacing w:before="0" w:beforeAutospacing="0" w:after="0" w:afterAutospacing="0"/>
              <w:ind w:left="0" w:right="0"/>
              <w:rPr>
                <w:rFonts w:hint="default"/>
                <w:color w:val="auto"/>
              </w:rPr>
            </w:pPr>
            <w:r>
              <w:rPr>
                <w:rFonts w:hint="default"/>
                <w:color w:val="auto"/>
              </w:rPr>
              <w:t>《橡胶用硫磺粉》（HG/T4558-2013）中合格品的技术指标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3425"/>
            </w:tblGrid>
            <w:tr w14:paraId="7B95D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60" w:type="dxa"/>
                  <w:gridSpan w:val="2"/>
                  <w:tcBorders>
                    <w:tl2br w:val="nil"/>
                    <w:tr2bl w:val="nil"/>
                  </w:tcBorders>
                  <w:vAlign w:val="center"/>
                </w:tcPr>
                <w:p w14:paraId="35C43981">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425" w:type="dxa"/>
                  <w:tcBorders>
                    <w:tl2br w:val="nil"/>
                    <w:tr2bl w:val="nil"/>
                  </w:tcBorders>
                  <w:vAlign w:val="center"/>
                </w:tcPr>
                <w:p w14:paraId="10F834B9">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0A177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50A3033A">
                  <w:pPr>
                    <w:pStyle w:val="27"/>
                    <w:keepNext w:val="0"/>
                    <w:keepLines w:val="0"/>
                    <w:suppressLineNumbers w:val="0"/>
                    <w:spacing w:before="0" w:beforeAutospacing="0" w:after="0" w:afterAutospacing="0"/>
                    <w:ind w:left="0" w:right="0"/>
                    <w:rPr>
                      <w:rFonts w:hint="default"/>
                      <w:color w:val="auto"/>
                    </w:rPr>
                  </w:pPr>
                  <w:r>
                    <w:rPr>
                      <w:rFonts w:hint="default"/>
                      <w:color w:val="auto"/>
                    </w:rPr>
                    <w:t>外观</w:t>
                  </w:r>
                </w:p>
              </w:tc>
              <w:tc>
                <w:tcPr>
                  <w:tcW w:w="3425" w:type="dxa"/>
                  <w:tcBorders>
                    <w:tl2br w:val="nil"/>
                    <w:tr2bl w:val="nil"/>
                  </w:tcBorders>
                  <w:vAlign w:val="center"/>
                </w:tcPr>
                <w:p w14:paraId="6796B8E6">
                  <w:pPr>
                    <w:pStyle w:val="27"/>
                    <w:keepNext w:val="0"/>
                    <w:keepLines w:val="0"/>
                    <w:suppressLineNumbers w:val="0"/>
                    <w:spacing w:before="0" w:beforeAutospacing="0" w:after="0" w:afterAutospacing="0"/>
                    <w:ind w:left="0" w:right="0"/>
                    <w:rPr>
                      <w:rFonts w:hint="default"/>
                      <w:color w:val="auto"/>
                    </w:rPr>
                  </w:pPr>
                  <w:r>
                    <w:rPr>
                      <w:rFonts w:hint="default"/>
                      <w:color w:val="auto"/>
                    </w:rPr>
                    <w:t>黄色或淡黄色，应无肉眼可见杂质</w:t>
                  </w:r>
                </w:p>
              </w:tc>
            </w:tr>
            <w:tr w14:paraId="09EA4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01CFEA89">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w:t>
                  </w:r>
                  <w:r>
                    <w:rPr>
                      <w:rFonts w:hint="eastAsia"/>
                      <w:color w:val="auto"/>
                    </w:rPr>
                    <w:t>S</w:t>
                  </w:r>
                  <w:r>
                    <w:rPr>
                      <w:rFonts w:hint="default"/>
                      <w:color w:val="auto"/>
                    </w:rPr>
                    <w:t>）（以干基计），w/%    ≥</w:t>
                  </w:r>
                </w:p>
              </w:tc>
              <w:tc>
                <w:tcPr>
                  <w:tcW w:w="3425" w:type="dxa"/>
                  <w:tcBorders>
                    <w:tl2br w:val="nil"/>
                    <w:tr2bl w:val="nil"/>
                  </w:tcBorders>
                  <w:vAlign w:val="center"/>
                </w:tcPr>
                <w:p w14:paraId="1ADA9E1D">
                  <w:pPr>
                    <w:pStyle w:val="27"/>
                    <w:keepNext w:val="0"/>
                    <w:keepLines w:val="0"/>
                    <w:suppressLineNumbers w:val="0"/>
                    <w:spacing w:before="0" w:beforeAutospacing="0" w:after="0" w:afterAutospacing="0"/>
                    <w:ind w:left="0" w:right="0"/>
                    <w:rPr>
                      <w:rFonts w:hint="default"/>
                      <w:color w:val="auto"/>
                    </w:rPr>
                  </w:pPr>
                  <w:r>
                    <w:rPr>
                      <w:rFonts w:hint="default"/>
                      <w:color w:val="auto"/>
                    </w:rPr>
                    <w:t>99.5</w:t>
                  </w:r>
                </w:p>
              </w:tc>
            </w:tr>
            <w:tr w14:paraId="18454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652BD4FE">
                  <w:pPr>
                    <w:pStyle w:val="27"/>
                    <w:keepNext w:val="0"/>
                    <w:keepLines w:val="0"/>
                    <w:suppressLineNumbers w:val="0"/>
                    <w:spacing w:before="0" w:beforeAutospacing="0" w:after="0" w:afterAutospacing="0"/>
                    <w:ind w:left="0" w:right="0"/>
                    <w:rPr>
                      <w:rFonts w:hint="default"/>
                      <w:color w:val="auto"/>
                    </w:rPr>
                  </w:pPr>
                  <w:r>
                    <w:rPr>
                      <w:rFonts w:hint="default"/>
                      <w:color w:val="auto"/>
                    </w:rPr>
                    <w:t>水分，w/%                    ≤</w:t>
                  </w:r>
                </w:p>
              </w:tc>
              <w:tc>
                <w:tcPr>
                  <w:tcW w:w="3425" w:type="dxa"/>
                  <w:tcBorders>
                    <w:tl2br w:val="nil"/>
                    <w:tr2bl w:val="nil"/>
                  </w:tcBorders>
                  <w:vAlign w:val="center"/>
                </w:tcPr>
                <w:p w14:paraId="4A10AB11">
                  <w:pPr>
                    <w:pStyle w:val="27"/>
                    <w:keepNext w:val="0"/>
                    <w:keepLines w:val="0"/>
                    <w:suppressLineNumbers w:val="0"/>
                    <w:spacing w:before="0" w:beforeAutospacing="0" w:after="0" w:afterAutospacing="0"/>
                    <w:ind w:left="0" w:right="0"/>
                    <w:rPr>
                      <w:rFonts w:hint="default"/>
                      <w:color w:val="auto"/>
                    </w:rPr>
                  </w:pPr>
                  <w:r>
                    <w:rPr>
                      <w:rFonts w:hint="default"/>
                      <w:color w:val="auto"/>
                    </w:rPr>
                    <w:t>0.5</w:t>
                  </w:r>
                </w:p>
              </w:tc>
            </w:tr>
            <w:tr w14:paraId="49E8B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4585B2EB">
                  <w:pPr>
                    <w:pStyle w:val="27"/>
                    <w:keepNext w:val="0"/>
                    <w:keepLines w:val="0"/>
                    <w:suppressLineNumbers w:val="0"/>
                    <w:spacing w:before="0" w:beforeAutospacing="0" w:after="0" w:afterAutospacing="0"/>
                    <w:ind w:left="0" w:right="0"/>
                    <w:rPr>
                      <w:rFonts w:hint="default"/>
                      <w:color w:val="auto"/>
                    </w:rPr>
                  </w:pPr>
                  <w:r>
                    <w:rPr>
                      <w:rFonts w:hint="default"/>
                      <w:color w:val="auto"/>
                    </w:rPr>
                    <w:t>灰分（以干基计），w/%          ≤</w:t>
                  </w:r>
                </w:p>
              </w:tc>
              <w:tc>
                <w:tcPr>
                  <w:tcW w:w="3425" w:type="dxa"/>
                  <w:tcBorders>
                    <w:tl2br w:val="nil"/>
                    <w:tr2bl w:val="nil"/>
                  </w:tcBorders>
                  <w:vAlign w:val="center"/>
                </w:tcPr>
                <w:p w14:paraId="7563CB2C">
                  <w:pPr>
                    <w:pStyle w:val="27"/>
                    <w:keepNext w:val="0"/>
                    <w:keepLines w:val="0"/>
                    <w:suppressLineNumbers w:val="0"/>
                    <w:spacing w:before="0" w:beforeAutospacing="0" w:after="0" w:afterAutospacing="0"/>
                    <w:ind w:left="0" w:right="0"/>
                    <w:rPr>
                      <w:rFonts w:hint="default"/>
                      <w:color w:val="auto"/>
                    </w:rPr>
                  </w:pPr>
                  <w:r>
                    <w:rPr>
                      <w:rFonts w:hint="default"/>
                      <w:color w:val="auto"/>
                    </w:rPr>
                    <w:t>0.15</w:t>
                  </w:r>
                </w:p>
              </w:tc>
            </w:tr>
            <w:tr w14:paraId="6340A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3CD102AE">
                  <w:pPr>
                    <w:pStyle w:val="27"/>
                    <w:keepNext w:val="0"/>
                    <w:keepLines w:val="0"/>
                    <w:suppressLineNumbers w:val="0"/>
                    <w:spacing w:before="0" w:beforeAutospacing="0" w:after="0" w:afterAutospacing="0"/>
                    <w:ind w:left="0" w:right="0"/>
                    <w:rPr>
                      <w:rFonts w:hint="default"/>
                      <w:color w:val="auto"/>
                    </w:rPr>
                  </w:pPr>
                  <w:r>
                    <w:rPr>
                      <w:rFonts w:hint="default"/>
                      <w:color w:val="auto"/>
                    </w:rPr>
                    <w:t>酸度（以干基中的H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计），w/%   ≤</w:t>
                  </w:r>
                </w:p>
              </w:tc>
              <w:tc>
                <w:tcPr>
                  <w:tcW w:w="3425" w:type="dxa"/>
                  <w:tcBorders>
                    <w:tl2br w:val="nil"/>
                    <w:tr2bl w:val="nil"/>
                  </w:tcBorders>
                  <w:vAlign w:val="center"/>
                </w:tcPr>
                <w:p w14:paraId="3BB8C54F">
                  <w:pPr>
                    <w:pStyle w:val="27"/>
                    <w:keepNext w:val="0"/>
                    <w:keepLines w:val="0"/>
                    <w:suppressLineNumbers w:val="0"/>
                    <w:spacing w:before="0" w:beforeAutospacing="0" w:after="0" w:afterAutospacing="0"/>
                    <w:ind w:left="0" w:right="0"/>
                    <w:rPr>
                      <w:rFonts w:hint="default"/>
                      <w:color w:val="auto"/>
                    </w:rPr>
                  </w:pPr>
                  <w:r>
                    <w:rPr>
                      <w:rFonts w:hint="default"/>
                      <w:color w:val="auto"/>
                    </w:rPr>
                    <w:t>0.01</w:t>
                  </w:r>
                </w:p>
              </w:tc>
            </w:tr>
            <w:tr w14:paraId="31A72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gridSpan w:val="2"/>
                  <w:tcBorders>
                    <w:tl2br w:val="nil"/>
                    <w:tr2bl w:val="nil"/>
                  </w:tcBorders>
                  <w:vAlign w:val="center"/>
                </w:tcPr>
                <w:p w14:paraId="0732DF4E">
                  <w:pPr>
                    <w:pStyle w:val="27"/>
                    <w:keepNext w:val="0"/>
                    <w:keepLines w:val="0"/>
                    <w:suppressLineNumbers w:val="0"/>
                    <w:spacing w:before="0" w:beforeAutospacing="0" w:after="0" w:afterAutospacing="0"/>
                    <w:ind w:left="0" w:right="0"/>
                    <w:rPr>
                      <w:rFonts w:hint="default"/>
                      <w:color w:val="auto"/>
                    </w:rPr>
                  </w:pPr>
                  <w:r>
                    <w:rPr>
                      <w:rFonts w:hint="default"/>
                      <w:color w:val="auto"/>
                    </w:rPr>
                    <w:t>砷（As）（以干基计），w/%     ≤</w:t>
                  </w:r>
                </w:p>
              </w:tc>
              <w:tc>
                <w:tcPr>
                  <w:tcW w:w="3425" w:type="dxa"/>
                  <w:tcBorders>
                    <w:tl2br w:val="nil"/>
                    <w:tr2bl w:val="nil"/>
                  </w:tcBorders>
                  <w:vAlign w:val="center"/>
                </w:tcPr>
                <w:p w14:paraId="69543CA5">
                  <w:pPr>
                    <w:pStyle w:val="27"/>
                    <w:keepNext w:val="0"/>
                    <w:keepLines w:val="0"/>
                    <w:suppressLineNumbers w:val="0"/>
                    <w:spacing w:before="0" w:beforeAutospacing="0" w:after="0" w:afterAutospacing="0"/>
                    <w:ind w:left="0" w:right="0"/>
                    <w:rPr>
                      <w:rFonts w:hint="default"/>
                      <w:color w:val="auto"/>
                    </w:rPr>
                  </w:pPr>
                  <w:r>
                    <w:rPr>
                      <w:rFonts w:hint="default"/>
                      <w:color w:val="auto"/>
                    </w:rPr>
                    <w:t>0.0005</w:t>
                  </w:r>
                </w:p>
              </w:tc>
            </w:tr>
            <w:tr w14:paraId="612BB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Merge w:val="restart"/>
                  <w:tcBorders>
                    <w:tl2br w:val="nil"/>
                    <w:tr2bl w:val="nil"/>
                  </w:tcBorders>
                  <w:vAlign w:val="center"/>
                </w:tcPr>
                <w:p w14:paraId="2693AAD0">
                  <w:pPr>
                    <w:pStyle w:val="27"/>
                    <w:keepNext w:val="0"/>
                    <w:keepLines w:val="0"/>
                    <w:suppressLineNumbers w:val="0"/>
                    <w:spacing w:before="0" w:beforeAutospacing="0" w:after="0" w:afterAutospacing="0"/>
                    <w:ind w:left="0" w:right="0"/>
                    <w:rPr>
                      <w:rFonts w:hint="default"/>
                      <w:color w:val="auto"/>
                    </w:rPr>
                  </w:pPr>
                  <w:r>
                    <w:rPr>
                      <w:rFonts w:hint="default"/>
                      <w:color w:val="auto"/>
                    </w:rPr>
                    <w:t>筛余物，w/%</w:t>
                  </w:r>
                </w:p>
              </w:tc>
              <w:tc>
                <w:tcPr>
                  <w:tcW w:w="2180" w:type="dxa"/>
                  <w:tcBorders>
                    <w:tl2br w:val="nil"/>
                    <w:tr2bl w:val="nil"/>
                  </w:tcBorders>
                  <w:vAlign w:val="center"/>
                </w:tcPr>
                <w:p w14:paraId="40F87A95">
                  <w:pPr>
                    <w:pStyle w:val="27"/>
                    <w:keepNext w:val="0"/>
                    <w:keepLines w:val="0"/>
                    <w:suppressLineNumbers w:val="0"/>
                    <w:spacing w:before="0" w:beforeAutospacing="0" w:after="0" w:afterAutospacing="0"/>
                    <w:ind w:left="0" w:right="0"/>
                    <w:rPr>
                      <w:rFonts w:hint="default"/>
                      <w:color w:val="auto"/>
                    </w:rPr>
                  </w:pPr>
                  <w:r>
                    <w:rPr>
                      <w:rFonts w:hint="default"/>
                      <w:color w:val="auto"/>
                    </w:rPr>
                    <w:t xml:space="preserve">粒径大于150μm </w:t>
                  </w:r>
                </w:p>
              </w:tc>
              <w:tc>
                <w:tcPr>
                  <w:tcW w:w="3425" w:type="dxa"/>
                  <w:tcBorders>
                    <w:tl2br w:val="nil"/>
                    <w:tr2bl w:val="nil"/>
                  </w:tcBorders>
                  <w:vAlign w:val="center"/>
                </w:tcPr>
                <w:p w14:paraId="5FD30D80">
                  <w:pPr>
                    <w:pStyle w:val="27"/>
                    <w:keepNext w:val="0"/>
                    <w:keepLines w:val="0"/>
                    <w:suppressLineNumbers w:val="0"/>
                    <w:spacing w:before="0" w:beforeAutospacing="0" w:after="0" w:afterAutospacing="0"/>
                    <w:ind w:left="0" w:right="0" w:firstLine="480"/>
                    <w:rPr>
                      <w:rFonts w:hint="default"/>
                      <w:color w:val="auto"/>
                    </w:rPr>
                  </w:pPr>
                  <w:r>
                    <w:rPr>
                      <w:rFonts w:hint="default"/>
                      <w:color w:val="auto"/>
                    </w:rPr>
                    <w:t>0</w:t>
                  </w:r>
                </w:p>
              </w:tc>
            </w:tr>
            <w:tr w14:paraId="35B1A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Merge w:val="continue"/>
                  <w:tcBorders>
                    <w:tl2br w:val="nil"/>
                    <w:tr2bl w:val="nil"/>
                  </w:tcBorders>
                  <w:vAlign w:val="center"/>
                </w:tcPr>
                <w:p w14:paraId="6A48B767">
                  <w:pPr>
                    <w:pStyle w:val="27"/>
                    <w:keepNext w:val="0"/>
                    <w:keepLines w:val="0"/>
                    <w:suppressLineNumbers w:val="0"/>
                    <w:spacing w:before="0" w:beforeAutospacing="0" w:after="0" w:afterAutospacing="0"/>
                    <w:ind w:left="0" w:right="0"/>
                    <w:rPr>
                      <w:rFonts w:hint="default"/>
                      <w:color w:val="auto"/>
                    </w:rPr>
                  </w:pPr>
                </w:p>
              </w:tc>
              <w:tc>
                <w:tcPr>
                  <w:tcW w:w="2180" w:type="dxa"/>
                  <w:tcBorders>
                    <w:tl2br w:val="nil"/>
                    <w:tr2bl w:val="nil"/>
                  </w:tcBorders>
                  <w:vAlign w:val="center"/>
                </w:tcPr>
                <w:p w14:paraId="4F844F78">
                  <w:pPr>
                    <w:pStyle w:val="27"/>
                    <w:keepNext w:val="0"/>
                    <w:keepLines w:val="0"/>
                    <w:suppressLineNumbers w:val="0"/>
                    <w:spacing w:before="0" w:beforeAutospacing="0" w:after="0" w:afterAutospacing="0"/>
                    <w:ind w:left="0" w:right="0"/>
                    <w:rPr>
                      <w:rFonts w:hint="default"/>
                      <w:color w:val="auto"/>
                    </w:rPr>
                  </w:pPr>
                  <w:r>
                    <w:rPr>
                      <w:rFonts w:hint="default"/>
                      <w:color w:val="auto"/>
                    </w:rPr>
                    <w:t>粒径为75μm ~150μm ≤</w:t>
                  </w:r>
                </w:p>
              </w:tc>
              <w:tc>
                <w:tcPr>
                  <w:tcW w:w="3425" w:type="dxa"/>
                  <w:tcBorders>
                    <w:tl2br w:val="nil"/>
                    <w:tr2bl w:val="nil"/>
                  </w:tcBorders>
                  <w:vAlign w:val="center"/>
                </w:tcPr>
                <w:p w14:paraId="2C39D71C">
                  <w:pPr>
                    <w:pStyle w:val="27"/>
                    <w:keepNext w:val="0"/>
                    <w:keepLines w:val="0"/>
                    <w:suppressLineNumbers w:val="0"/>
                    <w:spacing w:before="0" w:beforeAutospacing="0" w:after="0" w:afterAutospacing="0"/>
                    <w:ind w:left="0" w:right="0" w:firstLine="480"/>
                    <w:rPr>
                      <w:rFonts w:hint="default"/>
                      <w:color w:val="auto"/>
                    </w:rPr>
                  </w:pPr>
                  <w:r>
                    <w:rPr>
                      <w:rFonts w:hint="default"/>
                      <w:color w:val="auto"/>
                    </w:rPr>
                    <w:t>1.0</w:t>
                  </w:r>
                </w:p>
              </w:tc>
            </w:tr>
          </w:tbl>
          <w:p w14:paraId="25A71836">
            <w:pPr>
              <w:pStyle w:val="34"/>
              <w:keepNext w:val="0"/>
              <w:keepLines w:val="0"/>
              <w:numPr>
                <w:ilvl w:val="0"/>
                <w:numId w:val="0"/>
              </w:numPr>
              <w:suppressLineNumbers w:val="0"/>
              <w:spacing w:before="0" w:beforeAutospacing="0" w:after="0" w:afterAutospacing="0"/>
              <w:ind w:left="0" w:right="0"/>
              <w:jc w:val="both"/>
              <w:rPr>
                <w:rFonts w:hint="default"/>
                <w:color w:val="auto"/>
              </w:rPr>
            </w:pPr>
          </w:p>
          <w:p w14:paraId="50825247">
            <w:pPr>
              <w:pStyle w:val="34"/>
              <w:keepNext w:val="0"/>
              <w:keepLines w:val="0"/>
              <w:suppressLineNumbers w:val="0"/>
              <w:spacing w:before="0" w:beforeAutospacing="0" w:after="0" w:afterAutospacing="0"/>
              <w:ind w:left="0" w:right="0"/>
              <w:rPr>
                <w:rFonts w:hint="default"/>
                <w:color w:val="auto"/>
              </w:rPr>
            </w:pPr>
            <w:r>
              <w:rPr>
                <w:rFonts w:hint="default"/>
                <w:color w:val="auto"/>
              </w:rPr>
              <w:t>《农药用硫磺粉》（HG/T5569-2019）中的技术指标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8"/>
              <w:gridCol w:w="3567"/>
            </w:tblGrid>
            <w:tr w14:paraId="6815A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18" w:type="dxa"/>
                  <w:tcBorders>
                    <w:tl2br w:val="nil"/>
                    <w:tr2bl w:val="nil"/>
                  </w:tcBorders>
                  <w:vAlign w:val="center"/>
                </w:tcPr>
                <w:p w14:paraId="50E856D9">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567" w:type="dxa"/>
                  <w:tcBorders>
                    <w:tl2br w:val="nil"/>
                    <w:tr2bl w:val="nil"/>
                  </w:tcBorders>
                  <w:vAlign w:val="center"/>
                </w:tcPr>
                <w:p w14:paraId="1C2FD8FC">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74EDE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2279DDE2">
                  <w:pPr>
                    <w:pStyle w:val="27"/>
                    <w:keepNext w:val="0"/>
                    <w:keepLines w:val="0"/>
                    <w:suppressLineNumbers w:val="0"/>
                    <w:spacing w:before="0" w:beforeAutospacing="0" w:after="0" w:afterAutospacing="0"/>
                    <w:ind w:left="0" w:right="0"/>
                    <w:rPr>
                      <w:rFonts w:hint="default"/>
                      <w:color w:val="auto"/>
                    </w:rPr>
                  </w:pPr>
                  <w:r>
                    <w:rPr>
                      <w:rFonts w:hint="default"/>
                      <w:color w:val="auto"/>
                    </w:rPr>
                    <w:t>外观</w:t>
                  </w:r>
                </w:p>
              </w:tc>
              <w:tc>
                <w:tcPr>
                  <w:tcW w:w="3567" w:type="dxa"/>
                  <w:tcBorders>
                    <w:tl2br w:val="nil"/>
                    <w:tr2bl w:val="nil"/>
                  </w:tcBorders>
                  <w:vAlign w:val="center"/>
                </w:tcPr>
                <w:p w14:paraId="1CEAD816">
                  <w:pPr>
                    <w:pStyle w:val="27"/>
                    <w:keepNext w:val="0"/>
                    <w:keepLines w:val="0"/>
                    <w:suppressLineNumbers w:val="0"/>
                    <w:spacing w:before="0" w:beforeAutospacing="0" w:after="0" w:afterAutospacing="0"/>
                    <w:ind w:left="0" w:right="0"/>
                    <w:rPr>
                      <w:rFonts w:hint="default"/>
                      <w:color w:val="auto"/>
                    </w:rPr>
                  </w:pPr>
                  <w:r>
                    <w:rPr>
                      <w:rFonts w:hint="default"/>
                      <w:color w:val="auto"/>
                    </w:rPr>
                    <w:t>黄色或淡黄色粉末，无肉眼可见杂质</w:t>
                  </w:r>
                </w:p>
              </w:tc>
            </w:tr>
            <w:tr w14:paraId="00948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131550FC">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硫（S），w/%            ≥</w:t>
                  </w:r>
                </w:p>
              </w:tc>
              <w:tc>
                <w:tcPr>
                  <w:tcW w:w="3567" w:type="dxa"/>
                  <w:tcBorders>
                    <w:tl2br w:val="nil"/>
                    <w:tr2bl w:val="nil"/>
                  </w:tcBorders>
                  <w:vAlign w:val="center"/>
                </w:tcPr>
                <w:p w14:paraId="6F32FF1F">
                  <w:pPr>
                    <w:pStyle w:val="27"/>
                    <w:keepNext w:val="0"/>
                    <w:keepLines w:val="0"/>
                    <w:suppressLineNumbers w:val="0"/>
                    <w:spacing w:before="0" w:beforeAutospacing="0" w:after="0" w:afterAutospacing="0"/>
                    <w:ind w:left="0" w:right="0"/>
                    <w:rPr>
                      <w:rFonts w:hint="default"/>
                      <w:color w:val="auto"/>
                    </w:rPr>
                  </w:pPr>
                  <w:r>
                    <w:rPr>
                      <w:rFonts w:hint="default"/>
                      <w:color w:val="auto"/>
                    </w:rPr>
                    <w:t>99.0</w:t>
                  </w:r>
                </w:p>
              </w:tc>
            </w:tr>
            <w:tr w14:paraId="6D66C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306817BE">
                  <w:pPr>
                    <w:pStyle w:val="27"/>
                    <w:keepNext w:val="0"/>
                    <w:keepLines w:val="0"/>
                    <w:suppressLineNumbers w:val="0"/>
                    <w:spacing w:before="0" w:beforeAutospacing="0" w:after="0" w:afterAutospacing="0"/>
                    <w:ind w:left="0" w:right="0"/>
                    <w:rPr>
                      <w:rFonts w:hint="default"/>
                      <w:color w:val="auto"/>
                    </w:rPr>
                  </w:pPr>
                  <w:r>
                    <w:rPr>
                      <w:rFonts w:hint="default"/>
                      <w:color w:val="auto"/>
                    </w:rPr>
                    <w:t>水分，w/%                   ≤</w:t>
                  </w:r>
                </w:p>
              </w:tc>
              <w:tc>
                <w:tcPr>
                  <w:tcW w:w="3567" w:type="dxa"/>
                  <w:tcBorders>
                    <w:tl2br w:val="nil"/>
                    <w:tr2bl w:val="nil"/>
                  </w:tcBorders>
                  <w:vAlign w:val="center"/>
                </w:tcPr>
                <w:p w14:paraId="4315521C">
                  <w:pPr>
                    <w:pStyle w:val="27"/>
                    <w:keepNext w:val="0"/>
                    <w:keepLines w:val="0"/>
                    <w:suppressLineNumbers w:val="0"/>
                    <w:spacing w:before="0" w:beforeAutospacing="0" w:after="0" w:afterAutospacing="0"/>
                    <w:ind w:left="0" w:right="0"/>
                    <w:rPr>
                      <w:rFonts w:hint="default"/>
                      <w:color w:val="auto"/>
                    </w:rPr>
                  </w:pPr>
                  <w:r>
                    <w:rPr>
                      <w:rFonts w:hint="default"/>
                      <w:color w:val="auto"/>
                    </w:rPr>
                    <w:t>2.0</w:t>
                  </w:r>
                </w:p>
              </w:tc>
            </w:tr>
            <w:tr w14:paraId="1EA61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65EE348C">
                  <w:pPr>
                    <w:pStyle w:val="27"/>
                    <w:keepNext w:val="0"/>
                    <w:keepLines w:val="0"/>
                    <w:suppressLineNumbers w:val="0"/>
                    <w:spacing w:before="0" w:beforeAutospacing="0" w:after="0" w:afterAutospacing="0"/>
                    <w:ind w:left="0" w:right="0"/>
                    <w:rPr>
                      <w:rFonts w:hint="default"/>
                      <w:color w:val="auto"/>
                    </w:rPr>
                  </w:pPr>
                  <w:r>
                    <w:rPr>
                      <w:rFonts w:hint="default"/>
                      <w:color w:val="auto"/>
                    </w:rPr>
                    <w:t>酸度（以H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计），w/%           ≤</w:t>
                  </w:r>
                </w:p>
              </w:tc>
              <w:tc>
                <w:tcPr>
                  <w:tcW w:w="3567" w:type="dxa"/>
                  <w:tcBorders>
                    <w:tl2br w:val="nil"/>
                    <w:tr2bl w:val="nil"/>
                  </w:tcBorders>
                  <w:vAlign w:val="center"/>
                </w:tcPr>
                <w:p w14:paraId="437B3F92">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14:paraId="663B6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33D115FD">
                  <w:pPr>
                    <w:pStyle w:val="27"/>
                    <w:keepNext w:val="0"/>
                    <w:keepLines w:val="0"/>
                    <w:suppressLineNumbers w:val="0"/>
                    <w:spacing w:before="0" w:beforeAutospacing="0" w:after="0" w:afterAutospacing="0"/>
                    <w:ind w:left="0" w:right="0"/>
                    <w:rPr>
                      <w:rFonts w:hint="default"/>
                      <w:color w:val="auto"/>
                    </w:rPr>
                  </w:pPr>
                  <w:r>
                    <w:rPr>
                      <w:rFonts w:hint="default"/>
                      <w:color w:val="auto"/>
                    </w:rPr>
                    <w:t>砷</w:t>
                  </w:r>
                  <w:r>
                    <w:rPr>
                      <w:rFonts w:hint="eastAsia"/>
                      <w:color w:val="auto"/>
                    </w:rPr>
                    <w:t>（</w:t>
                  </w:r>
                  <w:r>
                    <w:rPr>
                      <w:rFonts w:hint="default"/>
                      <w:color w:val="auto"/>
                    </w:rPr>
                    <w:t>As</w:t>
                  </w:r>
                  <w:r>
                    <w:rPr>
                      <w:rFonts w:hint="eastAsia"/>
                      <w:color w:val="auto"/>
                    </w:rPr>
                    <w:t>）</w:t>
                  </w:r>
                  <w:r>
                    <w:rPr>
                      <w:rFonts w:hint="default"/>
                      <w:color w:val="auto"/>
                    </w:rPr>
                    <w:t xml:space="preserve"> ，w/%                   ≤</w:t>
                  </w:r>
                </w:p>
              </w:tc>
              <w:tc>
                <w:tcPr>
                  <w:tcW w:w="3567" w:type="dxa"/>
                  <w:tcBorders>
                    <w:tl2br w:val="nil"/>
                    <w:tr2bl w:val="nil"/>
                  </w:tcBorders>
                  <w:vAlign w:val="center"/>
                </w:tcPr>
                <w:p w14:paraId="1228FEE0">
                  <w:pPr>
                    <w:pStyle w:val="27"/>
                    <w:keepNext w:val="0"/>
                    <w:keepLines w:val="0"/>
                    <w:suppressLineNumbers w:val="0"/>
                    <w:spacing w:before="0" w:beforeAutospacing="0" w:after="0" w:afterAutospacing="0"/>
                    <w:ind w:left="0" w:right="0"/>
                    <w:rPr>
                      <w:rFonts w:hint="default"/>
                      <w:color w:val="auto"/>
                    </w:rPr>
                  </w:pPr>
                  <w:r>
                    <w:rPr>
                      <w:rFonts w:hint="default"/>
                      <w:color w:val="auto"/>
                    </w:rPr>
                    <w:t>0.0001</w:t>
                  </w:r>
                </w:p>
              </w:tc>
            </w:tr>
            <w:tr w14:paraId="629E8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2C55A83B">
                  <w:pPr>
                    <w:pStyle w:val="27"/>
                    <w:keepNext w:val="0"/>
                    <w:keepLines w:val="0"/>
                    <w:suppressLineNumbers w:val="0"/>
                    <w:spacing w:before="0" w:beforeAutospacing="0" w:after="0" w:afterAutospacing="0"/>
                    <w:ind w:left="0" w:right="0"/>
                    <w:rPr>
                      <w:rFonts w:hint="default"/>
                      <w:color w:val="auto"/>
                    </w:rPr>
                  </w:pPr>
                  <w:r>
                    <w:rPr>
                      <w:rFonts w:hint="default"/>
                      <w:color w:val="auto"/>
                    </w:rPr>
                    <w:t xml:space="preserve">硫化物          </w:t>
                  </w:r>
                </w:p>
              </w:tc>
              <w:tc>
                <w:tcPr>
                  <w:tcW w:w="3567" w:type="dxa"/>
                  <w:tcBorders>
                    <w:tl2br w:val="nil"/>
                    <w:tr2bl w:val="nil"/>
                  </w:tcBorders>
                  <w:vAlign w:val="center"/>
                </w:tcPr>
                <w:p w14:paraId="34F54B48">
                  <w:pPr>
                    <w:pStyle w:val="27"/>
                    <w:keepNext w:val="0"/>
                    <w:keepLines w:val="0"/>
                    <w:suppressLineNumbers w:val="0"/>
                    <w:spacing w:before="0" w:beforeAutospacing="0" w:after="0" w:afterAutospacing="0"/>
                    <w:ind w:left="0" w:right="0"/>
                    <w:rPr>
                      <w:rFonts w:hint="default"/>
                      <w:color w:val="auto"/>
                    </w:rPr>
                  </w:pPr>
                  <w:r>
                    <w:rPr>
                      <w:rFonts w:hint="default"/>
                      <w:color w:val="auto"/>
                    </w:rPr>
                    <w:t>通过检验（附录A中A.9）</w:t>
                  </w:r>
                </w:p>
              </w:tc>
            </w:tr>
            <w:tr w14:paraId="76DBB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517C3DFA">
                  <w:pPr>
                    <w:pStyle w:val="27"/>
                    <w:keepNext w:val="0"/>
                    <w:keepLines w:val="0"/>
                    <w:suppressLineNumbers w:val="0"/>
                    <w:spacing w:before="0" w:beforeAutospacing="0" w:after="0" w:afterAutospacing="0"/>
                    <w:ind w:left="0" w:right="0"/>
                    <w:rPr>
                      <w:rFonts w:hint="default"/>
                      <w:color w:val="auto"/>
                    </w:rPr>
                  </w:pPr>
                  <w:r>
                    <w:rPr>
                      <w:rFonts w:hint="default"/>
                      <w:color w:val="auto"/>
                    </w:rPr>
                    <w:t>细度</w:t>
                  </w:r>
                  <w:r>
                    <w:rPr>
                      <w:rFonts w:hint="default"/>
                      <w:color w:val="auto"/>
                      <w:vertAlign w:val="superscript"/>
                    </w:rPr>
                    <w:t>a</w:t>
                  </w:r>
                  <w:r>
                    <w:rPr>
                      <w:rFonts w:hint="default"/>
                      <w:color w:val="auto"/>
                    </w:rPr>
                    <w:t>，w/%             ≥</w:t>
                  </w:r>
                </w:p>
              </w:tc>
              <w:tc>
                <w:tcPr>
                  <w:tcW w:w="3567" w:type="dxa"/>
                  <w:tcBorders>
                    <w:tl2br w:val="nil"/>
                    <w:tr2bl w:val="nil"/>
                  </w:tcBorders>
                  <w:vAlign w:val="center"/>
                </w:tcPr>
                <w:p w14:paraId="49FD1CF9">
                  <w:pPr>
                    <w:pStyle w:val="27"/>
                    <w:keepNext w:val="0"/>
                    <w:keepLines w:val="0"/>
                    <w:suppressLineNumbers w:val="0"/>
                    <w:spacing w:before="0" w:beforeAutospacing="0" w:after="0" w:afterAutospacing="0"/>
                    <w:ind w:left="0" w:right="0"/>
                    <w:rPr>
                      <w:rFonts w:hint="default"/>
                      <w:color w:val="auto"/>
                    </w:rPr>
                  </w:pPr>
                  <w:r>
                    <w:rPr>
                      <w:rFonts w:hint="default"/>
                      <w:color w:val="auto"/>
                    </w:rPr>
                    <w:t>95.0</w:t>
                  </w:r>
                </w:p>
              </w:tc>
            </w:tr>
            <w:tr w14:paraId="0E21D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2"/>
                  <w:tcBorders>
                    <w:tl2br w:val="nil"/>
                    <w:tr2bl w:val="nil"/>
                  </w:tcBorders>
                  <w:vAlign w:val="center"/>
                </w:tcPr>
                <w:p w14:paraId="3650B287">
                  <w:pPr>
                    <w:pStyle w:val="27"/>
                    <w:keepNext w:val="0"/>
                    <w:keepLines w:val="0"/>
                    <w:suppressLineNumbers w:val="0"/>
                    <w:spacing w:before="0" w:beforeAutospacing="0" w:after="0" w:afterAutospacing="0"/>
                    <w:ind w:left="0" w:right="0"/>
                    <w:rPr>
                      <w:rFonts w:hint="default"/>
                      <w:color w:val="auto"/>
                    </w:rPr>
                  </w:pPr>
                  <w:r>
                    <w:rPr>
                      <w:rFonts w:hint="default"/>
                      <w:color w:val="auto"/>
                    </w:rPr>
                    <w:t>注：以上项目除水分和细度外，均以干基计。</w:t>
                  </w:r>
                </w:p>
              </w:tc>
            </w:tr>
            <w:tr w14:paraId="2132F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2"/>
                  <w:tcBorders>
                    <w:tl2br w:val="nil"/>
                    <w:tr2bl w:val="nil"/>
                  </w:tcBorders>
                  <w:vAlign w:val="center"/>
                </w:tcPr>
                <w:p w14:paraId="2200211D">
                  <w:pPr>
                    <w:pStyle w:val="27"/>
                    <w:keepNext w:val="0"/>
                    <w:keepLines w:val="0"/>
                    <w:suppressLineNumbers w:val="0"/>
                    <w:spacing w:before="0" w:beforeAutospacing="0" w:after="0" w:afterAutospacing="0"/>
                    <w:ind w:left="0" w:right="0"/>
                    <w:rPr>
                      <w:rFonts w:hint="default"/>
                      <w:color w:val="auto"/>
                    </w:rPr>
                  </w:pPr>
                  <w:r>
                    <w:rPr>
                      <w:rFonts w:hint="default"/>
                      <w:color w:val="auto"/>
                    </w:rPr>
                    <w:t>a硫磺粉按粒径大小分为25μm、38μm、45μm、75μm或根据包装标识的规格，每批硫磺粉的细度指通过标称粒径筛网的质量分数。</w:t>
                  </w:r>
                </w:p>
              </w:tc>
            </w:tr>
          </w:tbl>
          <w:p w14:paraId="5AACB676">
            <w:pPr>
              <w:pStyle w:val="34"/>
              <w:keepNext w:val="0"/>
              <w:keepLines w:val="0"/>
              <w:suppressLineNumbers w:val="0"/>
              <w:spacing w:before="0" w:beforeAutospacing="0" w:after="0" w:afterAutospacing="0"/>
              <w:ind w:left="0" w:right="0"/>
              <w:rPr>
                <w:rFonts w:hint="default"/>
                <w:color w:val="auto"/>
              </w:rPr>
            </w:pPr>
            <w:r>
              <w:rPr>
                <w:rFonts w:hint="default"/>
                <w:color w:val="auto"/>
              </w:rPr>
              <w:t>《土壤改良硫磺粉》（HG/T5773-2020）中的技术指标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8"/>
              <w:gridCol w:w="3567"/>
            </w:tblGrid>
            <w:tr w14:paraId="32E58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18" w:type="dxa"/>
                  <w:tcBorders>
                    <w:tl2br w:val="nil"/>
                    <w:tr2bl w:val="nil"/>
                  </w:tcBorders>
                  <w:vAlign w:val="center"/>
                </w:tcPr>
                <w:p w14:paraId="38D0168F">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567" w:type="dxa"/>
                  <w:tcBorders>
                    <w:tl2br w:val="nil"/>
                    <w:tr2bl w:val="nil"/>
                  </w:tcBorders>
                  <w:vAlign w:val="center"/>
                </w:tcPr>
                <w:p w14:paraId="16B99300">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61F05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7FACE2D4">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硫（S），w/%            ≥</w:t>
                  </w:r>
                </w:p>
              </w:tc>
              <w:tc>
                <w:tcPr>
                  <w:tcW w:w="3567" w:type="dxa"/>
                  <w:tcBorders>
                    <w:tl2br w:val="nil"/>
                    <w:tr2bl w:val="nil"/>
                  </w:tcBorders>
                  <w:vAlign w:val="center"/>
                </w:tcPr>
                <w:p w14:paraId="4D145D02">
                  <w:pPr>
                    <w:pStyle w:val="27"/>
                    <w:keepNext w:val="0"/>
                    <w:keepLines w:val="0"/>
                    <w:suppressLineNumbers w:val="0"/>
                    <w:spacing w:before="0" w:beforeAutospacing="0" w:after="0" w:afterAutospacing="0"/>
                    <w:ind w:left="0" w:right="0"/>
                    <w:rPr>
                      <w:rFonts w:hint="default"/>
                      <w:color w:val="auto"/>
                    </w:rPr>
                  </w:pPr>
                  <w:r>
                    <w:rPr>
                      <w:rFonts w:hint="default"/>
                      <w:color w:val="auto"/>
                    </w:rPr>
                    <w:t>99.0</w:t>
                  </w:r>
                </w:p>
              </w:tc>
            </w:tr>
            <w:tr w14:paraId="6663D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7F474340">
                  <w:pPr>
                    <w:pStyle w:val="27"/>
                    <w:keepNext w:val="0"/>
                    <w:keepLines w:val="0"/>
                    <w:suppressLineNumbers w:val="0"/>
                    <w:spacing w:before="0" w:beforeAutospacing="0" w:after="0" w:afterAutospacing="0"/>
                    <w:ind w:left="0" w:right="0"/>
                    <w:rPr>
                      <w:rFonts w:hint="default"/>
                      <w:color w:val="auto"/>
                    </w:rPr>
                  </w:pPr>
                  <w:r>
                    <w:rPr>
                      <w:rFonts w:hint="default"/>
                      <w:color w:val="auto"/>
                    </w:rPr>
                    <w:t>水分，w/%                   ≤</w:t>
                  </w:r>
                </w:p>
              </w:tc>
              <w:tc>
                <w:tcPr>
                  <w:tcW w:w="3567" w:type="dxa"/>
                  <w:tcBorders>
                    <w:tl2br w:val="nil"/>
                    <w:tr2bl w:val="nil"/>
                  </w:tcBorders>
                  <w:vAlign w:val="center"/>
                </w:tcPr>
                <w:p w14:paraId="657F01C9">
                  <w:pPr>
                    <w:pStyle w:val="27"/>
                    <w:keepNext w:val="0"/>
                    <w:keepLines w:val="0"/>
                    <w:suppressLineNumbers w:val="0"/>
                    <w:spacing w:before="0" w:beforeAutospacing="0" w:after="0" w:afterAutospacing="0"/>
                    <w:ind w:left="0" w:right="0"/>
                    <w:rPr>
                      <w:rFonts w:hint="default"/>
                      <w:color w:val="auto"/>
                    </w:rPr>
                  </w:pPr>
                  <w:r>
                    <w:rPr>
                      <w:rFonts w:hint="default"/>
                      <w:color w:val="auto"/>
                    </w:rPr>
                    <w:t>0.5</w:t>
                  </w:r>
                </w:p>
              </w:tc>
            </w:tr>
            <w:tr w14:paraId="48C5E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08A5E8FC">
                  <w:pPr>
                    <w:pStyle w:val="27"/>
                    <w:keepNext w:val="0"/>
                    <w:keepLines w:val="0"/>
                    <w:suppressLineNumbers w:val="0"/>
                    <w:spacing w:before="0" w:beforeAutospacing="0" w:after="0" w:afterAutospacing="0"/>
                    <w:ind w:left="0" w:right="0"/>
                    <w:rPr>
                      <w:rFonts w:hint="default"/>
                      <w:color w:val="auto"/>
                    </w:rPr>
                  </w:pPr>
                  <w:r>
                    <w:rPr>
                      <w:rFonts w:hint="default"/>
                      <w:color w:val="auto"/>
                    </w:rPr>
                    <w:t>酸度（以H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计），w/%           ≤</w:t>
                  </w:r>
                </w:p>
              </w:tc>
              <w:tc>
                <w:tcPr>
                  <w:tcW w:w="3567" w:type="dxa"/>
                  <w:tcBorders>
                    <w:tl2br w:val="nil"/>
                    <w:tr2bl w:val="nil"/>
                  </w:tcBorders>
                  <w:vAlign w:val="center"/>
                </w:tcPr>
                <w:p w14:paraId="24D0200B">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14:paraId="609CE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2CAAD89E">
                  <w:pPr>
                    <w:pStyle w:val="27"/>
                    <w:keepNext w:val="0"/>
                    <w:keepLines w:val="0"/>
                    <w:suppressLineNumbers w:val="0"/>
                    <w:spacing w:before="0" w:beforeAutospacing="0" w:after="0" w:afterAutospacing="0"/>
                    <w:ind w:left="0" w:right="0"/>
                    <w:rPr>
                      <w:rFonts w:hint="default"/>
                      <w:color w:val="auto"/>
                    </w:rPr>
                  </w:pPr>
                  <w:r>
                    <w:rPr>
                      <w:rFonts w:hint="default"/>
                      <w:color w:val="auto"/>
                    </w:rPr>
                    <w:t>细度</w:t>
                  </w:r>
                  <w:r>
                    <w:rPr>
                      <w:rFonts w:hint="default"/>
                      <w:color w:val="auto"/>
                      <w:vertAlign w:val="superscript"/>
                    </w:rPr>
                    <w:t>a</w:t>
                  </w:r>
                  <w:r>
                    <w:rPr>
                      <w:rFonts w:hint="default"/>
                      <w:color w:val="auto"/>
                    </w:rPr>
                    <w:t>，w/%             ≥</w:t>
                  </w:r>
                </w:p>
              </w:tc>
              <w:tc>
                <w:tcPr>
                  <w:tcW w:w="3567" w:type="dxa"/>
                  <w:tcBorders>
                    <w:tl2br w:val="nil"/>
                    <w:tr2bl w:val="nil"/>
                  </w:tcBorders>
                  <w:vAlign w:val="center"/>
                </w:tcPr>
                <w:p w14:paraId="18FD923A">
                  <w:pPr>
                    <w:pStyle w:val="27"/>
                    <w:keepNext w:val="0"/>
                    <w:keepLines w:val="0"/>
                    <w:suppressLineNumbers w:val="0"/>
                    <w:spacing w:before="0" w:beforeAutospacing="0" w:after="0" w:afterAutospacing="0"/>
                    <w:ind w:left="0" w:right="0"/>
                    <w:rPr>
                      <w:rFonts w:hint="default"/>
                      <w:color w:val="auto"/>
                    </w:rPr>
                  </w:pPr>
                  <w:r>
                    <w:rPr>
                      <w:rFonts w:hint="default"/>
                      <w:color w:val="auto"/>
                    </w:rPr>
                    <w:t>95.0</w:t>
                  </w:r>
                </w:p>
              </w:tc>
            </w:tr>
            <w:tr w14:paraId="5C567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4CAA3B48">
                  <w:pPr>
                    <w:pStyle w:val="27"/>
                    <w:keepNext w:val="0"/>
                    <w:keepLines w:val="0"/>
                    <w:suppressLineNumbers w:val="0"/>
                    <w:spacing w:before="0" w:beforeAutospacing="0" w:after="0" w:afterAutospacing="0"/>
                    <w:ind w:left="0" w:right="0"/>
                    <w:rPr>
                      <w:rFonts w:hint="default"/>
                      <w:color w:val="auto"/>
                    </w:rPr>
                  </w:pPr>
                  <w:r>
                    <w:rPr>
                      <w:rFonts w:hint="default"/>
                      <w:color w:val="auto"/>
                    </w:rPr>
                    <w:t>总镉/（mg/kg）                   ≤</w:t>
                  </w:r>
                </w:p>
              </w:tc>
              <w:tc>
                <w:tcPr>
                  <w:tcW w:w="3567" w:type="dxa"/>
                  <w:tcBorders>
                    <w:tl2br w:val="nil"/>
                    <w:tr2bl w:val="nil"/>
                  </w:tcBorders>
                  <w:vAlign w:val="center"/>
                </w:tcPr>
                <w:p w14:paraId="0573EBFD">
                  <w:pPr>
                    <w:pStyle w:val="27"/>
                    <w:keepNext w:val="0"/>
                    <w:keepLines w:val="0"/>
                    <w:suppressLineNumbers w:val="0"/>
                    <w:spacing w:before="0" w:beforeAutospacing="0" w:after="0" w:afterAutospacing="0"/>
                    <w:ind w:left="0" w:right="0"/>
                    <w:rPr>
                      <w:rFonts w:hint="default"/>
                      <w:color w:val="auto"/>
                    </w:rPr>
                  </w:pPr>
                  <w:r>
                    <w:rPr>
                      <w:rFonts w:hint="default"/>
                      <w:color w:val="auto"/>
                    </w:rPr>
                    <w:t>0.30</w:t>
                  </w:r>
                </w:p>
              </w:tc>
            </w:tr>
            <w:tr w14:paraId="7A400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019D15BE">
                  <w:pPr>
                    <w:pStyle w:val="27"/>
                    <w:keepNext w:val="0"/>
                    <w:keepLines w:val="0"/>
                    <w:suppressLineNumbers w:val="0"/>
                    <w:spacing w:before="0" w:beforeAutospacing="0" w:after="0" w:afterAutospacing="0"/>
                    <w:ind w:left="0" w:right="0"/>
                    <w:rPr>
                      <w:rFonts w:hint="default"/>
                      <w:color w:val="auto"/>
                    </w:rPr>
                  </w:pPr>
                  <w:r>
                    <w:rPr>
                      <w:rFonts w:hint="default"/>
                      <w:color w:val="auto"/>
                    </w:rPr>
                    <w:t>总汞/（mg/kg）                   ≤</w:t>
                  </w:r>
                </w:p>
              </w:tc>
              <w:tc>
                <w:tcPr>
                  <w:tcW w:w="3567" w:type="dxa"/>
                  <w:tcBorders>
                    <w:tl2br w:val="nil"/>
                    <w:tr2bl w:val="nil"/>
                  </w:tcBorders>
                  <w:vAlign w:val="center"/>
                </w:tcPr>
                <w:p w14:paraId="67BD1CA1">
                  <w:pPr>
                    <w:pStyle w:val="27"/>
                    <w:keepNext w:val="0"/>
                    <w:keepLines w:val="0"/>
                    <w:suppressLineNumbers w:val="0"/>
                    <w:spacing w:before="0" w:beforeAutospacing="0" w:after="0" w:afterAutospacing="0"/>
                    <w:ind w:left="0" w:right="0"/>
                    <w:rPr>
                      <w:rFonts w:hint="default"/>
                      <w:color w:val="auto"/>
                    </w:rPr>
                  </w:pPr>
                  <w:r>
                    <w:rPr>
                      <w:rFonts w:hint="default"/>
                      <w:color w:val="auto"/>
                    </w:rPr>
                    <w:t>0.25</w:t>
                  </w:r>
                </w:p>
              </w:tc>
            </w:tr>
            <w:tr w14:paraId="6E8B7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42D74989">
                  <w:pPr>
                    <w:pStyle w:val="27"/>
                    <w:keepNext w:val="0"/>
                    <w:keepLines w:val="0"/>
                    <w:suppressLineNumbers w:val="0"/>
                    <w:spacing w:before="0" w:beforeAutospacing="0" w:after="0" w:afterAutospacing="0"/>
                    <w:ind w:left="0" w:right="0"/>
                    <w:rPr>
                      <w:rFonts w:hint="default"/>
                      <w:color w:val="auto"/>
                    </w:rPr>
                  </w:pPr>
                  <w:r>
                    <w:rPr>
                      <w:rFonts w:hint="default"/>
                      <w:color w:val="auto"/>
                    </w:rPr>
                    <w:t>总砷/（mg/kg）                   ≤</w:t>
                  </w:r>
                </w:p>
              </w:tc>
              <w:tc>
                <w:tcPr>
                  <w:tcW w:w="3567" w:type="dxa"/>
                  <w:tcBorders>
                    <w:tl2br w:val="nil"/>
                    <w:tr2bl w:val="nil"/>
                  </w:tcBorders>
                  <w:vAlign w:val="center"/>
                </w:tcPr>
                <w:p w14:paraId="5D3660AF">
                  <w:pPr>
                    <w:pStyle w:val="27"/>
                    <w:keepNext w:val="0"/>
                    <w:keepLines w:val="0"/>
                    <w:suppressLineNumbers w:val="0"/>
                    <w:spacing w:before="0" w:beforeAutospacing="0" w:after="0" w:afterAutospacing="0"/>
                    <w:ind w:left="0" w:right="0"/>
                    <w:rPr>
                      <w:rFonts w:hint="default"/>
                      <w:color w:val="auto"/>
                    </w:rPr>
                  </w:pPr>
                  <w:r>
                    <w:rPr>
                      <w:rFonts w:hint="default"/>
                      <w:color w:val="auto"/>
                    </w:rPr>
                    <w:t>15</w:t>
                  </w:r>
                </w:p>
              </w:tc>
            </w:tr>
            <w:tr w14:paraId="76D52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71764434">
                  <w:pPr>
                    <w:pStyle w:val="27"/>
                    <w:keepNext w:val="0"/>
                    <w:keepLines w:val="0"/>
                    <w:suppressLineNumbers w:val="0"/>
                    <w:spacing w:before="0" w:beforeAutospacing="0" w:after="0" w:afterAutospacing="0"/>
                    <w:ind w:left="0" w:right="0"/>
                    <w:rPr>
                      <w:rFonts w:hint="default"/>
                      <w:color w:val="auto"/>
                    </w:rPr>
                  </w:pPr>
                  <w:r>
                    <w:rPr>
                      <w:rFonts w:hint="default"/>
                      <w:color w:val="auto"/>
                    </w:rPr>
                    <w:t>总铅/（mg/kg）                   ≤</w:t>
                  </w:r>
                </w:p>
              </w:tc>
              <w:tc>
                <w:tcPr>
                  <w:tcW w:w="3567" w:type="dxa"/>
                  <w:tcBorders>
                    <w:tl2br w:val="nil"/>
                    <w:tr2bl w:val="nil"/>
                  </w:tcBorders>
                  <w:vAlign w:val="center"/>
                </w:tcPr>
                <w:p w14:paraId="42B22645">
                  <w:pPr>
                    <w:pStyle w:val="27"/>
                    <w:keepNext w:val="0"/>
                    <w:keepLines w:val="0"/>
                    <w:suppressLineNumbers w:val="0"/>
                    <w:spacing w:before="0" w:beforeAutospacing="0" w:after="0" w:afterAutospacing="0"/>
                    <w:ind w:left="0" w:right="0"/>
                    <w:rPr>
                      <w:rFonts w:hint="default"/>
                      <w:color w:val="auto"/>
                    </w:rPr>
                  </w:pPr>
                  <w:r>
                    <w:rPr>
                      <w:rFonts w:hint="default"/>
                      <w:color w:val="auto"/>
                    </w:rPr>
                    <w:t>50</w:t>
                  </w:r>
                </w:p>
              </w:tc>
            </w:tr>
            <w:tr w14:paraId="7EE6B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4131974D">
                  <w:pPr>
                    <w:pStyle w:val="27"/>
                    <w:keepNext w:val="0"/>
                    <w:keepLines w:val="0"/>
                    <w:suppressLineNumbers w:val="0"/>
                    <w:spacing w:before="0" w:beforeAutospacing="0" w:after="0" w:afterAutospacing="0"/>
                    <w:ind w:left="0" w:right="0"/>
                    <w:rPr>
                      <w:rFonts w:hint="default"/>
                      <w:color w:val="auto"/>
                    </w:rPr>
                  </w:pPr>
                  <w:r>
                    <w:rPr>
                      <w:rFonts w:hint="default"/>
                      <w:color w:val="auto"/>
                    </w:rPr>
                    <w:t>总铬/（mg/kg）                   ≤</w:t>
                  </w:r>
                </w:p>
              </w:tc>
              <w:tc>
                <w:tcPr>
                  <w:tcW w:w="3567" w:type="dxa"/>
                  <w:tcBorders>
                    <w:tl2br w:val="nil"/>
                    <w:tr2bl w:val="nil"/>
                  </w:tcBorders>
                  <w:vAlign w:val="center"/>
                </w:tcPr>
                <w:p w14:paraId="4664DAFB">
                  <w:pPr>
                    <w:pStyle w:val="27"/>
                    <w:keepNext w:val="0"/>
                    <w:keepLines w:val="0"/>
                    <w:suppressLineNumbers w:val="0"/>
                    <w:spacing w:before="0" w:beforeAutospacing="0" w:after="0" w:afterAutospacing="0"/>
                    <w:ind w:left="0" w:right="0"/>
                    <w:rPr>
                      <w:rFonts w:hint="default"/>
                      <w:color w:val="auto"/>
                    </w:rPr>
                  </w:pPr>
                  <w:r>
                    <w:rPr>
                      <w:rFonts w:hint="default"/>
                      <w:color w:val="auto"/>
                    </w:rPr>
                    <w:t>120</w:t>
                  </w:r>
                </w:p>
              </w:tc>
            </w:tr>
            <w:tr w14:paraId="42C81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19704B99">
                  <w:pPr>
                    <w:pStyle w:val="27"/>
                    <w:keepNext w:val="0"/>
                    <w:keepLines w:val="0"/>
                    <w:suppressLineNumbers w:val="0"/>
                    <w:spacing w:before="0" w:beforeAutospacing="0" w:after="0" w:afterAutospacing="0"/>
                    <w:ind w:left="0" w:right="0"/>
                    <w:rPr>
                      <w:rFonts w:hint="default"/>
                      <w:color w:val="auto"/>
                    </w:rPr>
                  </w:pPr>
                  <w:r>
                    <w:rPr>
                      <w:rFonts w:hint="default"/>
                      <w:color w:val="auto"/>
                    </w:rPr>
                    <w:t>总铜/（mg/kg）                   ≤</w:t>
                  </w:r>
                </w:p>
              </w:tc>
              <w:tc>
                <w:tcPr>
                  <w:tcW w:w="3567" w:type="dxa"/>
                  <w:tcBorders>
                    <w:tl2br w:val="nil"/>
                    <w:tr2bl w:val="nil"/>
                  </w:tcBorders>
                  <w:vAlign w:val="center"/>
                </w:tcPr>
                <w:p w14:paraId="6368C21E">
                  <w:pPr>
                    <w:pStyle w:val="27"/>
                    <w:keepNext w:val="0"/>
                    <w:keepLines w:val="0"/>
                    <w:suppressLineNumbers w:val="0"/>
                    <w:spacing w:before="0" w:beforeAutospacing="0" w:after="0" w:afterAutospacing="0"/>
                    <w:ind w:left="0" w:right="0"/>
                    <w:rPr>
                      <w:rFonts w:hint="default"/>
                      <w:color w:val="auto"/>
                    </w:rPr>
                  </w:pPr>
                  <w:r>
                    <w:rPr>
                      <w:rFonts w:hint="default"/>
                      <w:color w:val="auto"/>
                    </w:rPr>
                    <w:t>50</w:t>
                  </w:r>
                </w:p>
              </w:tc>
            </w:tr>
            <w:tr w14:paraId="4456D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4C918396">
                  <w:pPr>
                    <w:pStyle w:val="27"/>
                    <w:keepNext w:val="0"/>
                    <w:keepLines w:val="0"/>
                    <w:suppressLineNumbers w:val="0"/>
                    <w:spacing w:before="0" w:beforeAutospacing="0" w:after="0" w:afterAutospacing="0"/>
                    <w:ind w:left="0" w:right="0"/>
                    <w:rPr>
                      <w:rFonts w:hint="default"/>
                      <w:color w:val="auto"/>
                    </w:rPr>
                  </w:pPr>
                  <w:r>
                    <w:rPr>
                      <w:rFonts w:hint="default"/>
                      <w:color w:val="auto"/>
                    </w:rPr>
                    <w:t>总镍/（mg/kg）                   ≤</w:t>
                  </w:r>
                </w:p>
              </w:tc>
              <w:tc>
                <w:tcPr>
                  <w:tcW w:w="3567" w:type="dxa"/>
                  <w:tcBorders>
                    <w:tl2br w:val="nil"/>
                    <w:tr2bl w:val="nil"/>
                  </w:tcBorders>
                  <w:vAlign w:val="center"/>
                </w:tcPr>
                <w:p w14:paraId="173A8F99">
                  <w:pPr>
                    <w:pStyle w:val="27"/>
                    <w:keepNext w:val="0"/>
                    <w:keepLines w:val="0"/>
                    <w:suppressLineNumbers w:val="0"/>
                    <w:spacing w:before="0" w:beforeAutospacing="0" w:after="0" w:afterAutospacing="0"/>
                    <w:ind w:left="0" w:right="0"/>
                    <w:rPr>
                      <w:rFonts w:hint="default"/>
                      <w:color w:val="auto"/>
                    </w:rPr>
                  </w:pPr>
                  <w:r>
                    <w:rPr>
                      <w:rFonts w:hint="default"/>
                      <w:color w:val="auto"/>
                    </w:rPr>
                    <w:t>60</w:t>
                  </w:r>
                </w:p>
              </w:tc>
            </w:tr>
            <w:tr w14:paraId="689A9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tcBorders>
                    <w:tl2br w:val="nil"/>
                    <w:tr2bl w:val="nil"/>
                  </w:tcBorders>
                  <w:vAlign w:val="center"/>
                </w:tcPr>
                <w:p w14:paraId="49D04443">
                  <w:pPr>
                    <w:pStyle w:val="27"/>
                    <w:keepNext w:val="0"/>
                    <w:keepLines w:val="0"/>
                    <w:suppressLineNumbers w:val="0"/>
                    <w:spacing w:before="0" w:beforeAutospacing="0" w:after="0" w:afterAutospacing="0"/>
                    <w:ind w:left="0" w:right="0"/>
                    <w:rPr>
                      <w:rFonts w:hint="default"/>
                      <w:color w:val="auto"/>
                    </w:rPr>
                  </w:pPr>
                  <w:r>
                    <w:rPr>
                      <w:rFonts w:hint="default"/>
                      <w:color w:val="auto"/>
                    </w:rPr>
                    <w:t>总锌/（mg/kg）                   ≤</w:t>
                  </w:r>
                </w:p>
              </w:tc>
              <w:tc>
                <w:tcPr>
                  <w:tcW w:w="3567" w:type="dxa"/>
                  <w:tcBorders>
                    <w:tl2br w:val="nil"/>
                    <w:tr2bl w:val="nil"/>
                  </w:tcBorders>
                  <w:vAlign w:val="center"/>
                </w:tcPr>
                <w:p w14:paraId="44814F72">
                  <w:pPr>
                    <w:pStyle w:val="27"/>
                    <w:keepNext w:val="0"/>
                    <w:keepLines w:val="0"/>
                    <w:suppressLineNumbers w:val="0"/>
                    <w:spacing w:before="0" w:beforeAutospacing="0" w:after="0" w:afterAutospacing="0"/>
                    <w:ind w:left="0" w:right="0"/>
                    <w:rPr>
                      <w:rFonts w:hint="default"/>
                      <w:color w:val="auto"/>
                    </w:rPr>
                  </w:pPr>
                  <w:r>
                    <w:rPr>
                      <w:rFonts w:hint="default"/>
                      <w:color w:val="auto"/>
                    </w:rPr>
                    <w:t>200</w:t>
                  </w:r>
                </w:p>
              </w:tc>
            </w:tr>
            <w:tr w14:paraId="1E62C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2"/>
                  <w:tcBorders>
                    <w:tl2br w:val="nil"/>
                    <w:tr2bl w:val="nil"/>
                  </w:tcBorders>
                  <w:vAlign w:val="center"/>
                </w:tcPr>
                <w:p w14:paraId="752F2426">
                  <w:pPr>
                    <w:pStyle w:val="27"/>
                    <w:keepNext w:val="0"/>
                    <w:keepLines w:val="0"/>
                    <w:suppressLineNumbers w:val="0"/>
                    <w:spacing w:before="0" w:beforeAutospacing="0" w:after="0" w:afterAutospacing="0"/>
                    <w:ind w:left="0" w:right="0"/>
                    <w:rPr>
                      <w:rFonts w:hint="default"/>
                      <w:color w:val="auto"/>
                    </w:rPr>
                  </w:pPr>
                  <w:r>
                    <w:rPr>
                      <w:rFonts w:hint="default"/>
                      <w:color w:val="auto"/>
                    </w:rPr>
                    <w:t>注：以上项目除水分和细度外，均以干基计。</w:t>
                  </w:r>
                </w:p>
              </w:tc>
            </w:tr>
            <w:tr w14:paraId="192F7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2"/>
                  <w:tcBorders>
                    <w:tl2br w:val="nil"/>
                    <w:tr2bl w:val="nil"/>
                  </w:tcBorders>
                  <w:vAlign w:val="center"/>
                </w:tcPr>
                <w:p w14:paraId="1EECF254">
                  <w:pPr>
                    <w:pStyle w:val="27"/>
                    <w:keepNext w:val="0"/>
                    <w:keepLines w:val="0"/>
                    <w:suppressLineNumbers w:val="0"/>
                    <w:spacing w:before="0" w:beforeAutospacing="0" w:after="0" w:afterAutospacing="0"/>
                    <w:ind w:left="0" w:right="0"/>
                    <w:rPr>
                      <w:rFonts w:hint="default"/>
                      <w:color w:val="auto"/>
                    </w:rPr>
                  </w:pPr>
                  <w:r>
                    <w:rPr>
                      <w:rFonts w:hint="default"/>
                      <w:color w:val="auto"/>
                    </w:rPr>
                    <w:t>a硫磺粉按粒径大小分为25μm、38μm、45μm、75μm或根据包装标识的规格，每批硫磺粉的细度指通过标称粒径筛网的质量分数。</w:t>
                  </w:r>
                </w:p>
              </w:tc>
            </w:tr>
          </w:tbl>
          <w:p w14:paraId="5E98BDE4">
            <w:pPr>
              <w:pStyle w:val="34"/>
              <w:keepNext w:val="0"/>
              <w:keepLines w:val="0"/>
              <w:suppressLineNumbers w:val="0"/>
              <w:spacing w:before="0" w:beforeAutospacing="0" w:after="0" w:afterAutospacing="0"/>
              <w:ind w:left="0" w:right="0"/>
              <w:rPr>
                <w:rFonts w:hint="default"/>
                <w:color w:val="auto"/>
              </w:rPr>
            </w:pPr>
            <w:r>
              <w:rPr>
                <w:rFonts w:hint="default"/>
                <w:color w:val="auto"/>
              </w:rPr>
              <w:t>《食品添加剂 二氧化碳》（GB 1886.228-2016）中</w:t>
            </w:r>
            <w:bookmarkStart w:id="66" w:name="OLE_LINK118"/>
            <w:bookmarkStart w:id="67" w:name="OLE_LINK119"/>
            <w:r>
              <w:rPr>
                <w:rFonts w:hint="default"/>
                <w:color w:val="auto"/>
              </w:rPr>
              <w:t>二氧化碳</w:t>
            </w:r>
            <w:bookmarkEnd w:id="66"/>
            <w:bookmarkEnd w:id="67"/>
            <w:r>
              <w:rPr>
                <w:rFonts w:hint="default"/>
                <w:color w:val="auto"/>
              </w:rPr>
              <w:t>的技术指标</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49"/>
              <w:gridCol w:w="2038"/>
              <w:gridCol w:w="2011"/>
            </w:tblGrid>
            <w:tr w14:paraId="685E8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37" w:type="pct"/>
                  <w:tcBorders>
                    <w:tl2br w:val="nil"/>
                    <w:tr2bl w:val="nil"/>
                  </w:tcBorders>
                  <w:vAlign w:val="center"/>
                </w:tcPr>
                <w:p w14:paraId="2546EF51">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1290" w:type="pct"/>
                  <w:tcBorders>
                    <w:tl2br w:val="nil"/>
                    <w:tr2bl w:val="nil"/>
                  </w:tcBorders>
                  <w:vAlign w:val="center"/>
                </w:tcPr>
                <w:p w14:paraId="44892EA5">
                  <w:pPr>
                    <w:pStyle w:val="27"/>
                    <w:keepNext w:val="0"/>
                    <w:keepLines w:val="0"/>
                    <w:suppressLineNumbers w:val="0"/>
                    <w:spacing w:before="0" w:beforeAutospacing="0" w:after="0" w:afterAutospacing="0"/>
                    <w:ind w:left="0" w:right="0"/>
                    <w:rPr>
                      <w:rFonts w:hint="default"/>
                      <w:color w:val="auto"/>
                    </w:rPr>
                  </w:pPr>
                  <w:r>
                    <w:rPr>
                      <w:rFonts w:hint="eastAsia"/>
                      <w:color w:val="auto"/>
                    </w:rPr>
                    <w:t>液态二氧化碳</w:t>
                  </w:r>
                  <w:r>
                    <w:rPr>
                      <w:rFonts w:hint="default"/>
                      <w:color w:val="auto"/>
                    </w:rPr>
                    <w:t>指标</w:t>
                  </w:r>
                </w:p>
              </w:tc>
              <w:tc>
                <w:tcPr>
                  <w:tcW w:w="1273" w:type="pct"/>
                  <w:tcBorders>
                    <w:tl2br w:val="nil"/>
                    <w:tr2bl w:val="nil"/>
                  </w:tcBorders>
                </w:tcPr>
                <w:p w14:paraId="6174D056">
                  <w:pPr>
                    <w:pStyle w:val="27"/>
                    <w:keepNext w:val="0"/>
                    <w:keepLines w:val="0"/>
                    <w:suppressLineNumbers w:val="0"/>
                    <w:spacing w:before="0" w:beforeAutospacing="0" w:after="0" w:afterAutospacing="0"/>
                    <w:ind w:left="0" w:right="0"/>
                    <w:rPr>
                      <w:rFonts w:hint="default"/>
                      <w:color w:val="auto"/>
                    </w:rPr>
                  </w:pPr>
                  <w:r>
                    <w:rPr>
                      <w:rFonts w:hint="eastAsia"/>
                      <w:color w:val="auto"/>
                    </w:rPr>
                    <w:t>固态二氧化碳</w:t>
                  </w:r>
                  <w:r>
                    <w:rPr>
                      <w:rFonts w:hint="default"/>
                      <w:color w:val="auto"/>
                    </w:rPr>
                    <w:t>指标</w:t>
                  </w:r>
                </w:p>
              </w:tc>
            </w:tr>
            <w:tr w14:paraId="7424A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233A8A04">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二氧化碳</w:t>
                  </w:r>
                  <w:r>
                    <w:rPr>
                      <w:rFonts w:hint="eastAsia"/>
                      <w:color w:val="auto"/>
                    </w:rPr>
                    <w:t>（</w:t>
                  </w:r>
                  <w:r>
                    <w:rPr>
                      <w:rFonts w:hint="default"/>
                      <w:color w:val="auto"/>
                    </w:rPr>
                    <w:t>CO</w:t>
                  </w:r>
                  <w:r>
                    <w:rPr>
                      <w:rFonts w:hint="default"/>
                      <w:color w:val="auto"/>
                      <w:vertAlign w:val="subscript"/>
                    </w:rPr>
                    <w:t>2</w:t>
                  </w:r>
                  <w:r>
                    <w:rPr>
                      <w:rFonts w:hint="eastAsia"/>
                      <w:color w:val="auto"/>
                      <w:vertAlign w:val="subscript"/>
                    </w:rPr>
                    <w:t>）</w:t>
                  </w:r>
                  <w:r>
                    <w:rPr>
                      <w:rFonts w:hint="default"/>
                      <w:color w:val="auto"/>
                    </w:rPr>
                    <w:t>含量，φ/%            ≥</w:t>
                  </w:r>
                </w:p>
              </w:tc>
              <w:tc>
                <w:tcPr>
                  <w:tcW w:w="1290" w:type="pct"/>
                  <w:tcBorders>
                    <w:tl2br w:val="nil"/>
                    <w:tr2bl w:val="nil"/>
                  </w:tcBorders>
                  <w:vAlign w:val="center"/>
                </w:tcPr>
                <w:p w14:paraId="71953F53">
                  <w:pPr>
                    <w:pStyle w:val="27"/>
                    <w:keepNext w:val="0"/>
                    <w:keepLines w:val="0"/>
                    <w:suppressLineNumbers w:val="0"/>
                    <w:spacing w:before="0" w:beforeAutospacing="0" w:after="0" w:afterAutospacing="0"/>
                    <w:ind w:left="0" w:right="0"/>
                    <w:rPr>
                      <w:rFonts w:hint="default"/>
                      <w:color w:val="auto"/>
                    </w:rPr>
                  </w:pPr>
                  <w:r>
                    <w:rPr>
                      <w:rFonts w:hint="default"/>
                      <w:color w:val="auto"/>
                    </w:rPr>
                    <w:t>99.9</w:t>
                  </w:r>
                </w:p>
              </w:tc>
              <w:tc>
                <w:tcPr>
                  <w:tcW w:w="1273" w:type="pct"/>
                  <w:tcBorders>
                    <w:tl2br w:val="nil"/>
                    <w:tr2bl w:val="nil"/>
                  </w:tcBorders>
                </w:tcPr>
                <w:p w14:paraId="554A41B0">
                  <w:pPr>
                    <w:pStyle w:val="27"/>
                    <w:keepNext w:val="0"/>
                    <w:keepLines w:val="0"/>
                    <w:suppressLineNumbers w:val="0"/>
                    <w:spacing w:before="0" w:beforeAutospacing="0" w:after="0" w:afterAutospacing="0"/>
                    <w:ind w:left="0" w:right="0"/>
                    <w:rPr>
                      <w:rFonts w:hint="default"/>
                      <w:color w:val="auto"/>
                    </w:rPr>
                  </w:pPr>
                  <w:r>
                    <w:rPr>
                      <w:rFonts w:hint="eastAsia"/>
                      <w:color w:val="auto"/>
                    </w:rPr>
                    <w:t>—</w:t>
                  </w:r>
                </w:p>
              </w:tc>
            </w:tr>
            <w:tr w14:paraId="404AE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0F7774B8">
                  <w:pPr>
                    <w:pStyle w:val="27"/>
                    <w:keepNext w:val="0"/>
                    <w:keepLines w:val="0"/>
                    <w:suppressLineNumbers w:val="0"/>
                    <w:spacing w:before="0" w:beforeAutospacing="0" w:after="0" w:afterAutospacing="0"/>
                    <w:ind w:left="0" w:right="0"/>
                    <w:rPr>
                      <w:rFonts w:hint="default"/>
                      <w:color w:val="auto"/>
                    </w:rPr>
                  </w:pPr>
                  <w:r>
                    <w:rPr>
                      <w:rFonts w:hint="default"/>
                      <w:color w:val="auto"/>
                    </w:rPr>
                    <w:t>水分/(μL/L)                  ≤</w:t>
                  </w:r>
                </w:p>
              </w:tc>
              <w:tc>
                <w:tcPr>
                  <w:tcW w:w="1290" w:type="pct"/>
                  <w:tcBorders>
                    <w:tl2br w:val="nil"/>
                    <w:tr2bl w:val="nil"/>
                  </w:tcBorders>
                  <w:vAlign w:val="center"/>
                </w:tcPr>
                <w:p w14:paraId="4262092C">
                  <w:pPr>
                    <w:pStyle w:val="27"/>
                    <w:keepNext w:val="0"/>
                    <w:keepLines w:val="0"/>
                    <w:suppressLineNumbers w:val="0"/>
                    <w:spacing w:before="0" w:beforeAutospacing="0" w:after="0" w:afterAutospacing="0"/>
                    <w:ind w:left="0" w:right="0"/>
                    <w:rPr>
                      <w:rFonts w:hint="default"/>
                      <w:color w:val="auto"/>
                    </w:rPr>
                  </w:pPr>
                  <w:r>
                    <w:rPr>
                      <w:rFonts w:hint="default"/>
                      <w:color w:val="auto"/>
                    </w:rPr>
                    <w:t>20</w:t>
                  </w:r>
                </w:p>
              </w:tc>
              <w:tc>
                <w:tcPr>
                  <w:tcW w:w="1273" w:type="pct"/>
                  <w:tcBorders>
                    <w:tl2br w:val="nil"/>
                    <w:tr2bl w:val="nil"/>
                  </w:tcBorders>
                </w:tcPr>
                <w:p w14:paraId="267E5597">
                  <w:pPr>
                    <w:pStyle w:val="27"/>
                    <w:keepNext w:val="0"/>
                    <w:keepLines w:val="0"/>
                    <w:suppressLineNumbers w:val="0"/>
                    <w:spacing w:before="0" w:beforeAutospacing="0" w:after="0" w:afterAutospacing="0"/>
                    <w:ind w:left="0" w:right="0"/>
                    <w:rPr>
                      <w:rFonts w:hint="default"/>
                      <w:color w:val="auto"/>
                    </w:rPr>
                  </w:pPr>
                  <w:r>
                    <w:rPr>
                      <w:rFonts w:hint="eastAsia"/>
                      <w:color w:val="auto"/>
                    </w:rPr>
                    <w:t>—</w:t>
                  </w:r>
                </w:p>
              </w:tc>
            </w:tr>
            <w:tr w14:paraId="4714F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55B383B9">
                  <w:pPr>
                    <w:pStyle w:val="27"/>
                    <w:keepNext w:val="0"/>
                    <w:keepLines w:val="0"/>
                    <w:suppressLineNumbers w:val="0"/>
                    <w:spacing w:before="0" w:beforeAutospacing="0" w:after="0" w:afterAutospacing="0"/>
                    <w:ind w:left="0" w:right="0"/>
                    <w:rPr>
                      <w:rFonts w:hint="default"/>
                      <w:color w:val="auto"/>
                    </w:rPr>
                  </w:pPr>
                  <w:r>
                    <w:rPr>
                      <w:rFonts w:hint="default"/>
                      <w:color w:val="auto"/>
                    </w:rPr>
                    <w:t>氧</w:t>
                  </w:r>
                  <w:r>
                    <w:rPr>
                      <w:rFonts w:hint="eastAsia"/>
                      <w:color w:val="auto"/>
                    </w:rPr>
                    <w:t>（</w:t>
                  </w:r>
                  <w:r>
                    <w:rPr>
                      <w:rFonts w:hint="default"/>
                      <w:color w:val="auto"/>
                    </w:rPr>
                    <w:t>O</w:t>
                  </w:r>
                  <w:r>
                    <w:rPr>
                      <w:rFonts w:hint="default"/>
                      <w:color w:val="auto"/>
                      <w:vertAlign w:val="subscript"/>
                    </w:rPr>
                    <w:t>2</w:t>
                  </w:r>
                  <w:r>
                    <w:rPr>
                      <w:rFonts w:hint="eastAsia"/>
                      <w:color w:val="auto"/>
                      <w:vertAlign w:val="subscript"/>
                    </w:rPr>
                    <w:t>）</w:t>
                  </w:r>
                  <w:r>
                    <w:rPr>
                      <w:rFonts w:hint="default"/>
                      <w:color w:val="auto"/>
                    </w:rPr>
                    <w:t>/(μL/L)           ≤</w:t>
                  </w:r>
                </w:p>
              </w:tc>
              <w:tc>
                <w:tcPr>
                  <w:tcW w:w="1290" w:type="pct"/>
                  <w:tcBorders>
                    <w:tl2br w:val="nil"/>
                    <w:tr2bl w:val="nil"/>
                  </w:tcBorders>
                  <w:vAlign w:val="center"/>
                </w:tcPr>
                <w:p w14:paraId="36C80C31">
                  <w:pPr>
                    <w:pStyle w:val="27"/>
                    <w:keepNext w:val="0"/>
                    <w:keepLines w:val="0"/>
                    <w:suppressLineNumbers w:val="0"/>
                    <w:spacing w:before="0" w:beforeAutospacing="0" w:after="0" w:afterAutospacing="0"/>
                    <w:ind w:left="0" w:right="0"/>
                    <w:rPr>
                      <w:rFonts w:hint="default"/>
                      <w:color w:val="auto"/>
                    </w:rPr>
                  </w:pPr>
                  <w:r>
                    <w:rPr>
                      <w:rFonts w:hint="default"/>
                      <w:color w:val="auto"/>
                    </w:rPr>
                    <w:t>30</w:t>
                  </w:r>
                </w:p>
              </w:tc>
              <w:tc>
                <w:tcPr>
                  <w:tcW w:w="1273" w:type="pct"/>
                  <w:tcBorders>
                    <w:tl2br w:val="nil"/>
                    <w:tr2bl w:val="nil"/>
                  </w:tcBorders>
                </w:tcPr>
                <w:p w14:paraId="3A3E1279">
                  <w:pPr>
                    <w:pStyle w:val="28"/>
                    <w:keepNext w:val="0"/>
                    <w:keepLines w:val="0"/>
                    <w:suppressLineNumbers w:val="0"/>
                    <w:spacing w:before="0" w:beforeAutospacing="0" w:after="0" w:afterAutospacing="0"/>
                    <w:ind w:left="0" w:right="0"/>
                    <w:rPr>
                      <w:rFonts w:hint="default"/>
                    </w:rPr>
                  </w:pPr>
                  <w:r>
                    <w:rPr>
                      <w:rFonts w:hint="eastAsia"/>
                    </w:rPr>
                    <w:t>—</w:t>
                  </w:r>
                </w:p>
              </w:tc>
            </w:tr>
            <w:tr w14:paraId="4DE4F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295B894">
                  <w:pPr>
                    <w:pStyle w:val="27"/>
                    <w:keepNext w:val="0"/>
                    <w:keepLines w:val="0"/>
                    <w:suppressLineNumbers w:val="0"/>
                    <w:spacing w:before="0" w:beforeAutospacing="0" w:after="0" w:afterAutospacing="0"/>
                    <w:ind w:left="0" w:right="0"/>
                    <w:rPr>
                      <w:rFonts w:hint="default"/>
                      <w:color w:val="auto"/>
                    </w:rPr>
                  </w:pPr>
                  <w:r>
                    <w:rPr>
                      <w:rFonts w:hint="default"/>
                      <w:color w:val="auto"/>
                    </w:rPr>
                    <w:t>一氧化碳</w:t>
                  </w:r>
                  <w:r>
                    <w:rPr>
                      <w:rFonts w:hint="default"/>
                      <w:color w:val="auto"/>
                      <w:vertAlign w:val="superscript"/>
                    </w:rPr>
                    <w:t>a</w:t>
                  </w:r>
                  <w:r>
                    <w:rPr>
                      <w:rFonts w:hint="default"/>
                      <w:color w:val="auto"/>
                    </w:rPr>
                    <w:t>(CO)/(μL/L)           ≤</w:t>
                  </w:r>
                </w:p>
              </w:tc>
              <w:tc>
                <w:tcPr>
                  <w:tcW w:w="1290" w:type="pct"/>
                  <w:tcBorders>
                    <w:tl2br w:val="nil"/>
                    <w:tr2bl w:val="nil"/>
                  </w:tcBorders>
                  <w:vAlign w:val="center"/>
                </w:tcPr>
                <w:p w14:paraId="50464D94">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1273" w:type="pct"/>
                  <w:tcBorders>
                    <w:tl2br w:val="nil"/>
                    <w:tr2bl w:val="nil"/>
                  </w:tcBorders>
                </w:tcPr>
                <w:p w14:paraId="48F3BC33">
                  <w:pPr>
                    <w:pStyle w:val="28"/>
                    <w:keepNext w:val="0"/>
                    <w:keepLines w:val="0"/>
                    <w:suppressLineNumbers w:val="0"/>
                    <w:spacing w:before="0" w:beforeAutospacing="0" w:after="0" w:afterAutospacing="0"/>
                    <w:ind w:left="0" w:right="0"/>
                    <w:rPr>
                      <w:rFonts w:hint="default"/>
                    </w:rPr>
                  </w:pPr>
                  <w:r>
                    <w:rPr>
                      <w:rFonts w:hint="eastAsia"/>
                    </w:rPr>
                    <w:t>—</w:t>
                  </w:r>
                </w:p>
              </w:tc>
            </w:tr>
            <w:tr w14:paraId="1563E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9A04A0B">
                  <w:pPr>
                    <w:pStyle w:val="27"/>
                    <w:keepNext w:val="0"/>
                    <w:keepLines w:val="0"/>
                    <w:suppressLineNumbers w:val="0"/>
                    <w:spacing w:before="0" w:beforeAutospacing="0" w:after="0" w:afterAutospacing="0"/>
                    <w:ind w:left="0" w:right="0" w:firstLine="480"/>
                    <w:rPr>
                      <w:rFonts w:hint="default"/>
                      <w:color w:val="auto"/>
                    </w:rPr>
                  </w:pPr>
                  <w:r>
                    <w:rPr>
                      <w:rFonts w:hint="default"/>
                      <w:color w:val="auto"/>
                    </w:rPr>
                    <w:t>油脂/(mg/kg)                   ≤</w:t>
                  </w:r>
                </w:p>
              </w:tc>
              <w:tc>
                <w:tcPr>
                  <w:tcW w:w="1290" w:type="pct"/>
                  <w:tcBorders>
                    <w:tl2br w:val="nil"/>
                    <w:tr2bl w:val="nil"/>
                  </w:tcBorders>
                  <w:vAlign w:val="center"/>
                </w:tcPr>
                <w:p w14:paraId="68868107">
                  <w:pPr>
                    <w:pStyle w:val="27"/>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1273" w:type="pct"/>
                  <w:tcBorders>
                    <w:tl2br w:val="nil"/>
                    <w:tr2bl w:val="nil"/>
                  </w:tcBorders>
                </w:tcPr>
                <w:p w14:paraId="7DED3CF7">
                  <w:pPr>
                    <w:pStyle w:val="27"/>
                    <w:keepNext w:val="0"/>
                    <w:keepLines w:val="0"/>
                    <w:suppressLineNumbers w:val="0"/>
                    <w:spacing w:before="0" w:beforeAutospacing="0" w:after="0" w:afterAutospacing="0"/>
                    <w:ind w:left="0" w:right="0"/>
                    <w:rPr>
                      <w:rFonts w:hint="default"/>
                      <w:color w:val="auto"/>
                    </w:rPr>
                  </w:pPr>
                  <w:r>
                    <w:rPr>
                      <w:rFonts w:hint="eastAsia"/>
                      <w:color w:val="auto"/>
                    </w:rPr>
                    <w:t>1</w:t>
                  </w:r>
                  <w:r>
                    <w:rPr>
                      <w:rFonts w:hint="default"/>
                      <w:color w:val="auto"/>
                    </w:rPr>
                    <w:t>3</w:t>
                  </w:r>
                </w:p>
              </w:tc>
            </w:tr>
            <w:tr w14:paraId="194BE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6BDBCCBF">
                  <w:pPr>
                    <w:pStyle w:val="27"/>
                    <w:keepNext w:val="0"/>
                    <w:keepLines w:val="0"/>
                    <w:suppressLineNumbers w:val="0"/>
                    <w:spacing w:before="0" w:beforeAutospacing="0" w:after="0" w:afterAutospacing="0"/>
                    <w:ind w:left="0" w:right="0"/>
                    <w:rPr>
                      <w:rFonts w:hint="default"/>
                      <w:color w:val="auto"/>
                    </w:rPr>
                  </w:pPr>
                  <w:r>
                    <w:rPr>
                      <w:rFonts w:hint="default"/>
                      <w:color w:val="auto"/>
                    </w:rPr>
                    <w:t>蒸发残渣/(mg/kg)                   ≤</w:t>
                  </w:r>
                </w:p>
              </w:tc>
              <w:tc>
                <w:tcPr>
                  <w:tcW w:w="1290" w:type="pct"/>
                  <w:tcBorders>
                    <w:tl2br w:val="nil"/>
                    <w:tr2bl w:val="nil"/>
                  </w:tcBorders>
                  <w:vAlign w:val="center"/>
                </w:tcPr>
                <w:p w14:paraId="692390A1">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1273" w:type="pct"/>
                  <w:tcBorders>
                    <w:tl2br w:val="nil"/>
                    <w:tr2bl w:val="nil"/>
                  </w:tcBorders>
                </w:tcPr>
                <w:p w14:paraId="2C5AE1EF">
                  <w:pPr>
                    <w:pStyle w:val="27"/>
                    <w:keepNext w:val="0"/>
                    <w:keepLines w:val="0"/>
                    <w:suppressLineNumbers w:val="0"/>
                    <w:spacing w:before="0" w:beforeAutospacing="0" w:after="0" w:afterAutospacing="0"/>
                    <w:ind w:left="0" w:right="0"/>
                    <w:rPr>
                      <w:rFonts w:hint="default"/>
                      <w:color w:val="auto"/>
                    </w:rPr>
                  </w:pPr>
                  <w:r>
                    <w:rPr>
                      <w:rFonts w:hint="eastAsia"/>
                      <w:color w:val="auto"/>
                    </w:rPr>
                    <w:t>2</w:t>
                  </w:r>
                  <w:r>
                    <w:rPr>
                      <w:rFonts w:hint="default"/>
                      <w:color w:val="auto"/>
                    </w:rPr>
                    <w:t>5</w:t>
                  </w:r>
                </w:p>
              </w:tc>
            </w:tr>
            <w:tr w14:paraId="7C341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ADEBD63">
                  <w:pPr>
                    <w:pStyle w:val="27"/>
                    <w:keepNext w:val="0"/>
                    <w:keepLines w:val="0"/>
                    <w:suppressLineNumbers w:val="0"/>
                    <w:spacing w:before="0" w:beforeAutospacing="0" w:after="0" w:afterAutospacing="0"/>
                    <w:ind w:left="0" w:right="0"/>
                    <w:rPr>
                      <w:rFonts w:hint="default"/>
                      <w:color w:val="auto"/>
                    </w:rPr>
                  </w:pPr>
                  <w:r>
                    <w:rPr>
                      <w:rFonts w:hint="default"/>
                      <w:color w:val="auto"/>
                    </w:rPr>
                    <w:t>一氧化氮</w:t>
                  </w:r>
                  <w:r>
                    <w:rPr>
                      <w:rFonts w:hint="default"/>
                      <w:color w:val="auto"/>
                      <w:vertAlign w:val="superscript"/>
                    </w:rPr>
                    <w:t>b</w:t>
                  </w:r>
                  <w:r>
                    <w:rPr>
                      <w:rFonts w:hint="default"/>
                      <w:color w:val="auto"/>
                    </w:rPr>
                    <w:t>(NO)/(μL/L)              ≤</w:t>
                  </w:r>
                </w:p>
              </w:tc>
              <w:tc>
                <w:tcPr>
                  <w:tcW w:w="1290" w:type="pct"/>
                  <w:tcBorders>
                    <w:tl2br w:val="nil"/>
                    <w:tr2bl w:val="nil"/>
                  </w:tcBorders>
                  <w:vAlign w:val="center"/>
                </w:tcPr>
                <w:p w14:paraId="483CC3D3">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c>
                <w:tcPr>
                  <w:tcW w:w="1273" w:type="pct"/>
                  <w:tcBorders>
                    <w:tl2br w:val="nil"/>
                    <w:tr2bl w:val="nil"/>
                  </w:tcBorders>
                  <w:vAlign w:val="center"/>
                </w:tcPr>
                <w:p w14:paraId="375993DF">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r>
            <w:tr w14:paraId="19BB4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5489E2C7">
                  <w:pPr>
                    <w:pStyle w:val="27"/>
                    <w:keepNext w:val="0"/>
                    <w:keepLines w:val="0"/>
                    <w:suppressLineNumbers w:val="0"/>
                    <w:spacing w:before="0" w:beforeAutospacing="0" w:after="0" w:afterAutospacing="0"/>
                    <w:ind w:left="0" w:right="0"/>
                    <w:rPr>
                      <w:rFonts w:hint="default"/>
                      <w:color w:val="auto"/>
                    </w:rPr>
                  </w:pPr>
                  <w:r>
                    <w:rPr>
                      <w:rFonts w:hint="default"/>
                      <w:color w:val="auto"/>
                    </w:rPr>
                    <w:t>二氧化氮</w:t>
                  </w:r>
                  <w:r>
                    <w:rPr>
                      <w:rFonts w:hint="default"/>
                      <w:color w:val="auto"/>
                      <w:vertAlign w:val="superscript"/>
                    </w:rPr>
                    <w:t>c</w:t>
                  </w:r>
                  <w:r>
                    <w:rPr>
                      <w:rFonts w:hint="default"/>
                      <w:color w:val="auto"/>
                    </w:rPr>
                    <w:t>(NO</w:t>
                  </w:r>
                  <w:r>
                    <w:rPr>
                      <w:rFonts w:hint="default"/>
                      <w:color w:val="auto"/>
                      <w:vertAlign w:val="subscript"/>
                    </w:rPr>
                    <w:t>2</w:t>
                  </w:r>
                  <w:r>
                    <w:rPr>
                      <w:rFonts w:hint="default"/>
                      <w:color w:val="auto"/>
                    </w:rPr>
                    <w:t>)/(μL/L)               ≤</w:t>
                  </w:r>
                </w:p>
              </w:tc>
              <w:tc>
                <w:tcPr>
                  <w:tcW w:w="1290" w:type="pct"/>
                  <w:tcBorders>
                    <w:tl2br w:val="nil"/>
                    <w:tr2bl w:val="nil"/>
                  </w:tcBorders>
                  <w:vAlign w:val="center"/>
                </w:tcPr>
                <w:p w14:paraId="7BA0A510">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c>
                <w:tcPr>
                  <w:tcW w:w="1273" w:type="pct"/>
                  <w:tcBorders>
                    <w:tl2br w:val="nil"/>
                    <w:tr2bl w:val="nil"/>
                  </w:tcBorders>
                  <w:vAlign w:val="center"/>
                </w:tcPr>
                <w:p w14:paraId="2516C65C">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r>
            <w:tr w14:paraId="1C150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0F57DF5C">
                  <w:pPr>
                    <w:pStyle w:val="27"/>
                    <w:keepNext w:val="0"/>
                    <w:keepLines w:val="0"/>
                    <w:suppressLineNumbers w:val="0"/>
                    <w:spacing w:before="0" w:beforeAutospacing="0" w:after="0" w:afterAutospacing="0"/>
                    <w:ind w:left="0" w:right="0"/>
                    <w:rPr>
                      <w:rFonts w:hint="default"/>
                      <w:color w:val="auto"/>
                    </w:rPr>
                  </w:pPr>
                  <w:r>
                    <w:rPr>
                      <w:rFonts w:hint="default"/>
                      <w:color w:val="auto"/>
                    </w:rPr>
                    <w:t>二氧化硫</w:t>
                  </w:r>
                  <w:r>
                    <w:rPr>
                      <w:rFonts w:hint="eastAsia"/>
                      <w:color w:val="auto"/>
                    </w:rPr>
                    <w:t>（</w:t>
                  </w:r>
                  <w:r>
                    <w:rPr>
                      <w:rFonts w:hint="default"/>
                      <w:color w:val="auto"/>
                    </w:rPr>
                    <w:t>SO</w:t>
                  </w:r>
                  <w:r>
                    <w:rPr>
                      <w:rFonts w:hint="default"/>
                      <w:color w:val="auto"/>
                      <w:vertAlign w:val="subscript"/>
                    </w:rPr>
                    <w:t>2</w:t>
                  </w:r>
                  <w:r>
                    <w:rPr>
                      <w:rFonts w:hint="eastAsia"/>
                      <w:color w:val="auto"/>
                      <w:vertAlign w:val="subscript"/>
                    </w:rPr>
                    <w:t>）</w:t>
                  </w:r>
                  <w:r>
                    <w:rPr>
                      <w:rFonts w:hint="default"/>
                      <w:color w:val="auto"/>
                    </w:rPr>
                    <w:t>/(μL/L)              ≤</w:t>
                  </w:r>
                </w:p>
              </w:tc>
              <w:tc>
                <w:tcPr>
                  <w:tcW w:w="1290" w:type="pct"/>
                  <w:tcBorders>
                    <w:tl2br w:val="nil"/>
                    <w:tr2bl w:val="nil"/>
                  </w:tcBorders>
                  <w:vAlign w:val="center"/>
                </w:tcPr>
                <w:p w14:paraId="665A6E5A">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1273" w:type="pct"/>
                  <w:tcBorders>
                    <w:tl2br w:val="nil"/>
                    <w:tr2bl w:val="nil"/>
                  </w:tcBorders>
                  <w:vAlign w:val="center"/>
                </w:tcPr>
                <w:p w14:paraId="2CCE885C">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r>
            <w:tr w14:paraId="7834B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64E8E3EF">
                  <w:pPr>
                    <w:pStyle w:val="27"/>
                    <w:keepNext w:val="0"/>
                    <w:keepLines w:val="0"/>
                    <w:suppressLineNumbers w:val="0"/>
                    <w:spacing w:before="0" w:beforeAutospacing="0" w:after="0" w:afterAutospacing="0"/>
                    <w:ind w:left="0" w:right="0"/>
                    <w:rPr>
                      <w:rFonts w:hint="default"/>
                      <w:color w:val="auto"/>
                    </w:rPr>
                  </w:pPr>
                  <w:r>
                    <w:rPr>
                      <w:rFonts w:hint="default"/>
                      <w:color w:val="auto"/>
                    </w:rPr>
                    <w:t>总硫</w:t>
                  </w:r>
                  <w:r>
                    <w:rPr>
                      <w:rFonts w:hint="default"/>
                      <w:color w:val="auto"/>
                      <w:vertAlign w:val="superscript"/>
                    </w:rPr>
                    <w:t>d</w:t>
                  </w:r>
                  <w:r>
                    <w:rPr>
                      <w:rFonts w:hint="eastAsia"/>
                      <w:color w:val="auto"/>
                      <w:vertAlign w:val="superscript"/>
                    </w:rPr>
                    <w:t>（</w:t>
                  </w:r>
                  <w:r>
                    <w:rPr>
                      <w:rFonts w:hint="default"/>
                      <w:color w:val="auto"/>
                    </w:rPr>
                    <w:t>除SO</w:t>
                  </w:r>
                  <w:r>
                    <w:rPr>
                      <w:rFonts w:hint="default"/>
                      <w:color w:val="auto"/>
                      <w:vertAlign w:val="subscript"/>
                    </w:rPr>
                    <w:t>2</w:t>
                  </w:r>
                  <w:r>
                    <w:rPr>
                      <w:rFonts w:hint="default"/>
                      <w:color w:val="auto"/>
                    </w:rPr>
                    <w:t>外</w:t>
                  </w:r>
                  <w:r>
                    <w:rPr>
                      <w:rFonts w:hint="eastAsia"/>
                      <w:color w:val="auto"/>
                    </w:rPr>
                    <w:t>，</w:t>
                  </w:r>
                  <w:r>
                    <w:rPr>
                      <w:rFonts w:hint="default"/>
                      <w:color w:val="auto"/>
                    </w:rPr>
                    <w:t>以S计</w:t>
                  </w:r>
                  <w:r>
                    <w:rPr>
                      <w:rFonts w:hint="eastAsia"/>
                      <w:color w:val="auto"/>
                    </w:rPr>
                    <w:t>）</w:t>
                  </w:r>
                  <w:r>
                    <w:rPr>
                      <w:rFonts w:hint="default"/>
                      <w:color w:val="auto"/>
                    </w:rPr>
                    <w:t>/(μL/L)     ≤</w:t>
                  </w:r>
                </w:p>
              </w:tc>
              <w:tc>
                <w:tcPr>
                  <w:tcW w:w="1290" w:type="pct"/>
                  <w:tcBorders>
                    <w:tl2br w:val="nil"/>
                    <w:tr2bl w:val="nil"/>
                  </w:tcBorders>
                  <w:vAlign w:val="center"/>
                </w:tcPr>
                <w:p w14:paraId="2DAFF326">
                  <w:pPr>
                    <w:pStyle w:val="27"/>
                    <w:keepNext w:val="0"/>
                    <w:keepLines w:val="0"/>
                    <w:suppressLineNumbers w:val="0"/>
                    <w:spacing w:before="0" w:beforeAutospacing="0" w:after="0" w:afterAutospacing="0"/>
                    <w:ind w:left="0" w:right="0"/>
                    <w:rPr>
                      <w:rFonts w:hint="default"/>
                      <w:color w:val="auto"/>
                    </w:rPr>
                  </w:pPr>
                  <w:r>
                    <w:rPr>
                      <w:rFonts w:hint="default"/>
                      <w:color w:val="auto"/>
                    </w:rPr>
                    <w:t>0.1</w:t>
                  </w:r>
                </w:p>
              </w:tc>
              <w:tc>
                <w:tcPr>
                  <w:tcW w:w="1273" w:type="pct"/>
                  <w:tcBorders>
                    <w:tl2br w:val="nil"/>
                    <w:tr2bl w:val="nil"/>
                  </w:tcBorders>
                  <w:vAlign w:val="center"/>
                </w:tcPr>
                <w:p w14:paraId="5851716F">
                  <w:pPr>
                    <w:pStyle w:val="27"/>
                    <w:keepNext w:val="0"/>
                    <w:keepLines w:val="0"/>
                    <w:suppressLineNumbers w:val="0"/>
                    <w:spacing w:before="0" w:beforeAutospacing="0" w:after="0" w:afterAutospacing="0"/>
                    <w:ind w:left="0" w:right="0"/>
                    <w:rPr>
                      <w:rFonts w:hint="default"/>
                      <w:color w:val="auto"/>
                    </w:rPr>
                  </w:pPr>
                  <w:r>
                    <w:rPr>
                      <w:rFonts w:hint="default"/>
                      <w:color w:val="auto"/>
                    </w:rPr>
                    <w:t>0.1</w:t>
                  </w:r>
                </w:p>
              </w:tc>
            </w:tr>
            <w:tr w14:paraId="595D7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731C4967">
                  <w:pPr>
                    <w:pStyle w:val="27"/>
                    <w:keepNext w:val="0"/>
                    <w:keepLines w:val="0"/>
                    <w:suppressLineNumbers w:val="0"/>
                    <w:spacing w:before="0" w:beforeAutospacing="0" w:after="0" w:afterAutospacing="0"/>
                    <w:ind w:left="0" w:right="0"/>
                    <w:rPr>
                      <w:rFonts w:hint="default"/>
                      <w:color w:val="auto"/>
                    </w:rPr>
                  </w:pPr>
                  <w:r>
                    <w:rPr>
                      <w:rFonts w:hint="default"/>
                      <w:color w:val="auto"/>
                    </w:rPr>
                    <w:t>总挥发烃</w:t>
                  </w:r>
                  <w:r>
                    <w:rPr>
                      <w:rFonts w:hint="default"/>
                      <w:color w:val="auto"/>
                      <w:vertAlign w:val="superscript"/>
                    </w:rPr>
                    <w:t>e</w:t>
                  </w:r>
                  <w:r>
                    <w:rPr>
                      <w:rFonts w:hint="eastAsia"/>
                      <w:color w:val="auto"/>
                      <w:vertAlign w:val="superscript"/>
                    </w:rPr>
                    <w:t>（</w:t>
                  </w:r>
                  <w:r>
                    <w:rPr>
                      <w:rFonts w:hint="default"/>
                      <w:color w:val="auto"/>
                    </w:rPr>
                    <w:t>以CH</w:t>
                  </w:r>
                  <w:r>
                    <w:rPr>
                      <w:rFonts w:hint="default"/>
                      <w:color w:val="auto"/>
                      <w:vertAlign w:val="subscript"/>
                    </w:rPr>
                    <w:t>4</w:t>
                  </w:r>
                  <w:r>
                    <w:rPr>
                      <w:rFonts w:hint="default"/>
                      <w:color w:val="auto"/>
                    </w:rPr>
                    <w:t xml:space="preserve"> 计</w:t>
                  </w:r>
                  <w:r>
                    <w:rPr>
                      <w:rFonts w:hint="eastAsia"/>
                      <w:color w:val="auto"/>
                    </w:rPr>
                    <w:t>）</w:t>
                  </w:r>
                  <w:r>
                    <w:rPr>
                      <w:rFonts w:hint="default"/>
                      <w:color w:val="auto"/>
                    </w:rPr>
                    <w:t>/(μL/L)       ≤</w:t>
                  </w:r>
                </w:p>
              </w:tc>
              <w:tc>
                <w:tcPr>
                  <w:tcW w:w="1290" w:type="pct"/>
                  <w:tcBorders>
                    <w:tl2br w:val="nil"/>
                    <w:tr2bl w:val="nil"/>
                  </w:tcBorders>
                  <w:vAlign w:val="center"/>
                </w:tcPr>
                <w:p w14:paraId="3A896221">
                  <w:pPr>
                    <w:pStyle w:val="27"/>
                    <w:keepNext w:val="0"/>
                    <w:keepLines w:val="0"/>
                    <w:suppressLineNumbers w:val="0"/>
                    <w:spacing w:before="0" w:beforeAutospacing="0" w:after="0" w:afterAutospacing="0"/>
                    <w:ind w:left="0" w:right="0"/>
                    <w:rPr>
                      <w:rFonts w:hint="default"/>
                      <w:color w:val="auto"/>
                    </w:rPr>
                  </w:pPr>
                  <w:r>
                    <w:rPr>
                      <w:rFonts w:hint="default"/>
                      <w:color w:val="auto"/>
                    </w:rPr>
                    <w:t>50（其中非甲</w:t>
                  </w:r>
                </w:p>
                <w:p w14:paraId="0D938900">
                  <w:pPr>
                    <w:pStyle w:val="27"/>
                    <w:keepNext w:val="0"/>
                    <w:keepLines w:val="0"/>
                    <w:suppressLineNumbers w:val="0"/>
                    <w:spacing w:before="0" w:beforeAutospacing="0" w:after="0" w:afterAutospacing="0"/>
                    <w:ind w:left="0" w:right="0"/>
                    <w:rPr>
                      <w:rFonts w:hint="default"/>
                      <w:color w:val="auto"/>
                    </w:rPr>
                  </w:pPr>
                  <w:r>
                    <w:rPr>
                      <w:rFonts w:hint="default"/>
                      <w:color w:val="auto"/>
                    </w:rPr>
                    <w:t>烷烃≤20）</w:t>
                  </w:r>
                </w:p>
              </w:tc>
              <w:tc>
                <w:tcPr>
                  <w:tcW w:w="1273" w:type="pct"/>
                  <w:tcBorders>
                    <w:tl2br w:val="nil"/>
                    <w:tr2bl w:val="nil"/>
                  </w:tcBorders>
                  <w:vAlign w:val="center"/>
                </w:tcPr>
                <w:p w14:paraId="00D7A70A">
                  <w:pPr>
                    <w:pStyle w:val="27"/>
                    <w:keepNext w:val="0"/>
                    <w:keepLines w:val="0"/>
                    <w:suppressLineNumbers w:val="0"/>
                    <w:spacing w:before="0" w:beforeAutospacing="0" w:after="0" w:afterAutospacing="0"/>
                    <w:ind w:left="0" w:right="0"/>
                    <w:rPr>
                      <w:rFonts w:hint="default"/>
                      <w:color w:val="auto"/>
                    </w:rPr>
                  </w:pPr>
                  <w:r>
                    <w:rPr>
                      <w:rFonts w:hint="default"/>
                      <w:color w:val="auto"/>
                    </w:rPr>
                    <w:t>50（其中非甲</w:t>
                  </w:r>
                </w:p>
                <w:p w14:paraId="374B22DC">
                  <w:pPr>
                    <w:pStyle w:val="27"/>
                    <w:keepNext w:val="0"/>
                    <w:keepLines w:val="0"/>
                    <w:suppressLineNumbers w:val="0"/>
                    <w:spacing w:before="0" w:beforeAutospacing="0" w:after="0" w:afterAutospacing="0"/>
                    <w:ind w:left="0" w:right="0"/>
                    <w:rPr>
                      <w:rFonts w:hint="default"/>
                      <w:color w:val="auto"/>
                    </w:rPr>
                  </w:pPr>
                  <w:r>
                    <w:rPr>
                      <w:rFonts w:hint="default"/>
                      <w:color w:val="auto"/>
                    </w:rPr>
                    <w:t>烷烃≤20）</w:t>
                  </w:r>
                </w:p>
              </w:tc>
            </w:tr>
            <w:tr w14:paraId="20575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79848F3">
                  <w:pPr>
                    <w:pStyle w:val="27"/>
                    <w:keepNext w:val="0"/>
                    <w:keepLines w:val="0"/>
                    <w:suppressLineNumbers w:val="0"/>
                    <w:spacing w:before="0" w:beforeAutospacing="0" w:after="0" w:afterAutospacing="0"/>
                    <w:ind w:left="0" w:right="0"/>
                    <w:rPr>
                      <w:rFonts w:hint="default"/>
                      <w:color w:val="auto"/>
                    </w:rPr>
                  </w:pPr>
                  <w:r>
                    <w:rPr>
                      <w:rFonts w:hint="default"/>
                      <w:color w:val="auto"/>
                    </w:rPr>
                    <w:t>苯</w:t>
                  </w:r>
                  <w:r>
                    <w:rPr>
                      <w:rFonts w:hint="eastAsia"/>
                      <w:color w:val="auto"/>
                    </w:rPr>
                    <w:t>（</w:t>
                  </w:r>
                  <w:r>
                    <w:rPr>
                      <w:rFonts w:hint="default"/>
                      <w:color w:val="auto"/>
                    </w:rPr>
                    <w:t>C</w:t>
                  </w:r>
                  <w:r>
                    <w:rPr>
                      <w:rFonts w:hint="default"/>
                      <w:color w:val="auto"/>
                      <w:vertAlign w:val="subscript"/>
                    </w:rPr>
                    <w:t>6</w:t>
                  </w:r>
                  <w:r>
                    <w:rPr>
                      <w:rFonts w:hint="default"/>
                      <w:color w:val="auto"/>
                    </w:rPr>
                    <w:t>H</w:t>
                  </w:r>
                  <w:r>
                    <w:rPr>
                      <w:rFonts w:hint="default"/>
                      <w:color w:val="auto"/>
                      <w:vertAlign w:val="subscript"/>
                    </w:rPr>
                    <w:t>6</w:t>
                  </w:r>
                  <w:r>
                    <w:rPr>
                      <w:rFonts w:hint="eastAsia"/>
                      <w:color w:val="auto"/>
                      <w:vertAlign w:val="subscript"/>
                    </w:rPr>
                    <w:t>）</w:t>
                  </w:r>
                  <w:r>
                    <w:rPr>
                      <w:rFonts w:hint="default"/>
                      <w:color w:val="auto"/>
                    </w:rPr>
                    <w:t>/(μL/L)                   ≤</w:t>
                  </w:r>
                </w:p>
              </w:tc>
              <w:tc>
                <w:tcPr>
                  <w:tcW w:w="1290" w:type="pct"/>
                  <w:tcBorders>
                    <w:tl2br w:val="nil"/>
                    <w:tr2bl w:val="nil"/>
                  </w:tcBorders>
                  <w:vAlign w:val="center"/>
                </w:tcPr>
                <w:p w14:paraId="738435B4">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c>
                <w:tcPr>
                  <w:tcW w:w="1273" w:type="pct"/>
                  <w:tcBorders>
                    <w:tl2br w:val="nil"/>
                    <w:tr2bl w:val="nil"/>
                  </w:tcBorders>
                  <w:vAlign w:val="center"/>
                </w:tcPr>
                <w:p w14:paraId="362FF3D5">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14:paraId="3A049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1BE75F58">
                  <w:pPr>
                    <w:pStyle w:val="27"/>
                    <w:keepNext w:val="0"/>
                    <w:keepLines w:val="0"/>
                    <w:suppressLineNumbers w:val="0"/>
                    <w:spacing w:before="0" w:beforeAutospacing="0" w:after="0" w:afterAutospacing="0"/>
                    <w:ind w:left="0" w:right="0"/>
                    <w:rPr>
                      <w:rFonts w:hint="default"/>
                      <w:color w:val="auto"/>
                    </w:rPr>
                  </w:pPr>
                  <w:r>
                    <w:rPr>
                      <w:rFonts w:hint="default"/>
                      <w:color w:val="auto"/>
                    </w:rPr>
                    <w:t>甲醇</w:t>
                  </w:r>
                  <w:r>
                    <w:rPr>
                      <w:rFonts w:hint="eastAsia"/>
                      <w:color w:val="auto"/>
                    </w:rPr>
                    <w:t>（</w:t>
                  </w:r>
                  <w:r>
                    <w:rPr>
                      <w:rFonts w:hint="default"/>
                      <w:color w:val="auto"/>
                    </w:rPr>
                    <w:t>CH</w:t>
                  </w:r>
                  <w:r>
                    <w:rPr>
                      <w:rFonts w:hint="default"/>
                      <w:color w:val="auto"/>
                      <w:vertAlign w:val="subscript"/>
                    </w:rPr>
                    <w:t>3</w:t>
                  </w:r>
                  <w:r>
                    <w:rPr>
                      <w:rFonts w:hint="default"/>
                      <w:color w:val="auto"/>
                    </w:rPr>
                    <w:t>OH</w:t>
                  </w:r>
                  <w:r>
                    <w:rPr>
                      <w:rFonts w:hint="eastAsia"/>
                      <w:color w:val="auto"/>
                    </w:rPr>
                    <w:t>）</w:t>
                  </w:r>
                  <w:r>
                    <w:rPr>
                      <w:rFonts w:hint="default"/>
                      <w:color w:val="auto"/>
                    </w:rPr>
                    <w:t>/(μL/L)           ≤</w:t>
                  </w:r>
                </w:p>
              </w:tc>
              <w:tc>
                <w:tcPr>
                  <w:tcW w:w="1290" w:type="pct"/>
                  <w:tcBorders>
                    <w:tl2br w:val="nil"/>
                    <w:tr2bl w:val="nil"/>
                  </w:tcBorders>
                  <w:vAlign w:val="center"/>
                </w:tcPr>
                <w:p w14:paraId="55E879AC">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1273" w:type="pct"/>
                  <w:tcBorders>
                    <w:tl2br w:val="nil"/>
                    <w:tr2bl w:val="nil"/>
                  </w:tcBorders>
                  <w:vAlign w:val="center"/>
                </w:tcPr>
                <w:p w14:paraId="7B87C52B">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r>
            <w:tr w14:paraId="667B8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77691ACD">
                  <w:pPr>
                    <w:pStyle w:val="27"/>
                    <w:keepNext w:val="0"/>
                    <w:keepLines w:val="0"/>
                    <w:suppressLineNumbers w:val="0"/>
                    <w:spacing w:before="0" w:beforeAutospacing="0" w:after="0" w:afterAutospacing="0"/>
                    <w:ind w:left="0" w:right="0"/>
                    <w:rPr>
                      <w:rFonts w:hint="default"/>
                      <w:color w:val="auto"/>
                    </w:rPr>
                  </w:pPr>
                  <w:r>
                    <w:rPr>
                      <w:rFonts w:hint="default"/>
                      <w:color w:val="auto"/>
                    </w:rPr>
                    <w:t>乙醛</w:t>
                  </w:r>
                  <w:r>
                    <w:rPr>
                      <w:rFonts w:hint="eastAsia"/>
                      <w:color w:val="auto"/>
                    </w:rPr>
                    <w:t>（</w:t>
                  </w:r>
                  <w:r>
                    <w:rPr>
                      <w:rFonts w:hint="default"/>
                      <w:color w:val="auto"/>
                    </w:rPr>
                    <w:t>CH</w:t>
                  </w:r>
                  <w:r>
                    <w:rPr>
                      <w:rFonts w:hint="default"/>
                      <w:color w:val="auto"/>
                      <w:vertAlign w:val="subscript"/>
                    </w:rPr>
                    <w:t>3</w:t>
                  </w:r>
                  <w:r>
                    <w:rPr>
                      <w:rFonts w:hint="default"/>
                      <w:color w:val="auto"/>
                    </w:rPr>
                    <w:t>CHO</w:t>
                  </w:r>
                  <w:r>
                    <w:rPr>
                      <w:rFonts w:hint="eastAsia"/>
                      <w:color w:val="auto"/>
                    </w:rPr>
                    <w:t>）</w:t>
                  </w:r>
                  <w:r>
                    <w:rPr>
                      <w:rFonts w:hint="default"/>
                      <w:color w:val="auto"/>
                    </w:rPr>
                    <w:t>/(μL/L)     ≤</w:t>
                  </w:r>
                </w:p>
              </w:tc>
              <w:tc>
                <w:tcPr>
                  <w:tcW w:w="1290" w:type="pct"/>
                  <w:tcBorders>
                    <w:tl2br w:val="nil"/>
                    <w:tr2bl w:val="nil"/>
                  </w:tcBorders>
                  <w:vAlign w:val="center"/>
                </w:tcPr>
                <w:p w14:paraId="41F0FBF7">
                  <w:pPr>
                    <w:pStyle w:val="27"/>
                    <w:keepNext w:val="0"/>
                    <w:keepLines w:val="0"/>
                    <w:suppressLineNumbers w:val="0"/>
                    <w:spacing w:before="0" w:beforeAutospacing="0" w:after="0" w:afterAutospacing="0"/>
                    <w:ind w:left="0" w:right="0"/>
                    <w:rPr>
                      <w:rFonts w:hint="default"/>
                      <w:color w:val="auto"/>
                    </w:rPr>
                  </w:pPr>
                  <w:r>
                    <w:rPr>
                      <w:rFonts w:hint="default"/>
                      <w:color w:val="auto"/>
                    </w:rPr>
                    <w:t>0.2</w:t>
                  </w:r>
                </w:p>
              </w:tc>
              <w:tc>
                <w:tcPr>
                  <w:tcW w:w="1273" w:type="pct"/>
                  <w:tcBorders>
                    <w:tl2br w:val="nil"/>
                    <w:tr2bl w:val="nil"/>
                  </w:tcBorders>
                  <w:vAlign w:val="center"/>
                </w:tcPr>
                <w:p w14:paraId="44A34C08">
                  <w:pPr>
                    <w:pStyle w:val="27"/>
                    <w:keepNext w:val="0"/>
                    <w:keepLines w:val="0"/>
                    <w:suppressLineNumbers w:val="0"/>
                    <w:spacing w:before="0" w:beforeAutospacing="0" w:after="0" w:afterAutospacing="0"/>
                    <w:ind w:left="0" w:right="0"/>
                    <w:rPr>
                      <w:rFonts w:hint="default"/>
                      <w:color w:val="auto"/>
                    </w:rPr>
                  </w:pPr>
                  <w:r>
                    <w:rPr>
                      <w:rFonts w:hint="default"/>
                      <w:color w:val="auto"/>
                    </w:rPr>
                    <w:t>0.2</w:t>
                  </w:r>
                </w:p>
              </w:tc>
            </w:tr>
            <w:tr w14:paraId="526F5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E4FEB2B">
                  <w:pPr>
                    <w:pStyle w:val="27"/>
                    <w:keepNext w:val="0"/>
                    <w:keepLines w:val="0"/>
                    <w:suppressLineNumbers w:val="0"/>
                    <w:spacing w:before="0" w:beforeAutospacing="0" w:after="0" w:afterAutospacing="0"/>
                    <w:ind w:left="0" w:right="0"/>
                    <w:rPr>
                      <w:rFonts w:hint="default"/>
                      <w:color w:val="auto"/>
                    </w:rPr>
                  </w:pPr>
                  <w:r>
                    <w:rPr>
                      <w:rFonts w:hint="default"/>
                      <w:color w:val="auto"/>
                    </w:rPr>
                    <w:t>环氧乙烷</w:t>
                  </w:r>
                  <w:r>
                    <w:rPr>
                      <w:rFonts w:hint="default"/>
                      <w:color w:val="auto"/>
                      <w:vertAlign w:val="superscript"/>
                    </w:rPr>
                    <w:t>f</w:t>
                  </w:r>
                  <w:r>
                    <w:rPr>
                      <w:rFonts w:hint="default"/>
                      <w:color w:val="auto"/>
                    </w:rPr>
                    <w:t>(CH</w:t>
                  </w:r>
                  <w:r>
                    <w:rPr>
                      <w:rFonts w:hint="default"/>
                      <w:color w:val="auto"/>
                      <w:vertAlign w:val="subscript"/>
                    </w:rPr>
                    <w:t>2</w:t>
                  </w:r>
                  <w:r>
                    <w:rPr>
                      <w:rFonts w:hint="default"/>
                      <w:color w:val="auto"/>
                    </w:rPr>
                    <w:t>CH</w:t>
                  </w:r>
                  <w:r>
                    <w:rPr>
                      <w:rFonts w:hint="default"/>
                      <w:color w:val="auto"/>
                      <w:vertAlign w:val="subscript"/>
                    </w:rPr>
                    <w:t>2</w:t>
                  </w:r>
                  <w:r>
                    <w:rPr>
                      <w:rFonts w:hint="default"/>
                      <w:color w:val="auto"/>
                    </w:rPr>
                    <w:t>O)/(μL/L)    ≤</w:t>
                  </w:r>
                </w:p>
              </w:tc>
              <w:tc>
                <w:tcPr>
                  <w:tcW w:w="1290" w:type="pct"/>
                  <w:tcBorders>
                    <w:tl2br w:val="nil"/>
                    <w:tr2bl w:val="nil"/>
                  </w:tcBorders>
                  <w:vAlign w:val="center"/>
                </w:tcPr>
                <w:p w14:paraId="756E5728">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1273" w:type="pct"/>
                  <w:tcBorders>
                    <w:tl2br w:val="nil"/>
                    <w:tr2bl w:val="nil"/>
                  </w:tcBorders>
                  <w:vAlign w:val="center"/>
                </w:tcPr>
                <w:p w14:paraId="0150A769">
                  <w:pPr>
                    <w:pStyle w:val="27"/>
                    <w:keepNext w:val="0"/>
                    <w:keepLines w:val="0"/>
                    <w:suppressLineNumbers w:val="0"/>
                    <w:spacing w:before="0" w:beforeAutospacing="0" w:after="0" w:afterAutospacing="0"/>
                    <w:ind w:left="0" w:right="0"/>
                    <w:rPr>
                      <w:rFonts w:hint="default"/>
                      <w:color w:val="auto"/>
                    </w:rPr>
                  </w:pPr>
                  <w:r>
                    <w:rPr>
                      <w:rFonts w:hint="default"/>
                      <w:color w:val="auto"/>
                    </w:rPr>
                    <w:t>1.0</w:t>
                  </w:r>
                </w:p>
              </w:tc>
            </w:tr>
            <w:tr w14:paraId="04BD5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0D513EF4">
                  <w:pPr>
                    <w:pStyle w:val="27"/>
                    <w:keepNext w:val="0"/>
                    <w:keepLines w:val="0"/>
                    <w:suppressLineNumbers w:val="0"/>
                    <w:spacing w:before="0" w:beforeAutospacing="0" w:after="0" w:afterAutospacing="0"/>
                    <w:ind w:left="0" w:right="0"/>
                    <w:rPr>
                      <w:rFonts w:hint="default"/>
                      <w:color w:val="auto"/>
                    </w:rPr>
                  </w:pPr>
                  <w:r>
                    <w:rPr>
                      <w:rFonts w:hint="default"/>
                      <w:color w:val="auto"/>
                    </w:rPr>
                    <w:t>氯乙烯</w:t>
                  </w:r>
                  <w:r>
                    <w:rPr>
                      <w:rFonts w:hint="eastAsia"/>
                      <w:color w:val="auto"/>
                    </w:rPr>
                    <w:t>（</w:t>
                  </w:r>
                  <w:r>
                    <w:rPr>
                      <w:rFonts w:hint="default"/>
                      <w:color w:val="auto"/>
                    </w:rPr>
                    <w:t>CH</w:t>
                  </w:r>
                  <w:r>
                    <w:rPr>
                      <w:rFonts w:hint="default"/>
                      <w:color w:val="auto"/>
                      <w:vertAlign w:val="subscript"/>
                    </w:rPr>
                    <w:t>2</w:t>
                  </w:r>
                  <w:r>
                    <w:rPr>
                      <w:rFonts w:hint="default"/>
                      <w:color w:val="auto"/>
                    </w:rPr>
                    <w:t>CHCl</w:t>
                  </w:r>
                  <w:r>
                    <w:rPr>
                      <w:rFonts w:hint="eastAsia"/>
                      <w:color w:val="auto"/>
                    </w:rPr>
                    <w:t>）</w:t>
                  </w:r>
                  <w:r>
                    <w:rPr>
                      <w:rFonts w:hint="default"/>
                      <w:color w:val="auto"/>
                    </w:rPr>
                    <w:t>/(μL/L)   ≤</w:t>
                  </w:r>
                </w:p>
              </w:tc>
              <w:tc>
                <w:tcPr>
                  <w:tcW w:w="1290" w:type="pct"/>
                  <w:tcBorders>
                    <w:tl2br w:val="nil"/>
                    <w:tr2bl w:val="nil"/>
                  </w:tcBorders>
                  <w:vAlign w:val="center"/>
                </w:tcPr>
                <w:p w14:paraId="0FA863AC">
                  <w:pPr>
                    <w:pStyle w:val="27"/>
                    <w:keepNext w:val="0"/>
                    <w:keepLines w:val="0"/>
                    <w:suppressLineNumbers w:val="0"/>
                    <w:spacing w:before="0" w:beforeAutospacing="0" w:after="0" w:afterAutospacing="0"/>
                    <w:ind w:left="0" w:right="0"/>
                    <w:rPr>
                      <w:rFonts w:hint="default"/>
                      <w:color w:val="auto"/>
                    </w:rPr>
                  </w:pPr>
                  <w:r>
                    <w:rPr>
                      <w:rFonts w:hint="default"/>
                      <w:color w:val="auto"/>
                    </w:rPr>
                    <w:t>0.3</w:t>
                  </w:r>
                </w:p>
              </w:tc>
              <w:tc>
                <w:tcPr>
                  <w:tcW w:w="1273" w:type="pct"/>
                  <w:tcBorders>
                    <w:tl2br w:val="nil"/>
                    <w:tr2bl w:val="nil"/>
                  </w:tcBorders>
                  <w:vAlign w:val="center"/>
                </w:tcPr>
                <w:p w14:paraId="1BFABAAA">
                  <w:pPr>
                    <w:pStyle w:val="27"/>
                    <w:keepNext w:val="0"/>
                    <w:keepLines w:val="0"/>
                    <w:suppressLineNumbers w:val="0"/>
                    <w:spacing w:before="0" w:beforeAutospacing="0" w:after="0" w:afterAutospacing="0"/>
                    <w:ind w:left="0" w:right="0"/>
                    <w:rPr>
                      <w:rFonts w:hint="default"/>
                      <w:color w:val="auto"/>
                    </w:rPr>
                  </w:pPr>
                  <w:r>
                    <w:rPr>
                      <w:rFonts w:hint="default"/>
                      <w:color w:val="auto"/>
                    </w:rPr>
                    <w:t>0.3</w:t>
                  </w:r>
                </w:p>
              </w:tc>
            </w:tr>
            <w:tr w14:paraId="1A414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4CC6069B">
                  <w:pPr>
                    <w:pStyle w:val="27"/>
                    <w:keepNext w:val="0"/>
                    <w:keepLines w:val="0"/>
                    <w:suppressLineNumbers w:val="0"/>
                    <w:spacing w:before="0" w:beforeAutospacing="0" w:after="0" w:afterAutospacing="0"/>
                    <w:ind w:left="0" w:right="0"/>
                    <w:rPr>
                      <w:rFonts w:hint="default"/>
                      <w:color w:val="auto"/>
                    </w:rPr>
                  </w:pPr>
                  <w:r>
                    <w:rPr>
                      <w:rFonts w:hint="default"/>
                      <w:color w:val="auto"/>
                    </w:rPr>
                    <w:t>氨</w:t>
                  </w:r>
                  <w:r>
                    <w:rPr>
                      <w:rFonts w:hint="eastAsia"/>
                      <w:color w:val="auto"/>
                    </w:rPr>
                    <w:t>（</w:t>
                  </w:r>
                  <w:r>
                    <w:rPr>
                      <w:rFonts w:hint="default"/>
                      <w:color w:val="auto"/>
                    </w:rPr>
                    <w:t>NH</w:t>
                  </w:r>
                  <w:r>
                    <w:rPr>
                      <w:rFonts w:hint="default"/>
                      <w:color w:val="auto"/>
                      <w:vertAlign w:val="subscript"/>
                    </w:rPr>
                    <w:t>3</w:t>
                  </w:r>
                  <w:r>
                    <w:rPr>
                      <w:rFonts w:hint="eastAsia"/>
                      <w:color w:val="auto"/>
                      <w:vertAlign w:val="subscript"/>
                    </w:rPr>
                    <w:t>）</w:t>
                  </w:r>
                  <w:r>
                    <w:rPr>
                      <w:rFonts w:hint="default"/>
                      <w:color w:val="auto"/>
                    </w:rPr>
                    <w:t>/(μL/L)       ≤</w:t>
                  </w:r>
                </w:p>
              </w:tc>
              <w:tc>
                <w:tcPr>
                  <w:tcW w:w="1290" w:type="pct"/>
                  <w:tcBorders>
                    <w:tl2br w:val="nil"/>
                    <w:tr2bl w:val="nil"/>
                  </w:tcBorders>
                  <w:vAlign w:val="center"/>
                </w:tcPr>
                <w:p w14:paraId="1C03E803">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c>
                <w:tcPr>
                  <w:tcW w:w="1273" w:type="pct"/>
                  <w:tcBorders>
                    <w:tl2br w:val="nil"/>
                    <w:tr2bl w:val="nil"/>
                  </w:tcBorders>
                  <w:vAlign w:val="center"/>
                </w:tcPr>
                <w:p w14:paraId="0ABF8CB2">
                  <w:pPr>
                    <w:pStyle w:val="27"/>
                    <w:keepNext w:val="0"/>
                    <w:keepLines w:val="0"/>
                    <w:suppressLineNumbers w:val="0"/>
                    <w:spacing w:before="0" w:beforeAutospacing="0" w:after="0" w:afterAutospacing="0"/>
                    <w:ind w:left="0" w:right="0"/>
                    <w:rPr>
                      <w:rFonts w:hint="default"/>
                      <w:color w:val="auto"/>
                    </w:rPr>
                  </w:pPr>
                  <w:r>
                    <w:rPr>
                      <w:rFonts w:hint="default"/>
                      <w:color w:val="auto"/>
                    </w:rPr>
                    <w:t>2.5</w:t>
                  </w:r>
                </w:p>
              </w:tc>
            </w:tr>
            <w:tr w14:paraId="2E2FF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14:paraId="23C437FE">
                  <w:pPr>
                    <w:pStyle w:val="27"/>
                    <w:keepNext w:val="0"/>
                    <w:keepLines w:val="0"/>
                    <w:suppressLineNumbers w:val="0"/>
                    <w:spacing w:before="0" w:beforeAutospacing="0" w:after="0" w:afterAutospacing="0"/>
                    <w:ind w:left="0" w:right="0"/>
                    <w:rPr>
                      <w:rFonts w:hint="default"/>
                      <w:color w:val="auto"/>
                    </w:rPr>
                  </w:pPr>
                  <w:r>
                    <w:rPr>
                      <w:rFonts w:hint="default"/>
                      <w:color w:val="auto"/>
                    </w:rPr>
                    <w:t>氰化氢</w:t>
                  </w:r>
                  <w:r>
                    <w:rPr>
                      <w:rFonts w:hint="default"/>
                      <w:color w:val="auto"/>
                      <w:vertAlign w:val="superscript"/>
                    </w:rPr>
                    <w:t>g</w:t>
                  </w:r>
                  <w:r>
                    <w:rPr>
                      <w:rFonts w:hint="default"/>
                      <w:color w:val="auto"/>
                    </w:rPr>
                    <w:t>(HCN)/(μL/L)     ≤</w:t>
                  </w:r>
                </w:p>
              </w:tc>
              <w:tc>
                <w:tcPr>
                  <w:tcW w:w="1290" w:type="pct"/>
                  <w:tcBorders>
                    <w:tl2br w:val="nil"/>
                    <w:tr2bl w:val="nil"/>
                  </w:tcBorders>
                  <w:vAlign w:val="center"/>
                </w:tcPr>
                <w:p w14:paraId="7044FD09">
                  <w:pPr>
                    <w:pStyle w:val="27"/>
                    <w:keepNext w:val="0"/>
                    <w:keepLines w:val="0"/>
                    <w:suppressLineNumbers w:val="0"/>
                    <w:spacing w:before="0" w:beforeAutospacing="0" w:after="0" w:afterAutospacing="0"/>
                    <w:ind w:left="0" w:right="0"/>
                    <w:rPr>
                      <w:rFonts w:hint="default"/>
                      <w:color w:val="auto"/>
                    </w:rPr>
                  </w:pPr>
                  <w:r>
                    <w:rPr>
                      <w:rFonts w:hint="default"/>
                      <w:color w:val="auto"/>
                    </w:rPr>
                    <w:t>0.5</w:t>
                  </w:r>
                </w:p>
              </w:tc>
              <w:tc>
                <w:tcPr>
                  <w:tcW w:w="1273" w:type="pct"/>
                  <w:tcBorders>
                    <w:tl2br w:val="nil"/>
                    <w:tr2bl w:val="nil"/>
                  </w:tcBorders>
                  <w:vAlign w:val="center"/>
                </w:tcPr>
                <w:p w14:paraId="12919EA4">
                  <w:pPr>
                    <w:pStyle w:val="27"/>
                    <w:keepNext w:val="0"/>
                    <w:keepLines w:val="0"/>
                    <w:suppressLineNumbers w:val="0"/>
                    <w:spacing w:before="0" w:beforeAutospacing="0" w:after="0" w:afterAutospacing="0"/>
                    <w:ind w:left="0" w:right="0"/>
                    <w:rPr>
                      <w:rFonts w:hint="default"/>
                      <w:color w:val="auto"/>
                    </w:rPr>
                  </w:pPr>
                  <w:r>
                    <w:rPr>
                      <w:rFonts w:hint="default"/>
                      <w:color w:val="auto"/>
                    </w:rPr>
                    <w:t>0.5</w:t>
                  </w:r>
                </w:p>
              </w:tc>
            </w:tr>
            <w:tr w14:paraId="4F95F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3D7F5941">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a 以乙烯催化氧化、酒精发酵工艺副产的原料气生产的二氧化碳不检测该指标。</w:t>
                  </w:r>
                </w:p>
                <w:p w14:paraId="771CCDEB">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b 以乙烯催化氧化工艺副产的原料气生产的二氧化碳不检测该指标。</w:t>
                  </w:r>
                </w:p>
                <w:p w14:paraId="6FAAF275">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c 以乙烯催化氧化工艺副产的原料气生产的二氧化碳不检测该指标。</w:t>
                  </w:r>
                </w:p>
                <w:p w14:paraId="3108C903">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d 当总硫测定结果不超过0.1μL/L时</w:t>
                  </w:r>
                  <w:r>
                    <w:rPr>
                      <w:rFonts w:hint="eastAsia"/>
                      <w:color w:val="auto"/>
                    </w:rPr>
                    <w:t>，</w:t>
                  </w:r>
                  <w:r>
                    <w:rPr>
                      <w:rFonts w:hint="default"/>
                      <w:color w:val="auto"/>
                    </w:rPr>
                    <w:t>不进行总硫</w:t>
                  </w:r>
                  <w:r>
                    <w:rPr>
                      <w:rFonts w:hint="eastAsia"/>
                      <w:color w:val="auto"/>
                    </w:rPr>
                    <w:t>（</w:t>
                  </w:r>
                  <w:r>
                    <w:rPr>
                      <w:rFonts w:hint="default"/>
                      <w:color w:val="auto"/>
                    </w:rPr>
                    <w:t>除SO</w:t>
                  </w:r>
                  <w:r>
                    <w:rPr>
                      <w:rFonts w:hint="default"/>
                      <w:color w:val="auto"/>
                      <w:vertAlign w:val="subscript"/>
                    </w:rPr>
                    <w:t>2</w:t>
                  </w:r>
                  <w:r>
                    <w:rPr>
                      <w:rFonts w:hint="default"/>
                      <w:color w:val="auto"/>
                    </w:rPr>
                    <w:t>外</w:t>
                  </w:r>
                  <w:r>
                    <w:rPr>
                      <w:rFonts w:hint="eastAsia"/>
                      <w:color w:val="auto"/>
                    </w:rPr>
                    <w:t>，</w:t>
                  </w:r>
                  <w:r>
                    <w:rPr>
                      <w:rFonts w:hint="default"/>
                      <w:color w:val="auto"/>
                    </w:rPr>
                    <w:t>以S计</w:t>
                  </w:r>
                  <w:r>
                    <w:rPr>
                      <w:rFonts w:hint="eastAsia"/>
                      <w:color w:val="auto"/>
                    </w:rPr>
                    <w:t>）</w:t>
                  </w:r>
                  <w:r>
                    <w:rPr>
                      <w:rFonts w:hint="default"/>
                      <w:color w:val="auto"/>
                    </w:rPr>
                    <w:t>及二氧化硫</w:t>
                  </w:r>
                  <w:r>
                    <w:rPr>
                      <w:rFonts w:hint="eastAsia"/>
                      <w:color w:val="auto"/>
                    </w:rPr>
                    <w:t>（</w:t>
                  </w:r>
                  <w:r>
                    <w:rPr>
                      <w:rFonts w:hint="default"/>
                      <w:color w:val="auto"/>
                    </w:rPr>
                    <w:t>SO</w:t>
                  </w:r>
                  <w:r>
                    <w:rPr>
                      <w:rFonts w:hint="default"/>
                      <w:color w:val="auto"/>
                      <w:vertAlign w:val="subscript"/>
                    </w:rPr>
                    <w:t>2</w:t>
                  </w:r>
                  <w:r>
                    <w:rPr>
                      <w:rFonts w:hint="eastAsia"/>
                      <w:color w:val="auto"/>
                      <w:vertAlign w:val="subscript"/>
                    </w:rPr>
                    <w:t>）</w:t>
                  </w:r>
                  <w:r>
                    <w:rPr>
                      <w:rFonts w:hint="default"/>
                      <w:color w:val="auto"/>
                    </w:rPr>
                    <w:t>项目的测定。</w:t>
                  </w:r>
                </w:p>
                <w:p w14:paraId="256F7556">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e 当总挥发性烃</w:t>
                  </w:r>
                  <w:r>
                    <w:rPr>
                      <w:rFonts w:hint="eastAsia"/>
                      <w:color w:val="auto"/>
                    </w:rPr>
                    <w:t>（</w:t>
                  </w:r>
                  <w:r>
                    <w:rPr>
                      <w:rFonts w:hint="default"/>
                      <w:color w:val="auto"/>
                    </w:rPr>
                    <w:t>以CH</w:t>
                  </w:r>
                  <w:r>
                    <w:rPr>
                      <w:rFonts w:hint="default"/>
                      <w:color w:val="auto"/>
                      <w:vertAlign w:val="subscript"/>
                    </w:rPr>
                    <w:t>4</w:t>
                  </w:r>
                  <w:r>
                    <w:rPr>
                      <w:rFonts w:hint="default"/>
                      <w:color w:val="auto"/>
                    </w:rPr>
                    <w:t xml:space="preserve"> 计</w:t>
                  </w:r>
                  <w:r>
                    <w:rPr>
                      <w:rFonts w:hint="eastAsia"/>
                      <w:color w:val="auto"/>
                    </w:rPr>
                    <w:t>）</w:t>
                  </w:r>
                  <w:r>
                    <w:rPr>
                      <w:rFonts w:hint="default"/>
                      <w:color w:val="auto"/>
                    </w:rPr>
                    <w:t>测定结果不超过20μL/L时</w:t>
                  </w:r>
                  <w:r>
                    <w:rPr>
                      <w:rFonts w:hint="eastAsia"/>
                      <w:color w:val="auto"/>
                    </w:rPr>
                    <w:t>，</w:t>
                  </w:r>
                  <w:r>
                    <w:rPr>
                      <w:rFonts w:hint="default"/>
                      <w:color w:val="auto"/>
                    </w:rPr>
                    <w:t>不进行非甲烷烃项目的测定。</w:t>
                  </w:r>
                </w:p>
                <w:p w14:paraId="2F5F01EF">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f 仅乙烯催化氧化工艺副产的原料气生产的二氧化碳检测该指标。</w:t>
                  </w:r>
                </w:p>
                <w:p w14:paraId="54FCD2D7">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g 仅煤气化工艺副产的原料气生产的二氧化碳检测该指标。</w:t>
                  </w:r>
                </w:p>
              </w:tc>
            </w:tr>
          </w:tbl>
          <w:p w14:paraId="62744984">
            <w:pPr>
              <w:pStyle w:val="34"/>
              <w:keepNext w:val="0"/>
              <w:keepLines w:val="0"/>
              <w:numPr>
                <w:ilvl w:val="0"/>
                <w:numId w:val="0"/>
              </w:numPr>
              <w:suppressLineNumbers w:val="0"/>
              <w:spacing w:before="0" w:beforeAutospacing="0" w:after="0" w:afterAutospacing="0"/>
              <w:ind w:left="0" w:right="0"/>
              <w:jc w:val="both"/>
              <w:rPr>
                <w:rFonts w:hint="default"/>
                <w:color w:val="auto"/>
              </w:rPr>
            </w:pPr>
          </w:p>
          <w:p w14:paraId="2B77AF53">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2.1.5项目组成</w:t>
            </w:r>
          </w:p>
          <w:p w14:paraId="0486991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新建生产车间和干冰车间各1栋，并配套建设研发楼、消防泵房、食品级硫磺仓库、矩形料仓、罐区、LNG充装撬、脱盐水制备站、二氧化碳装卸站、初期雨水池、事故应急池等辅助工程、公用工程、环保工程、储运工程等。具体建设内容见</w:t>
            </w:r>
            <w:r>
              <w:rPr>
                <w:rFonts w:hint="default" w:cs="Times New Roman"/>
                <w:color w:val="auto"/>
              </w:rPr>
              <w:fldChar w:fldCharType="begin"/>
            </w:r>
            <w:r>
              <w:rPr>
                <w:rFonts w:hint="default" w:cs="Times New Roman"/>
                <w:color w:val="auto"/>
              </w:rPr>
              <w:instrText xml:space="preserve"> REF _Ref32303 \n \h </w:instrText>
            </w:r>
            <w:r>
              <w:rPr>
                <w:rFonts w:hint="default" w:cs="Times New Roman"/>
                <w:color w:val="auto"/>
              </w:rPr>
              <w:fldChar w:fldCharType="separate"/>
            </w:r>
            <w:r>
              <w:rPr>
                <w:rFonts w:hint="eastAsia" w:cs="Times New Roman"/>
                <w:color w:val="auto"/>
              </w:rPr>
              <w:t xml:space="preserve">表2-8 </w:t>
            </w:r>
            <w:r>
              <w:rPr>
                <w:rFonts w:hint="default" w:cs="Times New Roman"/>
                <w:color w:val="auto"/>
              </w:rPr>
              <w:fldChar w:fldCharType="end"/>
            </w:r>
            <w:r>
              <w:rPr>
                <w:rFonts w:hint="default" w:cs="Times New Roman"/>
                <w:color w:val="auto"/>
              </w:rPr>
              <w:t>：</w:t>
            </w:r>
          </w:p>
          <w:p w14:paraId="4F4D9DAA">
            <w:pPr>
              <w:pStyle w:val="34"/>
              <w:keepNext w:val="0"/>
              <w:keepLines w:val="0"/>
              <w:suppressLineNumbers w:val="0"/>
              <w:spacing w:before="0" w:beforeAutospacing="0" w:after="0" w:afterAutospacing="0"/>
              <w:ind w:left="0" w:right="0"/>
              <w:rPr>
                <w:rFonts w:hint="default"/>
                <w:color w:val="auto"/>
              </w:rPr>
            </w:pPr>
            <w:bookmarkStart w:id="68" w:name="_Ref32303"/>
            <w:r>
              <w:rPr>
                <w:rFonts w:hint="default"/>
                <w:color w:val="auto"/>
              </w:rPr>
              <w:t>项目建设内容及规模一览表</w:t>
            </w:r>
            <w:bookmarkEnd w:id="68"/>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51"/>
              <w:gridCol w:w="733"/>
              <w:gridCol w:w="3134"/>
              <w:gridCol w:w="957"/>
              <w:gridCol w:w="1066"/>
              <w:gridCol w:w="637"/>
            </w:tblGrid>
            <w:tr w14:paraId="6A5D6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32" w:type="pct"/>
                  <w:gridSpan w:val="3"/>
                  <w:vMerge w:val="restart"/>
                  <w:tcBorders>
                    <w:tl2br w:val="nil"/>
                    <w:tr2bl w:val="nil"/>
                  </w:tcBorders>
                  <w:vAlign w:val="center"/>
                </w:tcPr>
                <w:p w14:paraId="4C8D7216">
                  <w:pPr>
                    <w:pStyle w:val="27"/>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1984" w:type="pct"/>
                  <w:vMerge w:val="restart"/>
                  <w:tcBorders>
                    <w:tl2br w:val="nil"/>
                    <w:tr2bl w:val="nil"/>
                  </w:tcBorders>
                  <w:vAlign w:val="center"/>
                </w:tcPr>
                <w:p w14:paraId="2F373671">
                  <w:pPr>
                    <w:pStyle w:val="27"/>
                    <w:keepNext w:val="0"/>
                    <w:keepLines w:val="0"/>
                    <w:suppressLineNumbers w:val="0"/>
                    <w:spacing w:before="0" w:beforeAutospacing="0" w:after="0" w:afterAutospacing="0"/>
                    <w:ind w:left="0" w:right="0"/>
                    <w:rPr>
                      <w:rFonts w:hint="default"/>
                      <w:color w:val="auto"/>
                    </w:rPr>
                  </w:pPr>
                  <w:r>
                    <w:rPr>
                      <w:rFonts w:hint="default"/>
                      <w:color w:val="auto"/>
                    </w:rPr>
                    <w:t>建设内容及规模</w:t>
                  </w:r>
                </w:p>
              </w:tc>
              <w:tc>
                <w:tcPr>
                  <w:tcW w:w="1281" w:type="pct"/>
                  <w:gridSpan w:val="2"/>
                  <w:tcBorders>
                    <w:tl2br w:val="nil"/>
                    <w:tr2bl w:val="nil"/>
                  </w:tcBorders>
                  <w:vAlign w:val="center"/>
                </w:tcPr>
                <w:p w14:paraId="5267AD2B">
                  <w:pPr>
                    <w:pStyle w:val="27"/>
                    <w:keepNext w:val="0"/>
                    <w:keepLines w:val="0"/>
                    <w:suppressLineNumbers w:val="0"/>
                    <w:spacing w:before="0" w:beforeAutospacing="0" w:after="0" w:afterAutospacing="0"/>
                    <w:ind w:left="0" w:right="0"/>
                    <w:rPr>
                      <w:rFonts w:hint="default"/>
                      <w:color w:val="auto"/>
                    </w:rPr>
                  </w:pPr>
                  <w:r>
                    <w:rPr>
                      <w:rFonts w:hint="default"/>
                      <w:color w:val="auto"/>
                    </w:rPr>
                    <w:t>主要环境问题</w:t>
                  </w:r>
                </w:p>
              </w:tc>
              <w:tc>
                <w:tcPr>
                  <w:tcW w:w="403" w:type="pct"/>
                  <w:vMerge w:val="restart"/>
                  <w:tcBorders>
                    <w:tl2br w:val="nil"/>
                    <w:tr2bl w:val="nil"/>
                  </w:tcBorders>
                  <w:vAlign w:val="center"/>
                </w:tcPr>
                <w:p w14:paraId="67DD187D">
                  <w:pPr>
                    <w:pStyle w:val="27"/>
                    <w:keepNext w:val="0"/>
                    <w:keepLines w:val="0"/>
                    <w:suppressLineNumbers w:val="0"/>
                    <w:spacing w:before="0" w:beforeAutospacing="0" w:after="0" w:afterAutospacing="0"/>
                    <w:ind w:left="0" w:right="0"/>
                    <w:rPr>
                      <w:rFonts w:hint="default"/>
                      <w:color w:val="auto"/>
                    </w:rPr>
                  </w:pPr>
                  <w:r>
                    <w:rPr>
                      <w:rFonts w:hint="default"/>
                      <w:color w:val="auto"/>
                    </w:rPr>
                    <w:t>备注</w:t>
                  </w:r>
                </w:p>
              </w:tc>
            </w:tr>
            <w:tr w14:paraId="382FC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2" w:type="pct"/>
                  <w:gridSpan w:val="3"/>
                  <w:vMerge w:val="continue"/>
                  <w:tcBorders>
                    <w:tl2br w:val="nil"/>
                    <w:tr2bl w:val="nil"/>
                  </w:tcBorders>
                  <w:vAlign w:val="center"/>
                </w:tcPr>
                <w:p w14:paraId="1E83F8CE">
                  <w:pPr>
                    <w:pStyle w:val="27"/>
                    <w:keepNext w:val="0"/>
                    <w:keepLines w:val="0"/>
                    <w:suppressLineNumbers w:val="0"/>
                    <w:spacing w:before="0" w:beforeAutospacing="0" w:after="0" w:afterAutospacing="0"/>
                    <w:ind w:left="0" w:right="0"/>
                    <w:rPr>
                      <w:rFonts w:hint="default"/>
                      <w:color w:val="auto"/>
                    </w:rPr>
                  </w:pPr>
                </w:p>
              </w:tc>
              <w:tc>
                <w:tcPr>
                  <w:tcW w:w="1984" w:type="pct"/>
                  <w:vMerge w:val="continue"/>
                  <w:tcBorders>
                    <w:tl2br w:val="nil"/>
                    <w:tr2bl w:val="nil"/>
                  </w:tcBorders>
                  <w:vAlign w:val="center"/>
                </w:tcPr>
                <w:p w14:paraId="418A2C11">
                  <w:pPr>
                    <w:pStyle w:val="27"/>
                    <w:keepNext w:val="0"/>
                    <w:keepLines w:val="0"/>
                    <w:suppressLineNumbers w:val="0"/>
                    <w:spacing w:before="0" w:beforeAutospacing="0" w:after="0" w:afterAutospacing="0"/>
                    <w:ind w:left="0" w:right="0"/>
                    <w:rPr>
                      <w:rFonts w:hint="default"/>
                      <w:color w:val="auto"/>
                    </w:rPr>
                  </w:pPr>
                </w:p>
              </w:tc>
              <w:tc>
                <w:tcPr>
                  <w:tcW w:w="606" w:type="pct"/>
                  <w:tcBorders>
                    <w:tl2br w:val="nil"/>
                    <w:tr2bl w:val="nil"/>
                  </w:tcBorders>
                  <w:vAlign w:val="center"/>
                </w:tcPr>
                <w:p w14:paraId="6E0533D1">
                  <w:pPr>
                    <w:pStyle w:val="27"/>
                    <w:keepNext w:val="0"/>
                    <w:keepLines w:val="0"/>
                    <w:suppressLineNumbers w:val="0"/>
                    <w:spacing w:before="0" w:beforeAutospacing="0" w:after="0" w:afterAutospacing="0"/>
                    <w:ind w:left="0" w:right="0"/>
                    <w:rPr>
                      <w:rFonts w:hint="default"/>
                      <w:color w:val="auto"/>
                    </w:rPr>
                  </w:pPr>
                  <w:r>
                    <w:rPr>
                      <w:rFonts w:hint="default"/>
                      <w:color w:val="auto"/>
                    </w:rPr>
                    <w:t>施工期</w:t>
                  </w:r>
                </w:p>
              </w:tc>
              <w:tc>
                <w:tcPr>
                  <w:tcW w:w="675" w:type="pct"/>
                  <w:tcBorders>
                    <w:tl2br w:val="nil"/>
                    <w:tr2bl w:val="nil"/>
                  </w:tcBorders>
                  <w:vAlign w:val="center"/>
                </w:tcPr>
                <w:p w14:paraId="7CC0ED8F">
                  <w:pPr>
                    <w:pStyle w:val="27"/>
                    <w:keepNext w:val="0"/>
                    <w:keepLines w:val="0"/>
                    <w:suppressLineNumbers w:val="0"/>
                    <w:spacing w:before="0" w:beforeAutospacing="0" w:after="0" w:afterAutospacing="0"/>
                    <w:ind w:left="0" w:right="0"/>
                    <w:rPr>
                      <w:rFonts w:hint="default"/>
                      <w:color w:val="auto"/>
                    </w:rPr>
                  </w:pPr>
                  <w:r>
                    <w:rPr>
                      <w:rFonts w:hint="default"/>
                      <w:color w:val="auto"/>
                    </w:rPr>
                    <w:t>运营期</w:t>
                  </w:r>
                </w:p>
              </w:tc>
              <w:tc>
                <w:tcPr>
                  <w:tcW w:w="403" w:type="pct"/>
                  <w:vMerge w:val="continue"/>
                  <w:tcBorders>
                    <w:tl2br w:val="nil"/>
                    <w:tr2bl w:val="nil"/>
                  </w:tcBorders>
                  <w:vAlign w:val="center"/>
                </w:tcPr>
                <w:p w14:paraId="064A9917">
                  <w:pPr>
                    <w:pStyle w:val="27"/>
                    <w:keepNext w:val="0"/>
                    <w:keepLines w:val="0"/>
                    <w:suppressLineNumbers w:val="0"/>
                    <w:spacing w:before="0" w:beforeAutospacing="0" w:after="0" w:afterAutospacing="0"/>
                    <w:ind w:left="0" w:right="0"/>
                    <w:rPr>
                      <w:rFonts w:hint="default"/>
                      <w:color w:val="auto"/>
                    </w:rPr>
                  </w:pPr>
                </w:p>
              </w:tc>
            </w:tr>
            <w:tr w14:paraId="04F5E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08623A0D">
                  <w:pPr>
                    <w:pStyle w:val="27"/>
                    <w:keepNext w:val="0"/>
                    <w:keepLines w:val="0"/>
                    <w:suppressLineNumbers w:val="0"/>
                    <w:spacing w:before="0" w:beforeAutospacing="0" w:after="0" w:afterAutospacing="0"/>
                    <w:ind w:left="0" w:right="0"/>
                    <w:rPr>
                      <w:rFonts w:hint="default"/>
                      <w:color w:val="auto"/>
                    </w:rPr>
                  </w:pPr>
                  <w:r>
                    <w:rPr>
                      <w:rFonts w:hint="default"/>
                      <w:color w:val="auto"/>
                    </w:rPr>
                    <w:t>主体工程</w:t>
                  </w:r>
                </w:p>
              </w:tc>
              <w:tc>
                <w:tcPr>
                  <w:tcW w:w="876" w:type="pct"/>
                  <w:gridSpan w:val="2"/>
                  <w:tcBorders>
                    <w:tl2br w:val="nil"/>
                    <w:tr2bl w:val="nil"/>
                  </w:tcBorders>
                  <w:vAlign w:val="center"/>
                </w:tcPr>
                <w:p w14:paraId="596958BE">
                  <w:pPr>
                    <w:pStyle w:val="27"/>
                    <w:keepNext w:val="0"/>
                    <w:keepLines w:val="0"/>
                    <w:suppressLineNumbers w:val="0"/>
                    <w:spacing w:before="0" w:beforeAutospacing="0" w:after="0" w:afterAutospacing="0"/>
                    <w:ind w:left="0" w:right="0"/>
                    <w:rPr>
                      <w:rFonts w:hint="default"/>
                      <w:color w:val="auto"/>
                    </w:rPr>
                  </w:pPr>
                  <w:r>
                    <w:rPr>
                      <w:rFonts w:hint="default"/>
                      <w:color w:val="auto"/>
                    </w:rPr>
                    <w:t>生产车间</w:t>
                  </w:r>
                </w:p>
              </w:tc>
              <w:tc>
                <w:tcPr>
                  <w:tcW w:w="1984" w:type="pct"/>
                  <w:tcBorders>
                    <w:tl2br w:val="nil"/>
                    <w:tr2bl w:val="nil"/>
                  </w:tcBorders>
                  <w:vAlign w:val="center"/>
                </w:tcPr>
                <w:p w14:paraId="3E8A9E41">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5F，厂房高度23.15m，占地面积359.64m</w:t>
                  </w:r>
                  <w:r>
                    <w:rPr>
                      <w:rFonts w:hint="default"/>
                      <w:color w:val="auto"/>
                      <w:vertAlign w:val="superscript"/>
                    </w:rPr>
                    <w:t>2</w:t>
                  </w:r>
                  <w:r>
                    <w:rPr>
                      <w:rFonts w:hint="default"/>
                      <w:color w:val="auto"/>
                    </w:rPr>
                    <w:t>，乙类厂房，主要布置液硫池、提纯塔、造粒机、刮片机、粉碎机、筛分机、包装机等工序。</w:t>
                  </w:r>
                </w:p>
              </w:tc>
              <w:tc>
                <w:tcPr>
                  <w:tcW w:w="606" w:type="pct"/>
                  <w:vMerge w:val="restart"/>
                  <w:tcBorders>
                    <w:tl2br w:val="nil"/>
                    <w:tr2bl w:val="nil"/>
                  </w:tcBorders>
                  <w:vAlign w:val="center"/>
                </w:tcPr>
                <w:p w14:paraId="1626B0D1">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扬尘、施工废气、施工人员生活污水、施工垃圾、废弃土石方、施工人员生活垃圾、噪声</w:t>
                  </w:r>
                </w:p>
              </w:tc>
              <w:tc>
                <w:tcPr>
                  <w:tcW w:w="675" w:type="pct"/>
                  <w:tcBorders>
                    <w:tl2br w:val="nil"/>
                    <w:tr2bl w:val="nil"/>
                  </w:tcBorders>
                  <w:vAlign w:val="center"/>
                </w:tcPr>
                <w:p w14:paraId="2F4D41E5">
                  <w:pPr>
                    <w:pStyle w:val="27"/>
                    <w:keepNext w:val="0"/>
                    <w:keepLines w:val="0"/>
                    <w:suppressLineNumbers w:val="0"/>
                    <w:spacing w:before="0" w:beforeAutospacing="0" w:after="0" w:afterAutospacing="0"/>
                    <w:ind w:left="0" w:right="0"/>
                    <w:rPr>
                      <w:rFonts w:hint="default"/>
                      <w:color w:val="auto"/>
                    </w:rPr>
                  </w:pPr>
                  <w:r>
                    <w:rPr>
                      <w:rFonts w:hint="default"/>
                      <w:color w:val="auto"/>
                    </w:rPr>
                    <w:t>噪声、废气、固废、废水</w:t>
                  </w:r>
                </w:p>
              </w:tc>
              <w:tc>
                <w:tcPr>
                  <w:tcW w:w="403" w:type="pct"/>
                  <w:tcBorders>
                    <w:tl2br w:val="nil"/>
                    <w:tr2bl w:val="nil"/>
                  </w:tcBorders>
                  <w:vAlign w:val="center"/>
                </w:tcPr>
                <w:p w14:paraId="52003502">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4FA3D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56FA166E">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54AC0B04">
                  <w:pPr>
                    <w:pStyle w:val="27"/>
                    <w:keepNext w:val="0"/>
                    <w:keepLines w:val="0"/>
                    <w:suppressLineNumbers w:val="0"/>
                    <w:spacing w:before="0" w:beforeAutospacing="0" w:after="0" w:afterAutospacing="0"/>
                    <w:ind w:left="0" w:right="0"/>
                    <w:rPr>
                      <w:rFonts w:hint="default"/>
                      <w:color w:val="auto"/>
                    </w:rPr>
                  </w:pPr>
                  <w:r>
                    <w:rPr>
                      <w:rFonts w:hint="default"/>
                      <w:color w:val="auto"/>
                    </w:rPr>
                    <w:t>干冰车间</w:t>
                  </w:r>
                </w:p>
              </w:tc>
              <w:tc>
                <w:tcPr>
                  <w:tcW w:w="1984" w:type="pct"/>
                  <w:tcBorders>
                    <w:tl2br w:val="nil"/>
                    <w:tr2bl w:val="nil"/>
                  </w:tcBorders>
                  <w:vAlign w:val="center"/>
                </w:tcPr>
                <w:p w14:paraId="27711AD5">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1F，厂房高度12.44m，占地面积301.73m</w:t>
                  </w:r>
                  <w:r>
                    <w:rPr>
                      <w:rFonts w:hint="default"/>
                      <w:color w:val="auto"/>
                      <w:vertAlign w:val="superscript"/>
                    </w:rPr>
                    <w:t>2</w:t>
                  </w:r>
                  <w:r>
                    <w:rPr>
                      <w:rFonts w:hint="default"/>
                      <w:color w:val="auto"/>
                    </w:rPr>
                    <w:t>，戊类厂房，主要布置干冰机、颗粒机、包装机等工序。</w:t>
                  </w:r>
                </w:p>
              </w:tc>
              <w:tc>
                <w:tcPr>
                  <w:tcW w:w="606" w:type="pct"/>
                  <w:vMerge w:val="continue"/>
                  <w:tcBorders>
                    <w:tl2br w:val="nil"/>
                    <w:tr2bl w:val="nil"/>
                  </w:tcBorders>
                  <w:vAlign w:val="center"/>
                </w:tcPr>
                <w:p w14:paraId="35492E6C">
                  <w:pPr>
                    <w:pStyle w:val="27"/>
                    <w:keepNext w:val="0"/>
                    <w:keepLines w:val="0"/>
                    <w:suppressLineNumbers w:val="0"/>
                    <w:spacing w:before="0" w:beforeAutospacing="0" w:after="0" w:afterAutospacing="0"/>
                    <w:ind w:left="0" w:right="0"/>
                    <w:jc w:val="both"/>
                    <w:rPr>
                      <w:rFonts w:hint="default"/>
                      <w:color w:val="auto"/>
                    </w:rPr>
                  </w:pPr>
                </w:p>
              </w:tc>
              <w:tc>
                <w:tcPr>
                  <w:tcW w:w="675" w:type="pct"/>
                  <w:tcBorders>
                    <w:tl2br w:val="nil"/>
                    <w:tr2bl w:val="nil"/>
                  </w:tcBorders>
                  <w:vAlign w:val="center"/>
                </w:tcPr>
                <w:p w14:paraId="3C204EC6">
                  <w:pPr>
                    <w:pStyle w:val="27"/>
                    <w:keepNext w:val="0"/>
                    <w:keepLines w:val="0"/>
                    <w:suppressLineNumbers w:val="0"/>
                    <w:spacing w:before="0" w:beforeAutospacing="0" w:after="0" w:afterAutospacing="0"/>
                    <w:ind w:left="0" w:right="0"/>
                    <w:rPr>
                      <w:rFonts w:hint="default"/>
                      <w:color w:val="auto"/>
                    </w:rPr>
                  </w:pPr>
                  <w:r>
                    <w:rPr>
                      <w:rFonts w:hint="default"/>
                      <w:color w:val="auto"/>
                    </w:rPr>
                    <w:t>噪声、废气、固废、废水</w:t>
                  </w:r>
                </w:p>
              </w:tc>
              <w:tc>
                <w:tcPr>
                  <w:tcW w:w="403" w:type="pct"/>
                  <w:tcBorders>
                    <w:tl2br w:val="nil"/>
                    <w:tr2bl w:val="nil"/>
                  </w:tcBorders>
                  <w:vAlign w:val="center"/>
                </w:tcPr>
                <w:p w14:paraId="7E322C5D">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4E7FF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19D3D7F3">
                  <w:pPr>
                    <w:pStyle w:val="27"/>
                    <w:keepNext w:val="0"/>
                    <w:keepLines w:val="0"/>
                    <w:suppressLineNumbers w:val="0"/>
                    <w:spacing w:before="0" w:beforeAutospacing="0" w:after="0" w:afterAutospacing="0"/>
                    <w:ind w:left="0" w:right="0"/>
                    <w:rPr>
                      <w:rFonts w:hint="default"/>
                      <w:color w:val="auto"/>
                    </w:rPr>
                  </w:pPr>
                  <w:r>
                    <w:rPr>
                      <w:rFonts w:hint="default"/>
                      <w:color w:val="auto"/>
                    </w:rPr>
                    <w:t>辅助工程</w:t>
                  </w:r>
                </w:p>
              </w:tc>
              <w:tc>
                <w:tcPr>
                  <w:tcW w:w="876" w:type="pct"/>
                  <w:gridSpan w:val="2"/>
                  <w:tcBorders>
                    <w:tl2br w:val="nil"/>
                    <w:tr2bl w:val="nil"/>
                  </w:tcBorders>
                  <w:vAlign w:val="center"/>
                </w:tcPr>
                <w:p w14:paraId="6E5C51FC">
                  <w:pPr>
                    <w:pStyle w:val="27"/>
                    <w:keepNext w:val="0"/>
                    <w:keepLines w:val="0"/>
                    <w:suppressLineNumbers w:val="0"/>
                    <w:spacing w:before="0" w:beforeAutospacing="0" w:after="0" w:afterAutospacing="0"/>
                    <w:ind w:left="0" w:right="0"/>
                    <w:rPr>
                      <w:rFonts w:hint="default"/>
                      <w:color w:val="auto"/>
                    </w:rPr>
                  </w:pPr>
                  <w:r>
                    <w:rPr>
                      <w:rFonts w:hint="default"/>
                      <w:color w:val="auto"/>
                    </w:rPr>
                    <w:t>研发楼</w:t>
                  </w:r>
                </w:p>
              </w:tc>
              <w:tc>
                <w:tcPr>
                  <w:tcW w:w="1984" w:type="pct"/>
                  <w:tcBorders>
                    <w:tl2br w:val="nil"/>
                    <w:tr2bl w:val="nil"/>
                  </w:tcBorders>
                  <w:vAlign w:val="center"/>
                </w:tcPr>
                <w:p w14:paraId="2FBB5768">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2F，建筑高度12.3m，占地面积627.06m</w:t>
                  </w:r>
                  <w:r>
                    <w:rPr>
                      <w:rFonts w:hint="default"/>
                      <w:color w:val="auto"/>
                      <w:vertAlign w:val="superscript"/>
                    </w:rPr>
                    <w:t>2</w:t>
                  </w:r>
                  <w:r>
                    <w:rPr>
                      <w:rFonts w:hint="default"/>
                      <w:color w:val="auto"/>
                    </w:rPr>
                    <w:t>，民用建筑，用于办公等。</w:t>
                  </w:r>
                </w:p>
              </w:tc>
              <w:tc>
                <w:tcPr>
                  <w:tcW w:w="606" w:type="pct"/>
                  <w:vMerge w:val="continue"/>
                  <w:tcBorders>
                    <w:tl2br w:val="nil"/>
                    <w:tr2bl w:val="nil"/>
                  </w:tcBorders>
                  <w:vAlign w:val="center"/>
                </w:tcPr>
                <w:p w14:paraId="72207C69">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62959B34">
                  <w:pPr>
                    <w:pStyle w:val="27"/>
                    <w:keepNext w:val="0"/>
                    <w:keepLines w:val="0"/>
                    <w:suppressLineNumbers w:val="0"/>
                    <w:spacing w:before="0" w:beforeAutospacing="0" w:after="0" w:afterAutospacing="0"/>
                    <w:ind w:left="0" w:right="0"/>
                    <w:rPr>
                      <w:rFonts w:hint="default"/>
                      <w:color w:val="auto"/>
                    </w:rPr>
                  </w:pPr>
                  <w:r>
                    <w:rPr>
                      <w:rFonts w:hint="default"/>
                      <w:color w:val="auto"/>
                    </w:rPr>
                    <w:t>废气、废水</w:t>
                  </w:r>
                </w:p>
              </w:tc>
              <w:tc>
                <w:tcPr>
                  <w:tcW w:w="403" w:type="pct"/>
                  <w:tcBorders>
                    <w:tl2br w:val="nil"/>
                    <w:tr2bl w:val="nil"/>
                  </w:tcBorders>
                  <w:vAlign w:val="center"/>
                </w:tcPr>
                <w:p w14:paraId="32C2E085">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3AD79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0646673D">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143AC171">
                  <w:pPr>
                    <w:pStyle w:val="27"/>
                    <w:keepNext w:val="0"/>
                    <w:keepLines w:val="0"/>
                    <w:suppressLineNumbers w:val="0"/>
                    <w:spacing w:before="0" w:beforeAutospacing="0" w:after="0" w:afterAutospacing="0"/>
                    <w:ind w:left="0" w:right="0"/>
                    <w:rPr>
                      <w:rFonts w:hint="default"/>
                      <w:color w:val="auto"/>
                    </w:rPr>
                  </w:pPr>
                  <w:r>
                    <w:rPr>
                      <w:rFonts w:hint="default"/>
                      <w:color w:val="auto"/>
                    </w:rPr>
                    <w:t>消防泵房</w:t>
                  </w:r>
                </w:p>
              </w:tc>
              <w:tc>
                <w:tcPr>
                  <w:tcW w:w="1984" w:type="pct"/>
                  <w:tcBorders>
                    <w:tl2br w:val="nil"/>
                    <w:tr2bl w:val="nil"/>
                  </w:tcBorders>
                  <w:vAlign w:val="center"/>
                </w:tcPr>
                <w:p w14:paraId="6DA747EF">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1F，建筑高度5.65m，占地面积174.80m</w:t>
                  </w:r>
                  <w:r>
                    <w:rPr>
                      <w:rFonts w:hint="default"/>
                      <w:color w:val="auto"/>
                      <w:vertAlign w:val="superscript"/>
                    </w:rPr>
                    <w:t>2</w:t>
                  </w:r>
                  <w:r>
                    <w:rPr>
                      <w:rFonts w:hint="default"/>
                      <w:color w:val="auto"/>
                    </w:rPr>
                    <w:t>，戊类厂房，用于消防控制等。</w:t>
                  </w:r>
                </w:p>
              </w:tc>
              <w:tc>
                <w:tcPr>
                  <w:tcW w:w="606" w:type="pct"/>
                  <w:vMerge w:val="continue"/>
                  <w:tcBorders>
                    <w:tl2br w:val="nil"/>
                    <w:tr2bl w:val="nil"/>
                  </w:tcBorders>
                  <w:vAlign w:val="center"/>
                </w:tcPr>
                <w:p w14:paraId="3C1C8BF0">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43AF8CBD">
                  <w:pPr>
                    <w:pStyle w:val="27"/>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403" w:type="pct"/>
                  <w:tcBorders>
                    <w:tl2br w:val="nil"/>
                    <w:tr2bl w:val="nil"/>
                  </w:tcBorders>
                  <w:vAlign w:val="center"/>
                </w:tcPr>
                <w:p w14:paraId="188A073F">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1170D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0B5B9EE9">
                  <w:pPr>
                    <w:pStyle w:val="27"/>
                    <w:keepNext w:val="0"/>
                    <w:keepLines w:val="0"/>
                    <w:suppressLineNumbers w:val="0"/>
                    <w:spacing w:before="0" w:beforeAutospacing="0" w:after="0" w:afterAutospacing="0"/>
                    <w:ind w:left="0" w:right="0"/>
                    <w:rPr>
                      <w:rFonts w:hint="default"/>
                      <w:color w:val="auto"/>
                    </w:rPr>
                  </w:pPr>
                  <w:r>
                    <w:rPr>
                      <w:rFonts w:hint="default"/>
                      <w:color w:val="auto"/>
                    </w:rPr>
                    <w:t>公用工程</w:t>
                  </w:r>
                </w:p>
              </w:tc>
              <w:tc>
                <w:tcPr>
                  <w:tcW w:w="876" w:type="pct"/>
                  <w:gridSpan w:val="2"/>
                  <w:tcBorders>
                    <w:tl2br w:val="nil"/>
                    <w:tr2bl w:val="nil"/>
                  </w:tcBorders>
                  <w:vAlign w:val="center"/>
                </w:tcPr>
                <w:p w14:paraId="1BB7CB1D">
                  <w:pPr>
                    <w:pStyle w:val="27"/>
                    <w:keepNext w:val="0"/>
                    <w:keepLines w:val="0"/>
                    <w:suppressLineNumbers w:val="0"/>
                    <w:spacing w:before="0" w:beforeAutospacing="0" w:after="0" w:afterAutospacing="0"/>
                    <w:ind w:left="0" w:right="0"/>
                    <w:rPr>
                      <w:rFonts w:hint="default"/>
                      <w:color w:val="auto"/>
                    </w:rPr>
                  </w:pPr>
                  <w:r>
                    <w:rPr>
                      <w:rFonts w:hint="default"/>
                      <w:color w:val="auto"/>
                    </w:rPr>
                    <w:t>给水系统</w:t>
                  </w:r>
                </w:p>
              </w:tc>
              <w:tc>
                <w:tcPr>
                  <w:tcW w:w="1984" w:type="pct"/>
                  <w:tcBorders>
                    <w:tl2br w:val="nil"/>
                    <w:tr2bl w:val="nil"/>
                  </w:tcBorders>
                  <w:vAlign w:val="center"/>
                </w:tcPr>
                <w:p w14:paraId="04829D75">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市政供水，园区已布局，可直接接入</w:t>
                  </w:r>
                </w:p>
              </w:tc>
              <w:tc>
                <w:tcPr>
                  <w:tcW w:w="606" w:type="pct"/>
                  <w:vMerge w:val="continue"/>
                  <w:tcBorders>
                    <w:tl2br w:val="nil"/>
                    <w:tr2bl w:val="nil"/>
                  </w:tcBorders>
                  <w:vAlign w:val="center"/>
                </w:tcPr>
                <w:p w14:paraId="225F0CC7">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1C23E684">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006CF0BC">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5EF48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4975D656">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1340EACA">
                  <w:pPr>
                    <w:pStyle w:val="27"/>
                    <w:keepNext w:val="0"/>
                    <w:keepLines w:val="0"/>
                    <w:suppressLineNumbers w:val="0"/>
                    <w:spacing w:before="0" w:beforeAutospacing="0" w:after="0" w:afterAutospacing="0"/>
                    <w:ind w:left="0" w:right="0"/>
                    <w:rPr>
                      <w:rFonts w:hint="default"/>
                      <w:color w:val="auto"/>
                    </w:rPr>
                  </w:pPr>
                  <w:r>
                    <w:rPr>
                      <w:rFonts w:hint="default"/>
                      <w:color w:val="auto"/>
                    </w:rPr>
                    <w:t>排水系统</w:t>
                  </w:r>
                </w:p>
              </w:tc>
              <w:tc>
                <w:tcPr>
                  <w:tcW w:w="1984" w:type="pct"/>
                  <w:tcBorders>
                    <w:tl2br w:val="nil"/>
                    <w:tr2bl w:val="nil"/>
                  </w:tcBorders>
                  <w:vAlign w:val="center"/>
                </w:tcPr>
                <w:p w14:paraId="648F5AB3">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厂区雨污分流，园区已布局，可直接接入</w:t>
                  </w:r>
                </w:p>
              </w:tc>
              <w:tc>
                <w:tcPr>
                  <w:tcW w:w="606" w:type="pct"/>
                  <w:vMerge w:val="continue"/>
                  <w:tcBorders>
                    <w:tl2br w:val="nil"/>
                    <w:tr2bl w:val="nil"/>
                  </w:tcBorders>
                  <w:vAlign w:val="center"/>
                </w:tcPr>
                <w:p w14:paraId="498EB929">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60A95975">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09F0BC75">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0451B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3237BD36">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26547F2B">
                  <w:pPr>
                    <w:pStyle w:val="27"/>
                    <w:keepNext w:val="0"/>
                    <w:keepLines w:val="0"/>
                    <w:suppressLineNumbers w:val="0"/>
                    <w:spacing w:before="0" w:beforeAutospacing="0" w:after="0" w:afterAutospacing="0"/>
                    <w:ind w:left="0" w:right="0"/>
                    <w:rPr>
                      <w:rFonts w:hint="default"/>
                      <w:color w:val="auto"/>
                    </w:rPr>
                  </w:pPr>
                  <w:r>
                    <w:rPr>
                      <w:rFonts w:hint="default"/>
                      <w:color w:val="auto"/>
                    </w:rPr>
                    <w:t>循环水系统</w:t>
                  </w:r>
                </w:p>
              </w:tc>
              <w:tc>
                <w:tcPr>
                  <w:tcW w:w="1984" w:type="pct"/>
                  <w:tcBorders>
                    <w:tl2br w:val="nil"/>
                    <w:tr2bl w:val="nil"/>
                  </w:tcBorders>
                  <w:vAlign w:val="center"/>
                </w:tcPr>
                <w:p w14:paraId="44630A57">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厂区新建1套能力300m</w:t>
                  </w:r>
                  <w:r>
                    <w:rPr>
                      <w:rFonts w:hint="default"/>
                      <w:color w:val="auto"/>
                      <w:vertAlign w:val="superscript"/>
                    </w:rPr>
                    <w:t>3</w:t>
                  </w:r>
                  <w:r>
                    <w:rPr>
                      <w:rFonts w:hint="default"/>
                      <w:color w:val="auto"/>
                    </w:rPr>
                    <w:t>/h的循环水系统，采用间接接触冷却，补水采用脱盐水，配套1座211m</w:t>
                  </w:r>
                  <w:r>
                    <w:rPr>
                      <w:rFonts w:hint="default"/>
                      <w:color w:val="auto"/>
                      <w:vertAlign w:val="superscript"/>
                    </w:rPr>
                    <w:t>3</w:t>
                  </w:r>
                  <w:r>
                    <w:rPr>
                      <w:rFonts w:hint="default"/>
                      <w:color w:val="auto"/>
                    </w:rPr>
                    <w:t>的循环冷却水池（1#循环水池）</w:t>
                  </w:r>
                </w:p>
              </w:tc>
              <w:tc>
                <w:tcPr>
                  <w:tcW w:w="606" w:type="pct"/>
                  <w:vMerge w:val="continue"/>
                  <w:tcBorders>
                    <w:tl2br w:val="nil"/>
                    <w:tr2bl w:val="nil"/>
                  </w:tcBorders>
                  <w:vAlign w:val="center"/>
                </w:tcPr>
                <w:p w14:paraId="476AE43E">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384A25C2">
                  <w:pPr>
                    <w:pStyle w:val="27"/>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403" w:type="pct"/>
                  <w:tcBorders>
                    <w:tl2br w:val="nil"/>
                    <w:tr2bl w:val="nil"/>
                  </w:tcBorders>
                  <w:vAlign w:val="center"/>
                </w:tcPr>
                <w:p w14:paraId="367E9BE9">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06113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vMerge w:val="continue"/>
                  <w:tcBorders>
                    <w:tl2br w:val="nil"/>
                    <w:tr2bl w:val="nil"/>
                  </w:tcBorders>
                  <w:vAlign w:val="center"/>
                </w:tcPr>
                <w:p w14:paraId="24D84675">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389FF77D">
                  <w:pPr>
                    <w:pStyle w:val="27"/>
                    <w:keepNext w:val="0"/>
                    <w:keepLines w:val="0"/>
                    <w:suppressLineNumbers w:val="0"/>
                    <w:spacing w:before="0" w:beforeAutospacing="0" w:after="0" w:afterAutospacing="0"/>
                    <w:ind w:left="0" w:right="0"/>
                    <w:rPr>
                      <w:rFonts w:hint="default"/>
                      <w:color w:val="auto"/>
                    </w:rPr>
                  </w:pPr>
                  <w:r>
                    <w:rPr>
                      <w:rFonts w:hint="default"/>
                      <w:color w:val="auto"/>
                    </w:rPr>
                    <w:t>供电系统</w:t>
                  </w:r>
                </w:p>
              </w:tc>
              <w:tc>
                <w:tcPr>
                  <w:tcW w:w="1984" w:type="pct"/>
                  <w:tcBorders>
                    <w:tl2br w:val="nil"/>
                    <w:tr2bl w:val="nil"/>
                  </w:tcBorders>
                  <w:vAlign w:val="center"/>
                </w:tcPr>
                <w:p w14:paraId="3DDCCFAB">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市政供电，配电房1间。</w:t>
                  </w:r>
                </w:p>
              </w:tc>
              <w:tc>
                <w:tcPr>
                  <w:tcW w:w="606" w:type="pct"/>
                  <w:vMerge w:val="continue"/>
                  <w:tcBorders>
                    <w:tl2br w:val="nil"/>
                    <w:tr2bl w:val="nil"/>
                  </w:tcBorders>
                  <w:vAlign w:val="center"/>
                </w:tcPr>
                <w:p w14:paraId="1CFECBF6">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322B9287">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5690D97D">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11EF2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0FAAE12">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vAlign w:val="center"/>
                </w:tcPr>
                <w:p w14:paraId="470A89AA">
                  <w:pPr>
                    <w:pStyle w:val="27"/>
                    <w:keepNext w:val="0"/>
                    <w:keepLines w:val="0"/>
                    <w:suppressLineNumbers w:val="0"/>
                    <w:spacing w:before="0" w:beforeAutospacing="0" w:after="0" w:afterAutospacing="0"/>
                    <w:ind w:left="0" w:right="0"/>
                    <w:rPr>
                      <w:rFonts w:hint="default"/>
                      <w:color w:val="auto"/>
                    </w:rPr>
                  </w:pPr>
                  <w:r>
                    <w:rPr>
                      <w:rFonts w:hint="default"/>
                      <w:color w:val="auto"/>
                    </w:rPr>
                    <w:t>软水系统</w:t>
                  </w:r>
                </w:p>
              </w:tc>
              <w:tc>
                <w:tcPr>
                  <w:tcW w:w="1984" w:type="pct"/>
                  <w:tcBorders>
                    <w:tl2br w:val="nil"/>
                    <w:tr2bl w:val="nil"/>
                  </w:tcBorders>
                  <w:vAlign w:val="center"/>
                </w:tcPr>
                <w:p w14:paraId="76D97A69">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项目所需软水为6.4m</w:t>
                  </w:r>
                  <w:r>
                    <w:rPr>
                      <w:rFonts w:hint="default"/>
                      <w:color w:val="auto"/>
                      <w:vertAlign w:val="superscript"/>
                    </w:rPr>
                    <w:t>3</w:t>
                  </w:r>
                  <w:r>
                    <w:rPr>
                      <w:rFonts w:hint="default"/>
                      <w:color w:val="auto"/>
                    </w:rPr>
                    <w:t>/h，厂区新建1台制备能力为7m</w:t>
                  </w:r>
                  <w:r>
                    <w:rPr>
                      <w:rFonts w:hint="default"/>
                      <w:color w:val="auto"/>
                      <w:vertAlign w:val="superscript"/>
                    </w:rPr>
                    <w:t>3</w:t>
                  </w:r>
                  <w:r>
                    <w:rPr>
                      <w:rFonts w:hint="default"/>
                      <w:color w:val="auto"/>
                    </w:rPr>
                    <w:t>/h的软水系统，为滚筒造粒用水、循环水系统用水提供软水</w:t>
                  </w:r>
                </w:p>
              </w:tc>
              <w:tc>
                <w:tcPr>
                  <w:tcW w:w="606" w:type="pct"/>
                  <w:vMerge w:val="continue"/>
                  <w:tcBorders>
                    <w:tl2br w:val="nil"/>
                    <w:tr2bl w:val="nil"/>
                  </w:tcBorders>
                  <w:vAlign w:val="center"/>
                </w:tcPr>
                <w:p w14:paraId="12D2CD24">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shd w:val="clear" w:color="auto" w:fill="auto"/>
                  <w:vAlign w:val="center"/>
                </w:tcPr>
                <w:p w14:paraId="2FC08294">
                  <w:pPr>
                    <w:pStyle w:val="27"/>
                    <w:keepNext w:val="0"/>
                    <w:keepLines w:val="0"/>
                    <w:suppressLineNumbers w:val="0"/>
                    <w:spacing w:before="0" w:beforeAutospacing="0" w:after="0" w:afterAutospacing="0"/>
                    <w:ind w:left="0" w:right="0"/>
                    <w:rPr>
                      <w:rFonts w:hint="default"/>
                      <w:color w:val="auto"/>
                    </w:rPr>
                  </w:pPr>
                  <w:r>
                    <w:rPr>
                      <w:rFonts w:hint="default"/>
                      <w:color w:val="auto"/>
                    </w:rPr>
                    <w:t>噪声、废水</w:t>
                  </w:r>
                </w:p>
              </w:tc>
              <w:tc>
                <w:tcPr>
                  <w:tcW w:w="403" w:type="pct"/>
                  <w:tcBorders>
                    <w:tl2br w:val="nil"/>
                    <w:tr2bl w:val="nil"/>
                  </w:tcBorders>
                  <w:shd w:val="clear" w:color="auto" w:fill="auto"/>
                  <w:vAlign w:val="center"/>
                </w:tcPr>
                <w:p w14:paraId="0B571618">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752D5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387E87E9">
                  <w:pPr>
                    <w:pStyle w:val="27"/>
                    <w:keepNext w:val="0"/>
                    <w:keepLines w:val="0"/>
                    <w:suppressLineNumbers w:val="0"/>
                    <w:spacing w:before="0" w:beforeAutospacing="0" w:after="0" w:afterAutospacing="0"/>
                    <w:ind w:left="0" w:right="0"/>
                    <w:rPr>
                      <w:rFonts w:hint="default"/>
                      <w:color w:val="auto"/>
                    </w:rPr>
                  </w:pPr>
                  <w:r>
                    <w:rPr>
                      <w:rFonts w:hint="default"/>
                      <w:color w:val="auto"/>
                    </w:rPr>
                    <w:t>办公及生活设施</w:t>
                  </w:r>
                </w:p>
              </w:tc>
              <w:tc>
                <w:tcPr>
                  <w:tcW w:w="876" w:type="pct"/>
                  <w:gridSpan w:val="2"/>
                  <w:tcBorders>
                    <w:tl2br w:val="nil"/>
                    <w:tr2bl w:val="nil"/>
                  </w:tcBorders>
                  <w:shd w:val="clear" w:color="auto" w:fill="auto"/>
                  <w:vAlign w:val="center"/>
                </w:tcPr>
                <w:p w14:paraId="1F53CC76">
                  <w:pPr>
                    <w:pStyle w:val="27"/>
                    <w:keepNext w:val="0"/>
                    <w:keepLines w:val="0"/>
                    <w:suppressLineNumbers w:val="0"/>
                    <w:spacing w:before="0" w:beforeAutospacing="0" w:after="0" w:afterAutospacing="0"/>
                    <w:ind w:left="0" w:right="0"/>
                    <w:rPr>
                      <w:rFonts w:hint="default"/>
                      <w:color w:val="auto"/>
                    </w:rPr>
                  </w:pPr>
                  <w:r>
                    <w:rPr>
                      <w:rFonts w:hint="default"/>
                      <w:color w:val="auto"/>
                    </w:rPr>
                    <w:t>研发楼</w:t>
                  </w:r>
                </w:p>
              </w:tc>
              <w:tc>
                <w:tcPr>
                  <w:tcW w:w="1984" w:type="pct"/>
                  <w:tcBorders>
                    <w:tl2br w:val="nil"/>
                    <w:tr2bl w:val="nil"/>
                  </w:tcBorders>
                  <w:shd w:val="clear" w:color="auto" w:fill="auto"/>
                  <w:vAlign w:val="center"/>
                </w:tcPr>
                <w:p w14:paraId="760F6DF6">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2F，占地面积627.06m</w:t>
                  </w:r>
                  <w:r>
                    <w:rPr>
                      <w:rFonts w:hint="default"/>
                      <w:color w:val="auto"/>
                      <w:vertAlign w:val="superscript"/>
                    </w:rPr>
                    <w:t>2</w:t>
                  </w:r>
                  <w:r>
                    <w:rPr>
                      <w:rFonts w:hint="default"/>
                      <w:color w:val="auto"/>
                    </w:rPr>
                    <w:t>，厂区办公室使用，本次评价不涉及研发内容</w:t>
                  </w:r>
                </w:p>
              </w:tc>
              <w:tc>
                <w:tcPr>
                  <w:tcW w:w="606" w:type="pct"/>
                  <w:vMerge w:val="continue"/>
                  <w:tcBorders>
                    <w:tl2br w:val="nil"/>
                    <w:tr2bl w:val="nil"/>
                  </w:tcBorders>
                  <w:vAlign w:val="center"/>
                </w:tcPr>
                <w:p w14:paraId="0735F03E">
                  <w:pPr>
                    <w:pStyle w:val="27"/>
                    <w:keepNext w:val="0"/>
                    <w:keepLines w:val="0"/>
                    <w:suppressLineNumbers w:val="0"/>
                    <w:spacing w:before="0" w:beforeAutospacing="0" w:after="0" w:afterAutospacing="0"/>
                    <w:ind w:left="0" w:right="0"/>
                    <w:rPr>
                      <w:rFonts w:hint="default"/>
                      <w:color w:val="auto"/>
                    </w:rPr>
                  </w:pPr>
                </w:p>
              </w:tc>
              <w:tc>
                <w:tcPr>
                  <w:tcW w:w="675" w:type="pct"/>
                  <w:vMerge w:val="restart"/>
                  <w:tcBorders>
                    <w:tl2br w:val="nil"/>
                    <w:tr2bl w:val="nil"/>
                  </w:tcBorders>
                  <w:vAlign w:val="center"/>
                </w:tcPr>
                <w:p w14:paraId="190EBE52">
                  <w:pPr>
                    <w:pStyle w:val="27"/>
                    <w:keepNext w:val="0"/>
                    <w:keepLines w:val="0"/>
                    <w:suppressLineNumbers w:val="0"/>
                    <w:spacing w:before="0" w:beforeAutospacing="0" w:after="0" w:afterAutospacing="0"/>
                    <w:ind w:left="0" w:right="0"/>
                    <w:rPr>
                      <w:rFonts w:hint="default"/>
                      <w:color w:val="auto"/>
                    </w:rPr>
                  </w:pPr>
                  <w:r>
                    <w:rPr>
                      <w:rFonts w:hint="default"/>
                      <w:color w:val="auto"/>
                    </w:rPr>
                    <w:t>生活垃圾、生活污水、食堂废水</w:t>
                  </w:r>
                </w:p>
              </w:tc>
              <w:tc>
                <w:tcPr>
                  <w:tcW w:w="403" w:type="pct"/>
                  <w:tcBorders>
                    <w:tl2br w:val="nil"/>
                    <w:tr2bl w:val="nil"/>
                  </w:tcBorders>
                  <w:vAlign w:val="center"/>
                </w:tcPr>
                <w:p w14:paraId="4185CFBC">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3ABF7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3AB55ED">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1FB38B60">
                  <w:pPr>
                    <w:pStyle w:val="27"/>
                    <w:keepNext w:val="0"/>
                    <w:keepLines w:val="0"/>
                    <w:suppressLineNumbers w:val="0"/>
                    <w:spacing w:before="0" w:beforeAutospacing="0" w:after="0" w:afterAutospacing="0"/>
                    <w:ind w:left="0" w:right="0"/>
                    <w:rPr>
                      <w:rFonts w:hint="default"/>
                      <w:color w:val="auto"/>
                    </w:rPr>
                  </w:pPr>
                  <w:r>
                    <w:rPr>
                      <w:rFonts w:hint="default"/>
                      <w:color w:val="auto"/>
                    </w:rPr>
                    <w:t>食堂</w:t>
                  </w:r>
                </w:p>
              </w:tc>
              <w:tc>
                <w:tcPr>
                  <w:tcW w:w="1984" w:type="pct"/>
                  <w:tcBorders>
                    <w:tl2br w:val="nil"/>
                    <w:tr2bl w:val="nil"/>
                  </w:tcBorders>
                  <w:shd w:val="clear" w:color="auto" w:fill="auto"/>
                  <w:vAlign w:val="center"/>
                </w:tcPr>
                <w:p w14:paraId="36B4B93B">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位于综合办公楼内1F。</w:t>
                  </w:r>
                </w:p>
              </w:tc>
              <w:tc>
                <w:tcPr>
                  <w:tcW w:w="606" w:type="pct"/>
                  <w:vMerge w:val="continue"/>
                  <w:tcBorders>
                    <w:tl2br w:val="nil"/>
                    <w:tr2bl w:val="nil"/>
                  </w:tcBorders>
                  <w:vAlign w:val="center"/>
                </w:tcPr>
                <w:p w14:paraId="6C185B96">
                  <w:pPr>
                    <w:pStyle w:val="27"/>
                    <w:keepNext w:val="0"/>
                    <w:keepLines w:val="0"/>
                    <w:suppressLineNumbers w:val="0"/>
                    <w:spacing w:before="0" w:beforeAutospacing="0" w:after="0" w:afterAutospacing="0"/>
                    <w:ind w:left="0" w:right="0"/>
                    <w:rPr>
                      <w:rFonts w:hint="default"/>
                      <w:color w:val="auto"/>
                    </w:rPr>
                  </w:pPr>
                </w:p>
              </w:tc>
              <w:tc>
                <w:tcPr>
                  <w:tcW w:w="675" w:type="pct"/>
                  <w:vMerge w:val="continue"/>
                  <w:tcBorders>
                    <w:tl2br w:val="nil"/>
                    <w:tr2bl w:val="nil"/>
                  </w:tcBorders>
                  <w:vAlign w:val="center"/>
                </w:tcPr>
                <w:p w14:paraId="0A1131AF">
                  <w:pPr>
                    <w:pStyle w:val="27"/>
                    <w:keepNext w:val="0"/>
                    <w:keepLines w:val="0"/>
                    <w:suppressLineNumbers w:val="0"/>
                    <w:spacing w:before="0" w:beforeAutospacing="0" w:after="0" w:afterAutospacing="0"/>
                    <w:ind w:left="0" w:right="0"/>
                    <w:rPr>
                      <w:rFonts w:hint="default"/>
                      <w:color w:val="auto"/>
                    </w:rPr>
                  </w:pPr>
                </w:p>
              </w:tc>
              <w:tc>
                <w:tcPr>
                  <w:tcW w:w="403" w:type="pct"/>
                  <w:tcBorders>
                    <w:tl2br w:val="nil"/>
                    <w:tr2bl w:val="nil"/>
                  </w:tcBorders>
                  <w:vAlign w:val="center"/>
                </w:tcPr>
                <w:p w14:paraId="484097F9">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58566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472C7404">
                  <w:pPr>
                    <w:pStyle w:val="27"/>
                    <w:keepNext w:val="0"/>
                    <w:keepLines w:val="0"/>
                    <w:suppressLineNumbers w:val="0"/>
                    <w:spacing w:before="0" w:beforeAutospacing="0" w:after="0" w:afterAutospacing="0"/>
                    <w:ind w:left="0" w:right="0"/>
                    <w:rPr>
                      <w:rFonts w:hint="default"/>
                      <w:color w:val="auto"/>
                    </w:rPr>
                  </w:pPr>
                  <w:r>
                    <w:rPr>
                      <w:rFonts w:hint="default"/>
                      <w:color w:val="auto"/>
                    </w:rPr>
                    <w:t>仓储设施</w:t>
                  </w:r>
                </w:p>
              </w:tc>
              <w:tc>
                <w:tcPr>
                  <w:tcW w:w="876" w:type="pct"/>
                  <w:gridSpan w:val="2"/>
                  <w:tcBorders>
                    <w:tl2br w:val="nil"/>
                    <w:tr2bl w:val="nil"/>
                  </w:tcBorders>
                  <w:shd w:val="clear" w:color="auto" w:fill="auto"/>
                  <w:vAlign w:val="center"/>
                </w:tcPr>
                <w:p w14:paraId="15ED387E">
                  <w:pPr>
                    <w:pStyle w:val="27"/>
                    <w:keepNext w:val="0"/>
                    <w:keepLines w:val="0"/>
                    <w:suppressLineNumbers w:val="0"/>
                    <w:spacing w:before="0" w:beforeAutospacing="0" w:after="0" w:afterAutospacing="0"/>
                    <w:ind w:left="0" w:right="0"/>
                    <w:rPr>
                      <w:rFonts w:hint="default"/>
                      <w:color w:val="auto"/>
                    </w:rPr>
                  </w:pPr>
                  <w:r>
                    <w:rPr>
                      <w:rFonts w:hint="default"/>
                      <w:color w:val="auto"/>
                    </w:rPr>
                    <w:t>食品级硫磺仓库</w:t>
                  </w:r>
                </w:p>
              </w:tc>
              <w:tc>
                <w:tcPr>
                  <w:tcW w:w="1984" w:type="pct"/>
                  <w:tcBorders>
                    <w:tl2br w:val="nil"/>
                    <w:tr2bl w:val="nil"/>
                  </w:tcBorders>
                  <w:shd w:val="clear" w:color="auto" w:fill="auto"/>
                  <w:vAlign w:val="center"/>
                </w:tcPr>
                <w:p w14:paraId="145BF810">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1F，厂房高度15.5m，占地面积403.43m</w:t>
                  </w:r>
                  <w:r>
                    <w:rPr>
                      <w:rFonts w:hint="default"/>
                      <w:color w:val="auto"/>
                      <w:vertAlign w:val="superscript"/>
                    </w:rPr>
                    <w:t>2</w:t>
                  </w:r>
                  <w:r>
                    <w:rPr>
                      <w:rFonts w:hint="default"/>
                      <w:color w:val="auto"/>
                    </w:rPr>
                    <w:t>，乙类仓库，主要用于食品级硫磺产品堆存。</w:t>
                  </w:r>
                </w:p>
              </w:tc>
              <w:tc>
                <w:tcPr>
                  <w:tcW w:w="606" w:type="pct"/>
                  <w:vMerge w:val="continue"/>
                  <w:tcBorders>
                    <w:tl2br w:val="nil"/>
                    <w:tr2bl w:val="nil"/>
                  </w:tcBorders>
                  <w:vAlign w:val="center"/>
                </w:tcPr>
                <w:p w14:paraId="1558BE7A">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26DD222C">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25CDF7F9">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253A0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18E9F050">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1EA8EAF7">
                  <w:pPr>
                    <w:pStyle w:val="27"/>
                    <w:keepNext w:val="0"/>
                    <w:keepLines w:val="0"/>
                    <w:suppressLineNumbers w:val="0"/>
                    <w:spacing w:before="0" w:beforeAutospacing="0" w:after="0" w:afterAutospacing="0"/>
                    <w:ind w:left="0" w:right="0"/>
                    <w:rPr>
                      <w:rFonts w:hint="default"/>
                      <w:color w:val="auto"/>
                    </w:rPr>
                  </w:pPr>
                  <w:r>
                    <w:rPr>
                      <w:rFonts w:hint="default"/>
                      <w:color w:val="auto"/>
                    </w:rPr>
                    <w:t>矩形料场</w:t>
                  </w:r>
                </w:p>
              </w:tc>
              <w:tc>
                <w:tcPr>
                  <w:tcW w:w="1984" w:type="pct"/>
                  <w:tcBorders>
                    <w:tl2br w:val="nil"/>
                    <w:tr2bl w:val="nil"/>
                  </w:tcBorders>
                  <w:shd w:val="clear" w:color="auto" w:fill="auto"/>
                  <w:vAlign w:val="center"/>
                </w:tcPr>
                <w:p w14:paraId="092D70C7">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1F，厂房高度27.15m，占地面积5980m</w:t>
                  </w:r>
                  <w:r>
                    <w:rPr>
                      <w:rFonts w:hint="default"/>
                      <w:color w:val="auto"/>
                      <w:vertAlign w:val="superscript"/>
                    </w:rPr>
                    <w:t>2</w:t>
                  </w:r>
                  <w:r>
                    <w:rPr>
                      <w:rFonts w:hint="default"/>
                      <w:color w:val="auto"/>
                    </w:rPr>
                    <w:t>，丙类料场，主要用于工业级硫磺。</w:t>
                  </w:r>
                </w:p>
              </w:tc>
              <w:tc>
                <w:tcPr>
                  <w:tcW w:w="606" w:type="pct"/>
                  <w:vMerge w:val="continue"/>
                  <w:tcBorders>
                    <w:tl2br w:val="nil"/>
                    <w:tr2bl w:val="nil"/>
                  </w:tcBorders>
                  <w:vAlign w:val="center"/>
                </w:tcPr>
                <w:p w14:paraId="6F7D2F53">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0ADC1570">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07EDA8B8">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7855B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34D8BAFB">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3089C5CF">
                  <w:pPr>
                    <w:pStyle w:val="27"/>
                    <w:keepNext w:val="0"/>
                    <w:keepLines w:val="0"/>
                    <w:suppressLineNumbers w:val="0"/>
                    <w:spacing w:before="0" w:beforeAutospacing="0" w:after="0" w:afterAutospacing="0"/>
                    <w:ind w:left="0" w:right="0"/>
                    <w:rPr>
                      <w:rFonts w:hint="default"/>
                      <w:color w:val="auto"/>
                    </w:rPr>
                  </w:pPr>
                  <w:r>
                    <w:rPr>
                      <w:rFonts w:hint="default"/>
                      <w:color w:val="auto"/>
                    </w:rPr>
                    <w:t>CO</w:t>
                  </w:r>
                  <w:r>
                    <w:rPr>
                      <w:rFonts w:hint="default"/>
                      <w:color w:val="auto"/>
                      <w:vertAlign w:val="subscript"/>
                    </w:rPr>
                    <w:t>2</w:t>
                  </w:r>
                  <w:r>
                    <w:rPr>
                      <w:rFonts w:hint="default"/>
                      <w:color w:val="auto"/>
                    </w:rPr>
                    <w:t>储罐</w:t>
                  </w:r>
                </w:p>
              </w:tc>
              <w:tc>
                <w:tcPr>
                  <w:tcW w:w="1984" w:type="pct"/>
                  <w:tcBorders>
                    <w:tl2br w:val="nil"/>
                    <w:tr2bl w:val="nil"/>
                  </w:tcBorders>
                  <w:shd w:val="clear" w:color="auto" w:fill="auto"/>
                  <w:vAlign w:val="center"/>
                </w:tcPr>
                <w:p w14:paraId="0F96746D">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位于消防泵房外东南侧，设置2个100m</w:t>
                  </w:r>
                  <w:r>
                    <w:rPr>
                      <w:rFonts w:hint="default"/>
                      <w:color w:val="auto"/>
                      <w:vertAlign w:val="superscript"/>
                    </w:rPr>
                    <w:t>3</w:t>
                  </w:r>
                  <w:r>
                    <w:rPr>
                      <w:rFonts w:hint="default"/>
                      <w:color w:val="auto"/>
                    </w:rPr>
                    <w:t>立式压力CO</w:t>
                  </w:r>
                  <w:r>
                    <w:rPr>
                      <w:rFonts w:hint="default"/>
                      <w:color w:val="auto"/>
                      <w:vertAlign w:val="subscript"/>
                    </w:rPr>
                    <w:t>2</w:t>
                  </w:r>
                  <w:r>
                    <w:rPr>
                      <w:rFonts w:hint="default"/>
                      <w:color w:val="auto"/>
                    </w:rPr>
                    <w:t>储罐，储存压力为2.2Mpa</w:t>
                  </w:r>
                </w:p>
              </w:tc>
              <w:tc>
                <w:tcPr>
                  <w:tcW w:w="606" w:type="pct"/>
                  <w:vMerge w:val="continue"/>
                  <w:tcBorders>
                    <w:tl2br w:val="nil"/>
                    <w:tr2bl w:val="nil"/>
                  </w:tcBorders>
                  <w:vAlign w:val="center"/>
                </w:tcPr>
                <w:p w14:paraId="14880AB6">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23E65BCE">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5907E8D9">
                  <w:pPr>
                    <w:pStyle w:val="28"/>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4CC7E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14ADDF97">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42805CB0">
                  <w:pPr>
                    <w:pStyle w:val="27"/>
                    <w:keepNext w:val="0"/>
                    <w:keepLines w:val="0"/>
                    <w:suppressLineNumbers w:val="0"/>
                    <w:spacing w:before="0" w:beforeAutospacing="0" w:after="0" w:afterAutospacing="0"/>
                    <w:ind w:left="0" w:right="0"/>
                    <w:rPr>
                      <w:rFonts w:hint="default"/>
                      <w:color w:val="auto"/>
                    </w:rPr>
                  </w:pPr>
                  <w:r>
                    <w:rPr>
                      <w:rFonts w:hint="default"/>
                      <w:color w:val="auto"/>
                    </w:rPr>
                    <w:t>消防水罐</w:t>
                  </w:r>
                </w:p>
              </w:tc>
              <w:tc>
                <w:tcPr>
                  <w:tcW w:w="1984" w:type="pct"/>
                  <w:tcBorders>
                    <w:tl2br w:val="nil"/>
                    <w:tr2bl w:val="nil"/>
                  </w:tcBorders>
                  <w:shd w:val="clear" w:color="auto" w:fill="auto"/>
                  <w:vAlign w:val="center"/>
                </w:tcPr>
                <w:p w14:paraId="307D9944">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位于消防泵房外西侧，设置2个500m</w:t>
                  </w:r>
                  <w:r>
                    <w:rPr>
                      <w:rFonts w:hint="default"/>
                      <w:color w:val="auto"/>
                      <w:vertAlign w:val="superscript"/>
                    </w:rPr>
                    <w:t>3</w:t>
                  </w:r>
                  <w:r>
                    <w:rPr>
                      <w:rFonts w:hint="default"/>
                      <w:color w:val="auto"/>
                    </w:rPr>
                    <w:t>立式固定顶消防水储罐，用于消防水储存</w:t>
                  </w:r>
                </w:p>
              </w:tc>
              <w:tc>
                <w:tcPr>
                  <w:tcW w:w="606" w:type="pct"/>
                  <w:vMerge w:val="continue"/>
                  <w:tcBorders>
                    <w:tl2br w:val="nil"/>
                    <w:tr2bl w:val="nil"/>
                  </w:tcBorders>
                  <w:vAlign w:val="center"/>
                </w:tcPr>
                <w:p w14:paraId="7FAAC00A">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0D272D8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78E579B6">
                  <w:pPr>
                    <w:pStyle w:val="28"/>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6C3F0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7B01F4FC">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5F6D6EF5">
                  <w:pPr>
                    <w:pStyle w:val="27"/>
                    <w:keepNext w:val="0"/>
                    <w:keepLines w:val="0"/>
                    <w:suppressLineNumbers w:val="0"/>
                    <w:spacing w:before="0" w:beforeAutospacing="0" w:after="0" w:afterAutospacing="0"/>
                    <w:ind w:left="0" w:right="0"/>
                    <w:rPr>
                      <w:rFonts w:hint="default"/>
                      <w:color w:val="auto"/>
                    </w:rPr>
                  </w:pPr>
                  <w:r>
                    <w:rPr>
                      <w:rFonts w:hint="default"/>
                      <w:color w:val="auto"/>
                    </w:rPr>
                    <w:t>LNG充装撬</w:t>
                  </w:r>
                </w:p>
              </w:tc>
              <w:tc>
                <w:tcPr>
                  <w:tcW w:w="1984" w:type="pct"/>
                  <w:tcBorders>
                    <w:tl2br w:val="nil"/>
                    <w:tr2bl w:val="nil"/>
                  </w:tcBorders>
                  <w:shd w:val="clear" w:color="auto" w:fill="auto"/>
                  <w:vAlign w:val="center"/>
                </w:tcPr>
                <w:p w14:paraId="0B63D589">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位于厂区的西侧，设LNG撬装设备区一处，为一体式LNG橇装设备，撬内包含1座60m3地下式低温卧式储罐、1座LNG泵撬（含1台潜液泵/卸车增压器/EAG汽化器）、一套仪表风系统（1台静音润滑式空压机、1台压缩空气冷冻式干燥机、1台高效过滤器、空压机储气罐及氮气瓶）、LNG放散管等，仅为企业内部车辆使用</w:t>
                  </w:r>
                </w:p>
              </w:tc>
              <w:tc>
                <w:tcPr>
                  <w:tcW w:w="606" w:type="pct"/>
                  <w:vMerge w:val="continue"/>
                  <w:tcBorders>
                    <w:tl2br w:val="nil"/>
                    <w:tr2bl w:val="nil"/>
                  </w:tcBorders>
                  <w:vAlign w:val="center"/>
                </w:tcPr>
                <w:p w14:paraId="3A6C9E77">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459108DF">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2E94805E">
                  <w:pPr>
                    <w:pStyle w:val="28"/>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4F62B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1BD76B44">
                  <w:pPr>
                    <w:pStyle w:val="27"/>
                    <w:keepNext w:val="0"/>
                    <w:keepLines w:val="0"/>
                    <w:suppressLineNumbers w:val="0"/>
                    <w:spacing w:before="0" w:beforeAutospacing="0" w:after="0" w:afterAutospacing="0"/>
                    <w:ind w:left="0" w:right="0"/>
                    <w:rPr>
                      <w:rFonts w:hint="default"/>
                      <w:color w:val="auto"/>
                    </w:rPr>
                  </w:pPr>
                </w:p>
              </w:tc>
              <w:tc>
                <w:tcPr>
                  <w:tcW w:w="876" w:type="pct"/>
                  <w:gridSpan w:val="2"/>
                  <w:tcBorders>
                    <w:tl2br w:val="nil"/>
                    <w:tr2bl w:val="nil"/>
                  </w:tcBorders>
                  <w:shd w:val="clear" w:color="auto" w:fill="auto"/>
                  <w:vAlign w:val="center"/>
                </w:tcPr>
                <w:p w14:paraId="3D9AE010">
                  <w:pPr>
                    <w:pStyle w:val="27"/>
                    <w:keepNext w:val="0"/>
                    <w:keepLines w:val="0"/>
                    <w:suppressLineNumbers w:val="0"/>
                    <w:spacing w:before="0" w:beforeAutospacing="0" w:after="0" w:afterAutospacing="0"/>
                    <w:ind w:left="0" w:right="0"/>
                    <w:rPr>
                      <w:rFonts w:hint="default"/>
                      <w:color w:val="auto"/>
                    </w:rPr>
                  </w:pPr>
                  <w:r>
                    <w:rPr>
                      <w:rFonts w:hint="default"/>
                      <w:color w:val="auto"/>
                    </w:rPr>
                    <w:t>柴油撬装站</w:t>
                  </w:r>
                </w:p>
              </w:tc>
              <w:tc>
                <w:tcPr>
                  <w:tcW w:w="1984" w:type="pct"/>
                  <w:tcBorders>
                    <w:tl2br w:val="nil"/>
                    <w:tr2bl w:val="nil"/>
                  </w:tcBorders>
                  <w:shd w:val="clear" w:color="auto" w:fill="auto"/>
                  <w:vAlign w:val="center"/>
                </w:tcPr>
                <w:p w14:paraId="11FAADE3">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位于LNG充装撬东北侧，设置1个60m</w:t>
                  </w:r>
                  <w:r>
                    <w:rPr>
                      <w:rFonts w:hint="default"/>
                      <w:color w:val="auto"/>
                      <w:vertAlign w:val="superscript"/>
                    </w:rPr>
                    <w:t>3</w:t>
                  </w:r>
                  <w:r>
                    <w:rPr>
                      <w:rFonts w:hint="default"/>
                      <w:color w:val="auto"/>
                    </w:rPr>
                    <w:t>卧式固定顶柴油撬装站，并在其西侧设置卸车位，仅为企业内部车辆使用</w:t>
                  </w:r>
                </w:p>
              </w:tc>
              <w:tc>
                <w:tcPr>
                  <w:tcW w:w="606" w:type="pct"/>
                  <w:vMerge w:val="continue"/>
                  <w:tcBorders>
                    <w:tl2br w:val="nil"/>
                    <w:tr2bl w:val="nil"/>
                  </w:tcBorders>
                  <w:vAlign w:val="center"/>
                </w:tcPr>
                <w:p w14:paraId="46AD77AA">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7A1109D6">
                  <w:pPr>
                    <w:pStyle w:val="27"/>
                    <w:keepNext w:val="0"/>
                    <w:keepLines w:val="0"/>
                    <w:suppressLineNumbers w:val="0"/>
                    <w:spacing w:before="0" w:beforeAutospacing="0" w:after="0" w:afterAutospacing="0"/>
                    <w:ind w:left="0" w:right="0"/>
                    <w:rPr>
                      <w:rFonts w:hint="default"/>
                      <w:color w:val="auto"/>
                    </w:rPr>
                  </w:pPr>
                  <w:r>
                    <w:rPr>
                      <w:rFonts w:hint="default"/>
                      <w:color w:val="auto"/>
                    </w:rPr>
                    <w:t>废气、噪声、固废</w:t>
                  </w:r>
                </w:p>
              </w:tc>
              <w:tc>
                <w:tcPr>
                  <w:tcW w:w="403" w:type="pct"/>
                  <w:tcBorders>
                    <w:tl2br w:val="nil"/>
                    <w:tr2bl w:val="nil"/>
                  </w:tcBorders>
                  <w:vAlign w:val="center"/>
                </w:tcPr>
                <w:p w14:paraId="5E1C6D2C">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10F29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restart"/>
                  <w:tcBorders>
                    <w:tl2br w:val="nil"/>
                    <w:tr2bl w:val="nil"/>
                  </w:tcBorders>
                  <w:vAlign w:val="center"/>
                </w:tcPr>
                <w:p w14:paraId="24110B24">
                  <w:pPr>
                    <w:pStyle w:val="27"/>
                    <w:keepNext w:val="0"/>
                    <w:keepLines w:val="0"/>
                    <w:suppressLineNumbers w:val="0"/>
                    <w:spacing w:before="0" w:beforeAutospacing="0" w:after="0" w:afterAutospacing="0"/>
                    <w:ind w:left="0" w:right="0"/>
                    <w:rPr>
                      <w:rFonts w:hint="default"/>
                      <w:color w:val="auto"/>
                    </w:rPr>
                  </w:pPr>
                  <w:r>
                    <w:rPr>
                      <w:rFonts w:hint="default"/>
                      <w:color w:val="auto"/>
                    </w:rPr>
                    <w:t>环保工程</w:t>
                  </w:r>
                </w:p>
              </w:tc>
              <w:tc>
                <w:tcPr>
                  <w:tcW w:w="876" w:type="pct"/>
                  <w:gridSpan w:val="2"/>
                  <w:vMerge w:val="restart"/>
                  <w:tcBorders>
                    <w:tl2br w:val="nil"/>
                    <w:tr2bl w:val="nil"/>
                  </w:tcBorders>
                  <w:shd w:val="clear" w:color="auto" w:fill="auto"/>
                  <w:vAlign w:val="center"/>
                </w:tcPr>
                <w:p w14:paraId="2D4652C0">
                  <w:pPr>
                    <w:pStyle w:val="27"/>
                    <w:keepNext w:val="0"/>
                    <w:keepLines w:val="0"/>
                    <w:suppressLineNumbers w:val="0"/>
                    <w:spacing w:before="0" w:beforeAutospacing="0" w:after="0" w:afterAutospacing="0"/>
                    <w:ind w:left="0" w:right="0"/>
                    <w:rPr>
                      <w:rFonts w:hint="default"/>
                      <w:color w:val="auto"/>
                    </w:rPr>
                  </w:pPr>
                  <w:r>
                    <w:rPr>
                      <w:rFonts w:hint="default"/>
                      <w:color w:val="auto"/>
                    </w:rPr>
                    <w:t>废气</w:t>
                  </w:r>
                </w:p>
              </w:tc>
              <w:tc>
                <w:tcPr>
                  <w:tcW w:w="1984" w:type="pct"/>
                  <w:tcBorders>
                    <w:tl2br w:val="nil"/>
                    <w:tr2bl w:val="nil"/>
                  </w:tcBorders>
                  <w:shd w:val="clear" w:color="auto" w:fill="auto"/>
                  <w:vAlign w:val="center"/>
                </w:tcPr>
                <w:p w14:paraId="2445B0EB">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硫磺生产液硫池沉淀、提纯、造粒、刮片等工序产生的粉尘经“旋风水膜除尘器+25m高排气筒排放”（DA001）</w:t>
                  </w:r>
                </w:p>
              </w:tc>
              <w:tc>
                <w:tcPr>
                  <w:tcW w:w="606" w:type="pct"/>
                  <w:vMerge w:val="continue"/>
                  <w:tcBorders>
                    <w:tl2br w:val="nil"/>
                    <w:tr2bl w:val="nil"/>
                  </w:tcBorders>
                  <w:vAlign w:val="center"/>
                </w:tcPr>
                <w:p w14:paraId="34AF1631">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40C5A049">
                  <w:pPr>
                    <w:pStyle w:val="27"/>
                    <w:keepNext w:val="0"/>
                    <w:keepLines w:val="0"/>
                    <w:suppressLineNumbers w:val="0"/>
                    <w:spacing w:before="0" w:beforeAutospacing="0" w:after="0" w:afterAutospacing="0"/>
                    <w:ind w:left="0" w:right="0"/>
                    <w:rPr>
                      <w:rFonts w:hint="default"/>
                      <w:color w:val="auto"/>
                    </w:rPr>
                  </w:pPr>
                  <w:r>
                    <w:rPr>
                      <w:rFonts w:hint="default"/>
                      <w:color w:val="auto"/>
                    </w:rPr>
                    <w:t>废气、固废</w:t>
                  </w:r>
                </w:p>
              </w:tc>
              <w:tc>
                <w:tcPr>
                  <w:tcW w:w="403" w:type="pct"/>
                  <w:tcBorders>
                    <w:tl2br w:val="nil"/>
                    <w:tr2bl w:val="nil"/>
                  </w:tcBorders>
                  <w:vAlign w:val="center"/>
                </w:tcPr>
                <w:p w14:paraId="225EE7D1">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6FE19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464CD67E">
                  <w:pPr>
                    <w:pStyle w:val="27"/>
                    <w:keepNext w:val="0"/>
                    <w:keepLines w:val="0"/>
                    <w:suppressLineNumbers w:val="0"/>
                    <w:spacing w:before="0" w:beforeAutospacing="0" w:after="0" w:afterAutospacing="0"/>
                    <w:ind w:left="0" w:right="0"/>
                    <w:rPr>
                      <w:rFonts w:hint="default"/>
                      <w:color w:val="auto"/>
                    </w:rPr>
                  </w:pPr>
                </w:p>
              </w:tc>
              <w:tc>
                <w:tcPr>
                  <w:tcW w:w="876" w:type="pct"/>
                  <w:gridSpan w:val="2"/>
                  <w:vMerge w:val="continue"/>
                  <w:tcBorders>
                    <w:tl2br w:val="nil"/>
                    <w:tr2bl w:val="nil"/>
                  </w:tcBorders>
                  <w:shd w:val="clear" w:color="auto" w:fill="auto"/>
                  <w:vAlign w:val="center"/>
                </w:tcPr>
                <w:p w14:paraId="629EAF9E">
                  <w:pPr>
                    <w:pStyle w:val="27"/>
                    <w:keepNext w:val="0"/>
                    <w:keepLines w:val="0"/>
                    <w:suppressLineNumbers w:val="0"/>
                    <w:spacing w:before="0" w:beforeAutospacing="0" w:after="0" w:afterAutospacing="0"/>
                    <w:ind w:left="0" w:right="0"/>
                    <w:rPr>
                      <w:rFonts w:hint="default"/>
                      <w:color w:val="auto"/>
                    </w:rPr>
                  </w:pPr>
                </w:p>
              </w:tc>
              <w:tc>
                <w:tcPr>
                  <w:tcW w:w="1984" w:type="pct"/>
                  <w:tcBorders>
                    <w:tl2br w:val="nil"/>
                    <w:tr2bl w:val="nil"/>
                  </w:tcBorders>
                  <w:shd w:val="clear" w:color="auto" w:fill="auto"/>
                  <w:vAlign w:val="center"/>
                </w:tcPr>
                <w:p w14:paraId="5CB80FD7">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矩形料仓设置雾炮机，加速粉尘沉降，减少无组织废气</w:t>
                  </w:r>
                </w:p>
              </w:tc>
              <w:tc>
                <w:tcPr>
                  <w:tcW w:w="606" w:type="pct"/>
                  <w:vMerge w:val="continue"/>
                  <w:tcBorders>
                    <w:tl2br w:val="nil"/>
                    <w:tr2bl w:val="nil"/>
                  </w:tcBorders>
                  <w:vAlign w:val="center"/>
                </w:tcPr>
                <w:p w14:paraId="2AE71CA8">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0EC6D631">
                  <w:pPr>
                    <w:pStyle w:val="27"/>
                    <w:keepNext w:val="0"/>
                    <w:keepLines w:val="0"/>
                    <w:suppressLineNumbers w:val="0"/>
                    <w:spacing w:before="0" w:beforeAutospacing="0" w:after="0" w:afterAutospacing="0"/>
                    <w:ind w:left="0" w:right="0"/>
                    <w:rPr>
                      <w:rFonts w:hint="default"/>
                      <w:color w:val="auto"/>
                    </w:rPr>
                  </w:pPr>
                  <w:r>
                    <w:rPr>
                      <w:rFonts w:hint="default"/>
                      <w:color w:val="auto"/>
                    </w:rPr>
                    <w:t>废气</w:t>
                  </w:r>
                </w:p>
              </w:tc>
              <w:tc>
                <w:tcPr>
                  <w:tcW w:w="403" w:type="pct"/>
                  <w:tcBorders>
                    <w:tl2br w:val="nil"/>
                    <w:tr2bl w:val="nil"/>
                  </w:tcBorders>
                  <w:vAlign w:val="center"/>
                </w:tcPr>
                <w:p w14:paraId="6C3A1749">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6C485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C1FFB08">
                  <w:pPr>
                    <w:pStyle w:val="27"/>
                    <w:keepNext w:val="0"/>
                    <w:keepLines w:val="0"/>
                    <w:suppressLineNumbers w:val="0"/>
                    <w:spacing w:before="0" w:beforeAutospacing="0" w:after="0" w:afterAutospacing="0"/>
                    <w:ind w:left="0" w:right="0"/>
                    <w:rPr>
                      <w:rFonts w:hint="default"/>
                      <w:color w:val="auto"/>
                    </w:rPr>
                  </w:pPr>
                </w:p>
              </w:tc>
              <w:tc>
                <w:tcPr>
                  <w:tcW w:w="876" w:type="pct"/>
                  <w:gridSpan w:val="2"/>
                  <w:vMerge w:val="continue"/>
                  <w:tcBorders>
                    <w:tl2br w:val="nil"/>
                    <w:tr2bl w:val="nil"/>
                  </w:tcBorders>
                  <w:shd w:val="clear" w:color="auto" w:fill="auto"/>
                  <w:vAlign w:val="center"/>
                </w:tcPr>
                <w:p w14:paraId="44A0AB63">
                  <w:pPr>
                    <w:pStyle w:val="27"/>
                    <w:keepNext w:val="0"/>
                    <w:keepLines w:val="0"/>
                    <w:suppressLineNumbers w:val="0"/>
                    <w:spacing w:before="0" w:beforeAutospacing="0" w:after="0" w:afterAutospacing="0"/>
                    <w:ind w:left="0" w:right="0"/>
                    <w:rPr>
                      <w:rFonts w:hint="default"/>
                      <w:color w:val="auto"/>
                    </w:rPr>
                  </w:pPr>
                </w:p>
              </w:tc>
              <w:tc>
                <w:tcPr>
                  <w:tcW w:w="1984" w:type="pct"/>
                  <w:tcBorders>
                    <w:tl2br w:val="nil"/>
                    <w:tr2bl w:val="nil"/>
                  </w:tcBorders>
                  <w:shd w:val="clear" w:color="auto" w:fill="auto"/>
                  <w:vAlign w:val="center"/>
                </w:tcPr>
                <w:p w14:paraId="7F51817F">
                  <w:pPr>
                    <w:pStyle w:val="27"/>
                    <w:keepNext w:val="0"/>
                    <w:keepLines w:val="0"/>
                    <w:suppressLineNumbers w:val="0"/>
                    <w:wordWrap w:val="0"/>
                    <w:spacing w:before="0" w:beforeAutospacing="0" w:after="0" w:afterAutospacing="0"/>
                    <w:ind w:left="0" w:right="0"/>
                    <w:jc w:val="both"/>
                    <w:rPr>
                      <w:rFonts w:hint="default"/>
                      <w:color w:val="auto"/>
                    </w:rPr>
                  </w:pPr>
                  <w:bookmarkStart w:id="69" w:name="OLE_LINK140"/>
                  <w:bookmarkStart w:id="70" w:name="OLE_LINK141"/>
                  <w:r>
                    <w:rPr>
                      <w:rFonts w:hint="default"/>
                      <w:color w:val="auto"/>
                    </w:rPr>
                    <w:t>柴油撬装站设置油气回收系统，用于收集卸油产生废气；在撬装顶部设置2根DN50通气立管，通气立管口设阻火呼吸阀。</w:t>
                  </w:r>
                  <w:bookmarkEnd w:id="69"/>
                  <w:bookmarkEnd w:id="70"/>
                </w:p>
              </w:tc>
              <w:tc>
                <w:tcPr>
                  <w:tcW w:w="606" w:type="pct"/>
                  <w:vMerge w:val="continue"/>
                  <w:tcBorders>
                    <w:tl2br w:val="nil"/>
                    <w:tr2bl w:val="nil"/>
                  </w:tcBorders>
                  <w:vAlign w:val="center"/>
                </w:tcPr>
                <w:p w14:paraId="7C7F9A17">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6F88A7AC">
                  <w:pPr>
                    <w:pStyle w:val="27"/>
                    <w:keepNext w:val="0"/>
                    <w:keepLines w:val="0"/>
                    <w:suppressLineNumbers w:val="0"/>
                    <w:spacing w:before="0" w:beforeAutospacing="0" w:after="0" w:afterAutospacing="0"/>
                    <w:ind w:left="0" w:right="0"/>
                    <w:rPr>
                      <w:rFonts w:hint="default"/>
                      <w:color w:val="auto"/>
                    </w:rPr>
                  </w:pPr>
                  <w:r>
                    <w:rPr>
                      <w:rFonts w:hint="default"/>
                      <w:color w:val="auto"/>
                    </w:rPr>
                    <w:t>废气</w:t>
                  </w:r>
                </w:p>
              </w:tc>
              <w:tc>
                <w:tcPr>
                  <w:tcW w:w="403" w:type="pct"/>
                  <w:tcBorders>
                    <w:tl2br w:val="nil"/>
                    <w:tr2bl w:val="nil"/>
                  </w:tcBorders>
                  <w:vAlign w:val="center"/>
                </w:tcPr>
                <w:p w14:paraId="678AC4D8">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558EF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06B7ECFA">
                  <w:pPr>
                    <w:pStyle w:val="27"/>
                    <w:keepNext w:val="0"/>
                    <w:keepLines w:val="0"/>
                    <w:suppressLineNumbers w:val="0"/>
                    <w:spacing w:before="0" w:beforeAutospacing="0" w:after="0" w:afterAutospacing="0"/>
                    <w:ind w:left="0" w:right="0"/>
                    <w:rPr>
                      <w:rFonts w:hint="default"/>
                      <w:color w:val="auto"/>
                    </w:rPr>
                  </w:pPr>
                </w:p>
              </w:tc>
              <w:tc>
                <w:tcPr>
                  <w:tcW w:w="876" w:type="pct"/>
                  <w:gridSpan w:val="2"/>
                  <w:vMerge w:val="continue"/>
                  <w:tcBorders>
                    <w:tl2br w:val="nil"/>
                    <w:tr2bl w:val="nil"/>
                  </w:tcBorders>
                  <w:shd w:val="clear" w:color="auto" w:fill="auto"/>
                  <w:vAlign w:val="center"/>
                </w:tcPr>
                <w:p w14:paraId="27225FA3">
                  <w:pPr>
                    <w:pStyle w:val="27"/>
                    <w:keepNext w:val="0"/>
                    <w:keepLines w:val="0"/>
                    <w:suppressLineNumbers w:val="0"/>
                    <w:spacing w:before="0" w:beforeAutospacing="0" w:after="0" w:afterAutospacing="0"/>
                    <w:ind w:left="0" w:right="0"/>
                    <w:rPr>
                      <w:rFonts w:hint="default"/>
                      <w:color w:val="auto"/>
                    </w:rPr>
                  </w:pPr>
                </w:p>
              </w:tc>
              <w:tc>
                <w:tcPr>
                  <w:tcW w:w="1984" w:type="pct"/>
                  <w:tcBorders>
                    <w:tl2br w:val="nil"/>
                    <w:tr2bl w:val="nil"/>
                  </w:tcBorders>
                  <w:shd w:val="clear" w:color="auto" w:fill="auto"/>
                  <w:vAlign w:val="center"/>
                </w:tcPr>
                <w:p w14:paraId="6BCC4F04">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食堂油烟经“油烟净化器+13m高排气筒排放”（DA002）</w:t>
                  </w:r>
                </w:p>
              </w:tc>
              <w:tc>
                <w:tcPr>
                  <w:tcW w:w="606" w:type="pct"/>
                  <w:vMerge w:val="continue"/>
                  <w:tcBorders>
                    <w:tl2br w:val="nil"/>
                    <w:tr2bl w:val="nil"/>
                  </w:tcBorders>
                  <w:vAlign w:val="center"/>
                </w:tcPr>
                <w:p w14:paraId="2EB0B044">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6937835E">
                  <w:pPr>
                    <w:pStyle w:val="27"/>
                    <w:keepNext w:val="0"/>
                    <w:keepLines w:val="0"/>
                    <w:suppressLineNumbers w:val="0"/>
                    <w:spacing w:before="0" w:beforeAutospacing="0" w:after="0" w:afterAutospacing="0"/>
                    <w:ind w:left="0" w:right="0"/>
                    <w:rPr>
                      <w:rFonts w:hint="default"/>
                      <w:color w:val="auto"/>
                    </w:rPr>
                  </w:pPr>
                  <w:r>
                    <w:rPr>
                      <w:rFonts w:hint="default"/>
                      <w:color w:val="auto"/>
                    </w:rPr>
                    <w:t>油烟</w:t>
                  </w:r>
                </w:p>
              </w:tc>
              <w:tc>
                <w:tcPr>
                  <w:tcW w:w="403" w:type="pct"/>
                  <w:tcBorders>
                    <w:tl2br w:val="nil"/>
                    <w:tr2bl w:val="nil"/>
                  </w:tcBorders>
                  <w:vAlign w:val="center"/>
                </w:tcPr>
                <w:p w14:paraId="2132DB93">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2AD9C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4E85CD9A">
                  <w:pPr>
                    <w:pStyle w:val="27"/>
                    <w:keepNext w:val="0"/>
                    <w:keepLines w:val="0"/>
                    <w:suppressLineNumbers w:val="0"/>
                    <w:spacing w:before="0" w:beforeAutospacing="0" w:after="0" w:afterAutospacing="0"/>
                    <w:ind w:left="0" w:right="0"/>
                    <w:rPr>
                      <w:rFonts w:hint="default"/>
                      <w:color w:val="auto"/>
                    </w:rPr>
                  </w:pPr>
                </w:p>
              </w:tc>
              <w:tc>
                <w:tcPr>
                  <w:tcW w:w="412" w:type="pct"/>
                  <w:vMerge w:val="restart"/>
                  <w:tcBorders>
                    <w:tl2br w:val="nil"/>
                    <w:tr2bl w:val="nil"/>
                  </w:tcBorders>
                  <w:shd w:val="clear" w:color="auto" w:fill="auto"/>
                  <w:vAlign w:val="center"/>
                </w:tcPr>
                <w:p w14:paraId="53F50CB1">
                  <w:pPr>
                    <w:pStyle w:val="27"/>
                    <w:keepNext w:val="0"/>
                    <w:keepLines w:val="0"/>
                    <w:suppressLineNumbers w:val="0"/>
                    <w:spacing w:before="0" w:beforeAutospacing="0" w:after="0" w:afterAutospacing="0"/>
                    <w:ind w:left="0" w:right="0"/>
                    <w:rPr>
                      <w:rFonts w:hint="default"/>
                      <w:color w:val="auto"/>
                    </w:rPr>
                  </w:pPr>
                  <w:r>
                    <w:rPr>
                      <w:rFonts w:hint="default"/>
                      <w:color w:val="auto"/>
                    </w:rPr>
                    <w:t>废水</w:t>
                  </w:r>
                </w:p>
              </w:tc>
              <w:tc>
                <w:tcPr>
                  <w:tcW w:w="464" w:type="pct"/>
                  <w:vMerge w:val="restart"/>
                  <w:tcBorders>
                    <w:tl2br w:val="nil"/>
                    <w:tr2bl w:val="nil"/>
                  </w:tcBorders>
                  <w:shd w:val="clear" w:color="auto" w:fill="auto"/>
                  <w:vAlign w:val="center"/>
                </w:tcPr>
                <w:p w14:paraId="2EE7ED2A">
                  <w:pPr>
                    <w:pStyle w:val="27"/>
                    <w:keepNext w:val="0"/>
                    <w:keepLines w:val="0"/>
                    <w:suppressLineNumbers w:val="0"/>
                    <w:spacing w:before="0" w:beforeAutospacing="0" w:after="0" w:afterAutospacing="0"/>
                    <w:ind w:left="0" w:right="0"/>
                    <w:rPr>
                      <w:rFonts w:hint="default"/>
                      <w:color w:val="auto"/>
                    </w:rPr>
                  </w:pPr>
                  <w:r>
                    <w:rPr>
                      <w:rFonts w:hint="default"/>
                      <w:color w:val="auto"/>
                    </w:rPr>
                    <w:t>生活污水</w:t>
                  </w:r>
                </w:p>
              </w:tc>
              <w:tc>
                <w:tcPr>
                  <w:tcW w:w="1984" w:type="pct"/>
                  <w:tcBorders>
                    <w:tl2br w:val="nil"/>
                    <w:tr2bl w:val="nil"/>
                  </w:tcBorders>
                  <w:shd w:val="clear" w:color="auto" w:fill="auto"/>
                  <w:vAlign w:val="center"/>
                </w:tcPr>
                <w:p w14:paraId="553C24A6">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1座隔油池容积5m</w:t>
                  </w:r>
                  <w:r>
                    <w:rPr>
                      <w:rFonts w:hint="default"/>
                      <w:color w:val="auto"/>
                      <w:vertAlign w:val="superscript"/>
                    </w:rPr>
                    <w:t>3</w:t>
                  </w:r>
                </w:p>
              </w:tc>
              <w:tc>
                <w:tcPr>
                  <w:tcW w:w="606" w:type="pct"/>
                  <w:vMerge w:val="continue"/>
                  <w:tcBorders>
                    <w:tl2br w:val="nil"/>
                    <w:tr2bl w:val="nil"/>
                  </w:tcBorders>
                  <w:vAlign w:val="center"/>
                </w:tcPr>
                <w:p w14:paraId="7B98A3BE">
                  <w:pPr>
                    <w:pStyle w:val="27"/>
                    <w:keepNext w:val="0"/>
                    <w:keepLines w:val="0"/>
                    <w:suppressLineNumbers w:val="0"/>
                    <w:spacing w:before="0" w:beforeAutospacing="0" w:after="0" w:afterAutospacing="0"/>
                    <w:ind w:left="0" w:right="0"/>
                    <w:rPr>
                      <w:rFonts w:hint="default"/>
                      <w:color w:val="auto"/>
                    </w:rPr>
                  </w:pPr>
                </w:p>
              </w:tc>
              <w:tc>
                <w:tcPr>
                  <w:tcW w:w="675" w:type="pct"/>
                  <w:vMerge w:val="restart"/>
                  <w:tcBorders>
                    <w:tl2br w:val="nil"/>
                    <w:tr2bl w:val="nil"/>
                  </w:tcBorders>
                  <w:vAlign w:val="center"/>
                </w:tcPr>
                <w:p w14:paraId="7808BBAE">
                  <w:pPr>
                    <w:pStyle w:val="27"/>
                    <w:keepNext w:val="0"/>
                    <w:keepLines w:val="0"/>
                    <w:suppressLineNumbers w:val="0"/>
                    <w:spacing w:before="0" w:beforeAutospacing="0" w:after="0" w:afterAutospacing="0"/>
                    <w:ind w:left="0" w:right="0"/>
                    <w:rPr>
                      <w:rFonts w:hint="default"/>
                      <w:color w:val="auto"/>
                    </w:rPr>
                  </w:pPr>
                  <w:r>
                    <w:rPr>
                      <w:rFonts w:hint="default"/>
                      <w:color w:val="auto"/>
                    </w:rPr>
                    <w:t>废水</w:t>
                  </w:r>
                </w:p>
              </w:tc>
              <w:tc>
                <w:tcPr>
                  <w:tcW w:w="403" w:type="pct"/>
                  <w:vMerge w:val="restart"/>
                  <w:tcBorders>
                    <w:tl2br w:val="nil"/>
                    <w:tr2bl w:val="nil"/>
                  </w:tcBorders>
                  <w:vAlign w:val="center"/>
                </w:tcPr>
                <w:p w14:paraId="7925C21D">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273F2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48C19D76">
                  <w:pPr>
                    <w:pStyle w:val="27"/>
                    <w:keepNext w:val="0"/>
                    <w:keepLines w:val="0"/>
                    <w:suppressLineNumbers w:val="0"/>
                    <w:spacing w:before="0" w:beforeAutospacing="0" w:after="0" w:afterAutospacing="0"/>
                    <w:ind w:left="0" w:right="0"/>
                    <w:rPr>
                      <w:rFonts w:hint="default"/>
                      <w:color w:val="auto"/>
                    </w:rPr>
                  </w:pPr>
                </w:p>
              </w:tc>
              <w:tc>
                <w:tcPr>
                  <w:tcW w:w="412" w:type="pct"/>
                  <w:vMerge w:val="continue"/>
                  <w:tcBorders>
                    <w:tl2br w:val="nil"/>
                    <w:tr2bl w:val="nil"/>
                  </w:tcBorders>
                  <w:shd w:val="clear" w:color="auto" w:fill="auto"/>
                  <w:vAlign w:val="center"/>
                </w:tcPr>
                <w:p w14:paraId="5601C06E">
                  <w:pPr>
                    <w:pStyle w:val="27"/>
                    <w:keepNext w:val="0"/>
                    <w:keepLines w:val="0"/>
                    <w:suppressLineNumbers w:val="0"/>
                    <w:spacing w:before="0" w:beforeAutospacing="0" w:after="0" w:afterAutospacing="0"/>
                    <w:ind w:left="0" w:right="0"/>
                    <w:rPr>
                      <w:rFonts w:hint="default"/>
                      <w:color w:val="auto"/>
                    </w:rPr>
                  </w:pPr>
                </w:p>
              </w:tc>
              <w:tc>
                <w:tcPr>
                  <w:tcW w:w="464" w:type="pct"/>
                  <w:vMerge w:val="continue"/>
                  <w:tcBorders>
                    <w:tl2br w:val="nil"/>
                    <w:tr2bl w:val="nil"/>
                  </w:tcBorders>
                  <w:shd w:val="clear" w:color="auto" w:fill="auto"/>
                  <w:vAlign w:val="center"/>
                </w:tcPr>
                <w:p w14:paraId="46FEE74C">
                  <w:pPr>
                    <w:pStyle w:val="27"/>
                    <w:keepNext w:val="0"/>
                    <w:keepLines w:val="0"/>
                    <w:suppressLineNumbers w:val="0"/>
                    <w:spacing w:before="0" w:beforeAutospacing="0" w:after="0" w:afterAutospacing="0"/>
                    <w:ind w:left="0" w:right="0"/>
                    <w:rPr>
                      <w:rFonts w:hint="default"/>
                      <w:color w:val="auto"/>
                    </w:rPr>
                  </w:pPr>
                </w:p>
              </w:tc>
              <w:tc>
                <w:tcPr>
                  <w:tcW w:w="1984" w:type="pct"/>
                  <w:tcBorders>
                    <w:tl2br w:val="nil"/>
                    <w:tr2bl w:val="nil"/>
                  </w:tcBorders>
                  <w:shd w:val="clear" w:color="auto" w:fill="auto"/>
                  <w:vAlign w:val="center"/>
                </w:tcPr>
                <w:p w14:paraId="5EE5E5D3">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1座预处理池20m</w:t>
                  </w:r>
                  <w:r>
                    <w:rPr>
                      <w:rFonts w:hint="default"/>
                      <w:color w:val="auto"/>
                      <w:vertAlign w:val="superscript"/>
                    </w:rPr>
                    <w:t>3</w:t>
                  </w:r>
                  <w:r>
                    <w:rPr>
                      <w:rFonts w:hint="default"/>
                      <w:color w:val="auto"/>
                    </w:rPr>
                    <w:t>。</w:t>
                  </w:r>
                </w:p>
              </w:tc>
              <w:tc>
                <w:tcPr>
                  <w:tcW w:w="606" w:type="pct"/>
                  <w:vMerge w:val="continue"/>
                  <w:tcBorders>
                    <w:tl2br w:val="nil"/>
                    <w:tr2bl w:val="nil"/>
                  </w:tcBorders>
                  <w:vAlign w:val="center"/>
                </w:tcPr>
                <w:p w14:paraId="6DC5375E">
                  <w:pPr>
                    <w:pStyle w:val="27"/>
                    <w:keepNext w:val="0"/>
                    <w:keepLines w:val="0"/>
                    <w:suppressLineNumbers w:val="0"/>
                    <w:spacing w:before="0" w:beforeAutospacing="0" w:after="0" w:afterAutospacing="0"/>
                    <w:ind w:left="0" w:right="0"/>
                    <w:rPr>
                      <w:rFonts w:hint="default"/>
                      <w:color w:val="auto"/>
                    </w:rPr>
                  </w:pPr>
                </w:p>
              </w:tc>
              <w:tc>
                <w:tcPr>
                  <w:tcW w:w="675" w:type="pct"/>
                  <w:vMerge w:val="continue"/>
                  <w:tcBorders>
                    <w:tl2br w:val="nil"/>
                    <w:tr2bl w:val="nil"/>
                  </w:tcBorders>
                  <w:vAlign w:val="center"/>
                </w:tcPr>
                <w:p w14:paraId="6862E3E0">
                  <w:pPr>
                    <w:pStyle w:val="27"/>
                    <w:keepNext w:val="0"/>
                    <w:keepLines w:val="0"/>
                    <w:suppressLineNumbers w:val="0"/>
                    <w:spacing w:before="0" w:beforeAutospacing="0" w:after="0" w:afterAutospacing="0"/>
                    <w:ind w:left="0" w:right="0"/>
                    <w:rPr>
                      <w:rFonts w:hint="default"/>
                      <w:color w:val="auto"/>
                    </w:rPr>
                  </w:pPr>
                </w:p>
              </w:tc>
              <w:tc>
                <w:tcPr>
                  <w:tcW w:w="403" w:type="pct"/>
                  <w:vMerge w:val="continue"/>
                  <w:tcBorders>
                    <w:tl2br w:val="nil"/>
                    <w:tr2bl w:val="nil"/>
                  </w:tcBorders>
                  <w:vAlign w:val="center"/>
                </w:tcPr>
                <w:p w14:paraId="1E7C66D8">
                  <w:pPr>
                    <w:pStyle w:val="27"/>
                    <w:keepNext w:val="0"/>
                    <w:keepLines w:val="0"/>
                    <w:suppressLineNumbers w:val="0"/>
                    <w:spacing w:before="0" w:beforeAutospacing="0" w:after="0" w:afterAutospacing="0"/>
                    <w:ind w:left="0" w:right="0"/>
                    <w:rPr>
                      <w:rFonts w:hint="default"/>
                      <w:color w:val="auto"/>
                    </w:rPr>
                  </w:pPr>
                </w:p>
              </w:tc>
            </w:tr>
            <w:tr w14:paraId="2E104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B4EC717">
                  <w:pPr>
                    <w:pStyle w:val="27"/>
                    <w:keepNext w:val="0"/>
                    <w:keepLines w:val="0"/>
                    <w:suppressLineNumbers w:val="0"/>
                    <w:spacing w:before="0" w:beforeAutospacing="0" w:after="0" w:afterAutospacing="0"/>
                    <w:ind w:left="0" w:right="0"/>
                    <w:rPr>
                      <w:rFonts w:hint="default"/>
                      <w:color w:val="auto"/>
                    </w:rPr>
                  </w:pPr>
                </w:p>
              </w:tc>
              <w:tc>
                <w:tcPr>
                  <w:tcW w:w="412" w:type="pct"/>
                  <w:vMerge w:val="continue"/>
                  <w:tcBorders>
                    <w:tl2br w:val="nil"/>
                    <w:tr2bl w:val="nil"/>
                  </w:tcBorders>
                  <w:shd w:val="clear" w:color="auto" w:fill="auto"/>
                  <w:vAlign w:val="center"/>
                </w:tcPr>
                <w:p w14:paraId="749472AC">
                  <w:pPr>
                    <w:pStyle w:val="27"/>
                    <w:keepNext w:val="0"/>
                    <w:keepLines w:val="0"/>
                    <w:suppressLineNumbers w:val="0"/>
                    <w:spacing w:before="0" w:beforeAutospacing="0" w:after="0" w:afterAutospacing="0"/>
                    <w:ind w:left="0" w:right="0"/>
                    <w:rPr>
                      <w:rFonts w:hint="default"/>
                      <w:color w:val="auto"/>
                    </w:rPr>
                  </w:pPr>
                </w:p>
              </w:tc>
              <w:tc>
                <w:tcPr>
                  <w:tcW w:w="464" w:type="pct"/>
                  <w:tcBorders>
                    <w:tl2br w:val="nil"/>
                    <w:tr2bl w:val="nil"/>
                  </w:tcBorders>
                  <w:shd w:val="clear" w:color="auto" w:fill="auto"/>
                  <w:vAlign w:val="center"/>
                </w:tcPr>
                <w:p w14:paraId="252B1A9A">
                  <w:pPr>
                    <w:pStyle w:val="27"/>
                    <w:keepNext w:val="0"/>
                    <w:keepLines w:val="0"/>
                    <w:suppressLineNumbers w:val="0"/>
                    <w:spacing w:before="0" w:beforeAutospacing="0" w:after="0" w:afterAutospacing="0"/>
                    <w:ind w:left="0" w:right="0"/>
                    <w:rPr>
                      <w:rFonts w:hint="default"/>
                      <w:color w:val="auto"/>
                    </w:rPr>
                  </w:pPr>
                  <w:r>
                    <w:rPr>
                      <w:rFonts w:hint="default"/>
                      <w:color w:val="auto"/>
                    </w:rPr>
                    <w:t>生产废水</w:t>
                  </w:r>
                </w:p>
              </w:tc>
              <w:tc>
                <w:tcPr>
                  <w:tcW w:w="1984" w:type="pct"/>
                  <w:tcBorders>
                    <w:tl2br w:val="nil"/>
                    <w:tr2bl w:val="nil"/>
                  </w:tcBorders>
                  <w:shd w:val="clear" w:color="auto" w:fill="auto"/>
                  <w:vAlign w:val="center"/>
                </w:tcPr>
                <w:p w14:paraId="02B1B6E2">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经园区管道排放至园区污水处理厂</w:t>
                  </w:r>
                </w:p>
              </w:tc>
              <w:tc>
                <w:tcPr>
                  <w:tcW w:w="606" w:type="pct"/>
                  <w:vMerge w:val="continue"/>
                  <w:tcBorders>
                    <w:tl2br w:val="nil"/>
                    <w:tr2bl w:val="nil"/>
                  </w:tcBorders>
                  <w:vAlign w:val="center"/>
                </w:tcPr>
                <w:p w14:paraId="6A1576B1">
                  <w:pPr>
                    <w:pStyle w:val="27"/>
                    <w:keepNext w:val="0"/>
                    <w:keepLines w:val="0"/>
                    <w:suppressLineNumbers w:val="0"/>
                    <w:spacing w:before="0" w:beforeAutospacing="0" w:after="0" w:afterAutospacing="0"/>
                    <w:ind w:left="0" w:right="0"/>
                    <w:rPr>
                      <w:rFonts w:hint="default"/>
                      <w:color w:val="auto"/>
                    </w:rPr>
                  </w:pPr>
                </w:p>
              </w:tc>
              <w:tc>
                <w:tcPr>
                  <w:tcW w:w="675" w:type="pct"/>
                  <w:vMerge w:val="continue"/>
                  <w:tcBorders>
                    <w:tl2br w:val="nil"/>
                    <w:tr2bl w:val="nil"/>
                  </w:tcBorders>
                  <w:vAlign w:val="center"/>
                </w:tcPr>
                <w:p w14:paraId="201D2156">
                  <w:pPr>
                    <w:pStyle w:val="27"/>
                    <w:keepNext w:val="0"/>
                    <w:keepLines w:val="0"/>
                    <w:suppressLineNumbers w:val="0"/>
                    <w:spacing w:before="0" w:beforeAutospacing="0" w:after="0" w:afterAutospacing="0"/>
                    <w:ind w:left="0" w:right="0"/>
                    <w:rPr>
                      <w:rFonts w:hint="default"/>
                      <w:color w:val="auto"/>
                    </w:rPr>
                  </w:pPr>
                </w:p>
              </w:tc>
              <w:tc>
                <w:tcPr>
                  <w:tcW w:w="403" w:type="pct"/>
                  <w:vMerge w:val="continue"/>
                  <w:tcBorders>
                    <w:tl2br w:val="nil"/>
                    <w:tr2bl w:val="nil"/>
                  </w:tcBorders>
                  <w:vAlign w:val="center"/>
                </w:tcPr>
                <w:p w14:paraId="3AD569A0">
                  <w:pPr>
                    <w:pStyle w:val="27"/>
                    <w:keepNext w:val="0"/>
                    <w:keepLines w:val="0"/>
                    <w:suppressLineNumbers w:val="0"/>
                    <w:spacing w:before="0" w:beforeAutospacing="0" w:after="0" w:afterAutospacing="0"/>
                    <w:ind w:left="0" w:right="0"/>
                    <w:rPr>
                      <w:rFonts w:hint="default"/>
                      <w:color w:val="auto"/>
                    </w:rPr>
                  </w:pPr>
                </w:p>
              </w:tc>
            </w:tr>
            <w:tr w14:paraId="79B05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0667BB79">
                  <w:pPr>
                    <w:pStyle w:val="27"/>
                    <w:keepNext w:val="0"/>
                    <w:keepLines w:val="0"/>
                    <w:suppressLineNumbers w:val="0"/>
                    <w:spacing w:before="0" w:beforeAutospacing="0" w:after="0" w:afterAutospacing="0"/>
                    <w:ind w:left="0" w:right="0"/>
                    <w:rPr>
                      <w:rFonts w:hint="default"/>
                      <w:color w:val="auto"/>
                    </w:rPr>
                  </w:pPr>
                </w:p>
              </w:tc>
              <w:tc>
                <w:tcPr>
                  <w:tcW w:w="412" w:type="pct"/>
                  <w:vMerge w:val="continue"/>
                  <w:tcBorders>
                    <w:tl2br w:val="nil"/>
                    <w:tr2bl w:val="nil"/>
                  </w:tcBorders>
                  <w:shd w:val="clear" w:color="auto" w:fill="auto"/>
                  <w:vAlign w:val="center"/>
                </w:tcPr>
                <w:p w14:paraId="4E0E8DAD">
                  <w:pPr>
                    <w:pStyle w:val="27"/>
                    <w:keepNext w:val="0"/>
                    <w:keepLines w:val="0"/>
                    <w:suppressLineNumbers w:val="0"/>
                    <w:spacing w:before="0" w:beforeAutospacing="0" w:after="0" w:afterAutospacing="0"/>
                    <w:ind w:left="0" w:right="0"/>
                    <w:rPr>
                      <w:rFonts w:hint="default"/>
                      <w:color w:val="auto"/>
                    </w:rPr>
                  </w:pPr>
                </w:p>
              </w:tc>
              <w:tc>
                <w:tcPr>
                  <w:tcW w:w="464" w:type="pct"/>
                  <w:tcBorders>
                    <w:tl2br w:val="nil"/>
                    <w:tr2bl w:val="nil"/>
                  </w:tcBorders>
                  <w:shd w:val="clear" w:color="auto" w:fill="auto"/>
                  <w:vAlign w:val="center"/>
                </w:tcPr>
                <w:p w14:paraId="3756B248">
                  <w:pPr>
                    <w:pStyle w:val="27"/>
                    <w:keepNext w:val="0"/>
                    <w:keepLines w:val="0"/>
                    <w:suppressLineNumbers w:val="0"/>
                    <w:spacing w:before="0" w:beforeAutospacing="0" w:after="0" w:afterAutospacing="0"/>
                    <w:ind w:left="0" w:right="0"/>
                    <w:rPr>
                      <w:rFonts w:hint="default"/>
                      <w:color w:val="auto"/>
                      <w:sz w:val="16"/>
                    </w:rPr>
                  </w:pPr>
                  <w:r>
                    <w:rPr>
                      <w:rFonts w:hint="default"/>
                      <w:color w:val="auto"/>
                      <w:sz w:val="16"/>
                    </w:rPr>
                    <w:t>撬装站初期雨水</w:t>
                  </w:r>
                </w:p>
              </w:tc>
              <w:tc>
                <w:tcPr>
                  <w:tcW w:w="1984" w:type="pct"/>
                  <w:tcBorders>
                    <w:tl2br w:val="nil"/>
                    <w:tr2bl w:val="nil"/>
                  </w:tcBorders>
                  <w:shd w:val="clear" w:color="auto" w:fill="auto"/>
                  <w:vAlign w:val="center"/>
                </w:tcPr>
                <w:p w14:paraId="29B9EEDD">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柴油撬装站区域（含撬装装置以及装卸区）设置独立的初期雨水收集区域，1座隔油池容积20m</w:t>
                  </w:r>
                  <w:r>
                    <w:rPr>
                      <w:rFonts w:hint="default"/>
                      <w:color w:val="auto"/>
                      <w:vertAlign w:val="superscript"/>
                    </w:rPr>
                    <w:t>3</w:t>
                  </w:r>
                </w:p>
              </w:tc>
              <w:tc>
                <w:tcPr>
                  <w:tcW w:w="606" w:type="pct"/>
                  <w:vMerge w:val="continue"/>
                  <w:tcBorders>
                    <w:tl2br w:val="nil"/>
                    <w:tr2bl w:val="nil"/>
                  </w:tcBorders>
                  <w:vAlign w:val="center"/>
                </w:tcPr>
                <w:p w14:paraId="51F55B8E">
                  <w:pPr>
                    <w:pStyle w:val="27"/>
                    <w:keepNext w:val="0"/>
                    <w:keepLines w:val="0"/>
                    <w:suppressLineNumbers w:val="0"/>
                    <w:spacing w:before="0" w:beforeAutospacing="0" w:after="0" w:afterAutospacing="0"/>
                    <w:ind w:left="0" w:right="0"/>
                    <w:rPr>
                      <w:rFonts w:hint="default"/>
                      <w:color w:val="auto"/>
                    </w:rPr>
                  </w:pPr>
                </w:p>
              </w:tc>
              <w:tc>
                <w:tcPr>
                  <w:tcW w:w="675" w:type="pct"/>
                  <w:vMerge w:val="continue"/>
                  <w:tcBorders>
                    <w:tl2br w:val="nil"/>
                    <w:tr2bl w:val="nil"/>
                  </w:tcBorders>
                  <w:vAlign w:val="center"/>
                </w:tcPr>
                <w:p w14:paraId="32685F28">
                  <w:pPr>
                    <w:pStyle w:val="27"/>
                    <w:keepNext w:val="0"/>
                    <w:keepLines w:val="0"/>
                    <w:suppressLineNumbers w:val="0"/>
                    <w:spacing w:before="0" w:beforeAutospacing="0" w:after="0" w:afterAutospacing="0"/>
                    <w:ind w:left="0" w:right="0"/>
                    <w:rPr>
                      <w:rFonts w:hint="default"/>
                      <w:color w:val="auto"/>
                    </w:rPr>
                  </w:pPr>
                </w:p>
              </w:tc>
              <w:tc>
                <w:tcPr>
                  <w:tcW w:w="403" w:type="pct"/>
                  <w:vMerge w:val="continue"/>
                  <w:tcBorders>
                    <w:tl2br w:val="nil"/>
                    <w:tr2bl w:val="nil"/>
                  </w:tcBorders>
                  <w:vAlign w:val="center"/>
                </w:tcPr>
                <w:p w14:paraId="44AE9C29">
                  <w:pPr>
                    <w:pStyle w:val="27"/>
                    <w:keepNext w:val="0"/>
                    <w:keepLines w:val="0"/>
                    <w:suppressLineNumbers w:val="0"/>
                    <w:spacing w:before="0" w:beforeAutospacing="0" w:after="0" w:afterAutospacing="0"/>
                    <w:ind w:left="0" w:right="0"/>
                    <w:rPr>
                      <w:rFonts w:hint="default"/>
                      <w:color w:val="auto"/>
                    </w:rPr>
                  </w:pPr>
                </w:p>
              </w:tc>
            </w:tr>
            <w:tr w14:paraId="4217E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78875065">
                  <w:pPr>
                    <w:pStyle w:val="27"/>
                    <w:keepNext w:val="0"/>
                    <w:keepLines w:val="0"/>
                    <w:suppressLineNumbers w:val="0"/>
                    <w:spacing w:before="0" w:beforeAutospacing="0" w:after="0" w:afterAutospacing="0"/>
                    <w:ind w:left="0" w:right="0"/>
                    <w:rPr>
                      <w:rFonts w:hint="default"/>
                      <w:color w:val="auto"/>
                    </w:rPr>
                  </w:pPr>
                </w:p>
              </w:tc>
              <w:tc>
                <w:tcPr>
                  <w:tcW w:w="412" w:type="pct"/>
                  <w:tcBorders>
                    <w:tl2br w:val="nil"/>
                    <w:tr2bl w:val="nil"/>
                  </w:tcBorders>
                  <w:shd w:val="clear" w:color="auto" w:fill="auto"/>
                  <w:vAlign w:val="center"/>
                </w:tcPr>
                <w:p w14:paraId="41FE5770">
                  <w:pPr>
                    <w:pStyle w:val="27"/>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2448" w:type="pct"/>
                  <w:gridSpan w:val="2"/>
                  <w:tcBorders>
                    <w:tl2br w:val="nil"/>
                    <w:tr2bl w:val="nil"/>
                  </w:tcBorders>
                  <w:shd w:val="clear" w:color="auto" w:fill="auto"/>
                  <w:vAlign w:val="center"/>
                </w:tcPr>
                <w:p w14:paraId="61AE945E">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采取选用低噪声设备、车间密闭生产、厂房隔声等措施。</w:t>
                  </w:r>
                </w:p>
              </w:tc>
              <w:tc>
                <w:tcPr>
                  <w:tcW w:w="606" w:type="pct"/>
                  <w:vMerge w:val="continue"/>
                  <w:tcBorders>
                    <w:tl2br w:val="nil"/>
                    <w:tr2bl w:val="nil"/>
                  </w:tcBorders>
                  <w:vAlign w:val="center"/>
                </w:tcPr>
                <w:p w14:paraId="189838BF">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7DEFEA82">
                  <w:pPr>
                    <w:pStyle w:val="27"/>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403" w:type="pct"/>
                  <w:tcBorders>
                    <w:tl2br w:val="nil"/>
                    <w:tr2bl w:val="nil"/>
                  </w:tcBorders>
                  <w:vAlign w:val="center"/>
                </w:tcPr>
                <w:p w14:paraId="451F0525">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7296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208213A">
                  <w:pPr>
                    <w:pStyle w:val="27"/>
                    <w:keepNext w:val="0"/>
                    <w:keepLines w:val="0"/>
                    <w:suppressLineNumbers w:val="0"/>
                    <w:spacing w:before="0" w:beforeAutospacing="0" w:after="0" w:afterAutospacing="0"/>
                    <w:ind w:left="0" w:right="0"/>
                    <w:rPr>
                      <w:rFonts w:hint="default"/>
                      <w:color w:val="auto"/>
                    </w:rPr>
                  </w:pPr>
                </w:p>
              </w:tc>
              <w:tc>
                <w:tcPr>
                  <w:tcW w:w="412" w:type="pct"/>
                  <w:vMerge w:val="restart"/>
                  <w:tcBorders>
                    <w:tl2br w:val="nil"/>
                    <w:tr2bl w:val="nil"/>
                  </w:tcBorders>
                  <w:shd w:val="clear" w:color="auto" w:fill="auto"/>
                  <w:vAlign w:val="center"/>
                </w:tcPr>
                <w:p w14:paraId="77356F69">
                  <w:pPr>
                    <w:pStyle w:val="27"/>
                    <w:keepNext w:val="0"/>
                    <w:keepLines w:val="0"/>
                    <w:suppressLineNumbers w:val="0"/>
                    <w:spacing w:before="0" w:beforeAutospacing="0" w:after="0" w:afterAutospacing="0"/>
                    <w:ind w:left="0" w:right="0"/>
                    <w:rPr>
                      <w:rFonts w:hint="default"/>
                      <w:color w:val="auto"/>
                    </w:rPr>
                  </w:pPr>
                  <w:r>
                    <w:rPr>
                      <w:rFonts w:hint="default"/>
                      <w:color w:val="auto"/>
                    </w:rPr>
                    <w:t>固体废物</w:t>
                  </w:r>
                </w:p>
              </w:tc>
              <w:tc>
                <w:tcPr>
                  <w:tcW w:w="464" w:type="pct"/>
                  <w:tcBorders>
                    <w:tl2br w:val="nil"/>
                    <w:tr2bl w:val="nil"/>
                  </w:tcBorders>
                  <w:shd w:val="clear" w:color="auto" w:fill="auto"/>
                  <w:vAlign w:val="center"/>
                </w:tcPr>
                <w:p w14:paraId="4E9923E2">
                  <w:pPr>
                    <w:pStyle w:val="27"/>
                    <w:keepNext w:val="0"/>
                    <w:keepLines w:val="0"/>
                    <w:suppressLineNumbers w:val="0"/>
                    <w:spacing w:before="0" w:beforeAutospacing="0" w:after="0" w:afterAutospacing="0"/>
                    <w:ind w:left="0" w:right="0"/>
                    <w:rPr>
                      <w:rFonts w:hint="default"/>
                      <w:color w:val="auto"/>
                    </w:rPr>
                  </w:pPr>
                  <w:r>
                    <w:rPr>
                      <w:rFonts w:hint="default"/>
                      <w:color w:val="auto"/>
                    </w:rPr>
                    <w:t>一般固废暂存间</w:t>
                  </w:r>
                </w:p>
              </w:tc>
              <w:tc>
                <w:tcPr>
                  <w:tcW w:w="1984" w:type="pct"/>
                  <w:tcBorders>
                    <w:tl2br w:val="nil"/>
                    <w:tr2bl w:val="nil"/>
                  </w:tcBorders>
                  <w:shd w:val="clear" w:color="auto" w:fill="auto"/>
                  <w:vAlign w:val="center"/>
                </w:tcPr>
                <w:p w14:paraId="377992D7">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1间，位于厂区矩形料仓内东南侧，建筑面积20m</w:t>
                  </w:r>
                  <w:r>
                    <w:rPr>
                      <w:rFonts w:hint="default"/>
                      <w:color w:val="auto"/>
                      <w:vertAlign w:val="superscript"/>
                    </w:rPr>
                    <w:t>2</w:t>
                  </w:r>
                  <w:r>
                    <w:rPr>
                      <w:rFonts w:hint="default"/>
                      <w:color w:val="auto"/>
                    </w:rPr>
                    <w:t>，采用“三防”措施</w:t>
                  </w:r>
                </w:p>
              </w:tc>
              <w:tc>
                <w:tcPr>
                  <w:tcW w:w="606" w:type="pct"/>
                  <w:vMerge w:val="continue"/>
                  <w:tcBorders>
                    <w:tl2br w:val="nil"/>
                    <w:tr2bl w:val="nil"/>
                  </w:tcBorders>
                  <w:vAlign w:val="center"/>
                </w:tcPr>
                <w:p w14:paraId="57DB7686">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27685434">
                  <w:pPr>
                    <w:pStyle w:val="27"/>
                    <w:keepNext w:val="0"/>
                    <w:keepLines w:val="0"/>
                    <w:suppressLineNumbers w:val="0"/>
                    <w:spacing w:before="0" w:beforeAutospacing="0" w:after="0" w:afterAutospacing="0"/>
                    <w:ind w:left="0" w:right="0"/>
                    <w:rPr>
                      <w:rFonts w:hint="default"/>
                      <w:color w:val="auto"/>
                    </w:rPr>
                  </w:pPr>
                  <w:r>
                    <w:rPr>
                      <w:rFonts w:hint="default"/>
                      <w:color w:val="auto"/>
                    </w:rPr>
                    <w:t>固废</w:t>
                  </w:r>
                </w:p>
              </w:tc>
              <w:tc>
                <w:tcPr>
                  <w:tcW w:w="403" w:type="pct"/>
                  <w:tcBorders>
                    <w:tl2br w:val="nil"/>
                    <w:tr2bl w:val="nil"/>
                  </w:tcBorders>
                  <w:vAlign w:val="center"/>
                </w:tcPr>
                <w:p w14:paraId="20181E10">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055A3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1FAEC9CF">
                  <w:pPr>
                    <w:pStyle w:val="27"/>
                    <w:keepNext w:val="0"/>
                    <w:keepLines w:val="0"/>
                    <w:suppressLineNumbers w:val="0"/>
                    <w:spacing w:before="0" w:beforeAutospacing="0" w:after="0" w:afterAutospacing="0"/>
                    <w:ind w:left="0" w:right="0"/>
                    <w:rPr>
                      <w:rFonts w:hint="default"/>
                      <w:color w:val="auto"/>
                    </w:rPr>
                  </w:pPr>
                </w:p>
              </w:tc>
              <w:tc>
                <w:tcPr>
                  <w:tcW w:w="412" w:type="pct"/>
                  <w:vMerge w:val="continue"/>
                  <w:tcBorders>
                    <w:tl2br w:val="nil"/>
                    <w:tr2bl w:val="nil"/>
                  </w:tcBorders>
                  <w:shd w:val="clear" w:color="auto" w:fill="auto"/>
                  <w:vAlign w:val="center"/>
                </w:tcPr>
                <w:p w14:paraId="01762EE7">
                  <w:pPr>
                    <w:pStyle w:val="27"/>
                    <w:keepNext w:val="0"/>
                    <w:keepLines w:val="0"/>
                    <w:suppressLineNumbers w:val="0"/>
                    <w:spacing w:before="0" w:beforeAutospacing="0" w:after="0" w:afterAutospacing="0"/>
                    <w:ind w:left="0" w:right="0"/>
                    <w:rPr>
                      <w:rFonts w:hint="default"/>
                      <w:color w:val="auto"/>
                    </w:rPr>
                  </w:pPr>
                </w:p>
              </w:tc>
              <w:tc>
                <w:tcPr>
                  <w:tcW w:w="464" w:type="pct"/>
                  <w:tcBorders>
                    <w:tl2br w:val="nil"/>
                    <w:tr2bl w:val="nil"/>
                  </w:tcBorders>
                  <w:shd w:val="clear" w:color="auto" w:fill="auto"/>
                  <w:vAlign w:val="center"/>
                </w:tcPr>
                <w:p w14:paraId="3F69194E">
                  <w:pPr>
                    <w:pStyle w:val="27"/>
                    <w:keepNext w:val="0"/>
                    <w:keepLines w:val="0"/>
                    <w:suppressLineNumbers w:val="0"/>
                    <w:spacing w:before="0" w:beforeAutospacing="0" w:after="0" w:afterAutospacing="0"/>
                    <w:ind w:left="0" w:right="0"/>
                    <w:rPr>
                      <w:rFonts w:hint="default"/>
                      <w:color w:val="auto"/>
                    </w:rPr>
                  </w:pPr>
                  <w:r>
                    <w:rPr>
                      <w:rFonts w:hint="default"/>
                      <w:color w:val="auto"/>
                    </w:rPr>
                    <w:t>危险废物暂存间</w:t>
                  </w:r>
                </w:p>
              </w:tc>
              <w:tc>
                <w:tcPr>
                  <w:tcW w:w="1984" w:type="pct"/>
                  <w:tcBorders>
                    <w:tl2br w:val="nil"/>
                    <w:tr2bl w:val="nil"/>
                  </w:tcBorders>
                  <w:shd w:val="clear" w:color="auto" w:fill="auto"/>
                  <w:vAlign w:val="center"/>
                </w:tcPr>
                <w:p w14:paraId="133CBE8D">
                  <w:pPr>
                    <w:pStyle w:val="27"/>
                    <w:keepNext w:val="0"/>
                    <w:keepLines w:val="0"/>
                    <w:suppressLineNumbers w:val="0"/>
                    <w:wordWrap w:val="0"/>
                    <w:spacing w:before="0" w:beforeAutospacing="0" w:after="0" w:afterAutospacing="0"/>
                    <w:ind w:left="0" w:right="0"/>
                    <w:jc w:val="both"/>
                    <w:rPr>
                      <w:rFonts w:hint="default"/>
                      <w:color w:val="auto"/>
                    </w:rPr>
                  </w:pPr>
                  <w:bookmarkStart w:id="71" w:name="OLE_LINK13"/>
                  <w:bookmarkStart w:id="72" w:name="OLE_LINK14"/>
                  <w:r>
                    <w:rPr>
                      <w:rFonts w:hint="default"/>
                      <w:color w:val="auto"/>
                    </w:rPr>
                    <w:t>1间，位于厂区矩形料仓内东南侧，建筑面积30m</w:t>
                  </w:r>
                  <w:r>
                    <w:rPr>
                      <w:rFonts w:hint="default"/>
                      <w:color w:val="auto"/>
                      <w:vertAlign w:val="superscript"/>
                    </w:rPr>
                    <w:t>2</w:t>
                  </w:r>
                  <w:r>
                    <w:rPr>
                      <w:rFonts w:hint="default"/>
                      <w:color w:val="auto"/>
                    </w:rPr>
                    <w:t>，</w:t>
                  </w:r>
                  <w:bookmarkEnd w:id="71"/>
                  <w:bookmarkEnd w:id="72"/>
                  <w:r>
                    <w:rPr>
                      <w:rFonts w:hint="default"/>
                      <w:color w:val="auto"/>
                    </w:rPr>
                    <w:t>内部分区，最大储存能力10吨，地面进行防腐、防渗处理。</w:t>
                  </w:r>
                </w:p>
              </w:tc>
              <w:tc>
                <w:tcPr>
                  <w:tcW w:w="606" w:type="pct"/>
                  <w:vMerge w:val="continue"/>
                  <w:tcBorders>
                    <w:tl2br w:val="nil"/>
                    <w:tr2bl w:val="nil"/>
                  </w:tcBorders>
                  <w:vAlign w:val="center"/>
                </w:tcPr>
                <w:p w14:paraId="1ED829A5">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398FE8CF">
                  <w:pPr>
                    <w:pStyle w:val="27"/>
                    <w:keepNext w:val="0"/>
                    <w:keepLines w:val="0"/>
                    <w:suppressLineNumbers w:val="0"/>
                    <w:spacing w:before="0" w:beforeAutospacing="0" w:after="0" w:afterAutospacing="0"/>
                    <w:ind w:left="0" w:right="0"/>
                    <w:rPr>
                      <w:rFonts w:hint="default"/>
                      <w:color w:val="auto"/>
                    </w:rPr>
                  </w:pPr>
                  <w:r>
                    <w:rPr>
                      <w:rFonts w:hint="default"/>
                      <w:color w:val="auto"/>
                    </w:rPr>
                    <w:t>危废</w:t>
                  </w:r>
                </w:p>
              </w:tc>
              <w:tc>
                <w:tcPr>
                  <w:tcW w:w="403" w:type="pct"/>
                  <w:tcBorders>
                    <w:tl2br w:val="nil"/>
                    <w:tr2bl w:val="nil"/>
                  </w:tcBorders>
                  <w:vAlign w:val="center"/>
                </w:tcPr>
                <w:p w14:paraId="7F89B298">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54C97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0959C85B">
                  <w:pPr>
                    <w:pStyle w:val="27"/>
                    <w:keepNext w:val="0"/>
                    <w:keepLines w:val="0"/>
                    <w:suppressLineNumbers w:val="0"/>
                    <w:spacing w:before="0" w:beforeAutospacing="0" w:after="0" w:afterAutospacing="0"/>
                    <w:ind w:left="0" w:right="0"/>
                    <w:rPr>
                      <w:rFonts w:hint="default"/>
                      <w:color w:val="auto"/>
                    </w:rPr>
                  </w:pPr>
                </w:p>
              </w:tc>
              <w:tc>
                <w:tcPr>
                  <w:tcW w:w="412" w:type="pct"/>
                  <w:vMerge w:val="restart"/>
                  <w:tcBorders>
                    <w:tl2br w:val="nil"/>
                    <w:tr2bl w:val="nil"/>
                  </w:tcBorders>
                  <w:shd w:val="clear" w:color="auto" w:fill="auto"/>
                  <w:vAlign w:val="center"/>
                </w:tcPr>
                <w:p w14:paraId="60D1A0C8">
                  <w:pPr>
                    <w:pStyle w:val="27"/>
                    <w:keepNext w:val="0"/>
                    <w:keepLines w:val="0"/>
                    <w:suppressLineNumbers w:val="0"/>
                    <w:spacing w:before="0" w:beforeAutospacing="0" w:after="0" w:afterAutospacing="0"/>
                    <w:ind w:left="0" w:right="0"/>
                    <w:rPr>
                      <w:rFonts w:hint="default"/>
                      <w:color w:val="auto"/>
                    </w:rPr>
                  </w:pPr>
                  <w:r>
                    <w:rPr>
                      <w:rFonts w:hint="default"/>
                      <w:color w:val="auto"/>
                    </w:rPr>
                    <w:t>环境风险</w:t>
                  </w:r>
                </w:p>
              </w:tc>
              <w:tc>
                <w:tcPr>
                  <w:tcW w:w="2448" w:type="pct"/>
                  <w:gridSpan w:val="2"/>
                  <w:tcBorders>
                    <w:tl2br w:val="nil"/>
                    <w:tr2bl w:val="nil"/>
                  </w:tcBorders>
                  <w:shd w:val="clear" w:color="auto" w:fill="auto"/>
                  <w:vAlign w:val="center"/>
                </w:tcPr>
                <w:p w14:paraId="40DBD1ED">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1座事故应急池，位于综合办公楼西南侧，容积950m</w:t>
                  </w:r>
                  <w:r>
                    <w:rPr>
                      <w:rFonts w:hint="default"/>
                      <w:color w:val="auto"/>
                      <w:vertAlign w:val="superscript"/>
                    </w:rPr>
                    <w:t>3</w:t>
                  </w:r>
                  <w:r>
                    <w:rPr>
                      <w:rFonts w:hint="default"/>
                      <w:color w:val="auto"/>
                    </w:rPr>
                    <w:t>。</w:t>
                  </w:r>
                </w:p>
              </w:tc>
              <w:tc>
                <w:tcPr>
                  <w:tcW w:w="606" w:type="pct"/>
                  <w:vMerge w:val="continue"/>
                  <w:tcBorders>
                    <w:tl2br w:val="nil"/>
                    <w:tr2bl w:val="nil"/>
                  </w:tcBorders>
                  <w:vAlign w:val="center"/>
                </w:tcPr>
                <w:p w14:paraId="686BB6F0">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026FD90E">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12FED032">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r w14:paraId="79029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tl2br w:val="nil"/>
                    <w:tr2bl w:val="nil"/>
                  </w:tcBorders>
                  <w:vAlign w:val="center"/>
                </w:tcPr>
                <w:p w14:paraId="63F8223C">
                  <w:pPr>
                    <w:pStyle w:val="27"/>
                    <w:keepNext w:val="0"/>
                    <w:keepLines w:val="0"/>
                    <w:suppressLineNumbers w:val="0"/>
                    <w:spacing w:before="0" w:beforeAutospacing="0" w:after="0" w:afterAutospacing="0"/>
                    <w:ind w:left="0" w:right="0"/>
                    <w:rPr>
                      <w:rFonts w:hint="default"/>
                      <w:color w:val="auto"/>
                    </w:rPr>
                  </w:pPr>
                </w:p>
              </w:tc>
              <w:tc>
                <w:tcPr>
                  <w:tcW w:w="412" w:type="pct"/>
                  <w:vMerge w:val="continue"/>
                  <w:tcBorders>
                    <w:tl2br w:val="nil"/>
                    <w:tr2bl w:val="nil"/>
                  </w:tcBorders>
                  <w:shd w:val="clear" w:color="auto" w:fill="auto"/>
                  <w:vAlign w:val="center"/>
                </w:tcPr>
                <w:p w14:paraId="1BBE6AFA">
                  <w:pPr>
                    <w:pStyle w:val="27"/>
                    <w:keepNext w:val="0"/>
                    <w:keepLines w:val="0"/>
                    <w:suppressLineNumbers w:val="0"/>
                    <w:spacing w:before="0" w:beforeAutospacing="0" w:after="0" w:afterAutospacing="0"/>
                    <w:ind w:left="0" w:right="0"/>
                    <w:rPr>
                      <w:rFonts w:hint="default"/>
                      <w:color w:val="auto"/>
                    </w:rPr>
                  </w:pPr>
                </w:p>
              </w:tc>
              <w:tc>
                <w:tcPr>
                  <w:tcW w:w="2448" w:type="pct"/>
                  <w:gridSpan w:val="2"/>
                  <w:tcBorders>
                    <w:tl2br w:val="nil"/>
                    <w:tr2bl w:val="nil"/>
                  </w:tcBorders>
                  <w:shd w:val="clear" w:color="auto" w:fill="auto"/>
                  <w:vAlign w:val="center"/>
                </w:tcPr>
                <w:p w14:paraId="2FDC5599">
                  <w:pPr>
                    <w:pStyle w:val="27"/>
                    <w:keepNext w:val="0"/>
                    <w:keepLines w:val="0"/>
                    <w:suppressLineNumbers w:val="0"/>
                    <w:wordWrap w:val="0"/>
                    <w:spacing w:before="0" w:beforeAutospacing="0" w:after="0" w:afterAutospacing="0"/>
                    <w:ind w:left="0" w:right="0"/>
                    <w:jc w:val="both"/>
                    <w:rPr>
                      <w:rFonts w:hint="default"/>
                      <w:color w:val="auto"/>
                    </w:rPr>
                  </w:pPr>
                  <w:r>
                    <w:rPr>
                      <w:rFonts w:hint="default"/>
                      <w:color w:val="auto"/>
                    </w:rPr>
                    <w:t>1座初期雨水池，紧邻事故应急池，容积320m</w:t>
                  </w:r>
                  <w:r>
                    <w:rPr>
                      <w:rFonts w:hint="default"/>
                      <w:color w:val="auto"/>
                      <w:vertAlign w:val="superscript"/>
                    </w:rPr>
                    <w:t>3</w:t>
                  </w:r>
                  <w:r>
                    <w:rPr>
                      <w:rFonts w:hint="default"/>
                      <w:color w:val="auto"/>
                    </w:rPr>
                    <w:t>。</w:t>
                  </w:r>
                </w:p>
              </w:tc>
              <w:tc>
                <w:tcPr>
                  <w:tcW w:w="606" w:type="pct"/>
                  <w:vMerge w:val="continue"/>
                  <w:tcBorders>
                    <w:tl2br w:val="nil"/>
                    <w:tr2bl w:val="nil"/>
                  </w:tcBorders>
                  <w:vAlign w:val="center"/>
                </w:tcPr>
                <w:p w14:paraId="1577867F">
                  <w:pPr>
                    <w:pStyle w:val="27"/>
                    <w:keepNext w:val="0"/>
                    <w:keepLines w:val="0"/>
                    <w:suppressLineNumbers w:val="0"/>
                    <w:spacing w:before="0" w:beforeAutospacing="0" w:after="0" w:afterAutospacing="0"/>
                    <w:ind w:left="0" w:right="0"/>
                    <w:rPr>
                      <w:rFonts w:hint="default"/>
                      <w:color w:val="auto"/>
                    </w:rPr>
                  </w:pPr>
                </w:p>
              </w:tc>
              <w:tc>
                <w:tcPr>
                  <w:tcW w:w="675" w:type="pct"/>
                  <w:tcBorders>
                    <w:tl2br w:val="nil"/>
                    <w:tr2bl w:val="nil"/>
                  </w:tcBorders>
                  <w:vAlign w:val="center"/>
                </w:tcPr>
                <w:p w14:paraId="0290E899">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03" w:type="pct"/>
                  <w:tcBorders>
                    <w:tl2br w:val="nil"/>
                    <w:tr2bl w:val="nil"/>
                  </w:tcBorders>
                  <w:vAlign w:val="center"/>
                </w:tcPr>
                <w:p w14:paraId="3BAF01E5">
                  <w:pPr>
                    <w:pStyle w:val="27"/>
                    <w:keepNext w:val="0"/>
                    <w:keepLines w:val="0"/>
                    <w:suppressLineNumbers w:val="0"/>
                    <w:spacing w:before="0" w:beforeAutospacing="0" w:after="0" w:afterAutospacing="0"/>
                    <w:ind w:left="0" w:right="0"/>
                    <w:rPr>
                      <w:rFonts w:hint="default"/>
                      <w:color w:val="auto"/>
                    </w:rPr>
                  </w:pPr>
                  <w:r>
                    <w:rPr>
                      <w:rFonts w:hint="default"/>
                      <w:color w:val="auto"/>
                    </w:rPr>
                    <w:t>新建</w:t>
                  </w:r>
                </w:p>
              </w:tc>
            </w:tr>
          </w:tbl>
          <w:p w14:paraId="7E924E0E">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2.1.6主要原辅料及动力消耗情况</w:t>
            </w:r>
          </w:p>
          <w:p w14:paraId="7A1FAE5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本项目食品级硫磺的原料为天然气净化厂副产品液体硫磺，主要为园区的中石化净化厂或就近的净化厂，该原料符合《工业硫磺 第2部分：液体产品》（GB/T 2449.2-2015）液体工业硫磺一等品质量标准。项目主要原辅材料及能耗见</w:t>
            </w:r>
            <w:r>
              <w:rPr>
                <w:rFonts w:hint="default" w:cs="Times New Roman"/>
                <w:color w:val="auto"/>
              </w:rPr>
              <w:fldChar w:fldCharType="begin"/>
            </w:r>
            <w:r>
              <w:rPr>
                <w:rFonts w:hint="default" w:cs="Times New Roman"/>
                <w:color w:val="auto"/>
              </w:rPr>
              <w:instrText xml:space="preserve"> REF _Ref17842 \n \h </w:instrText>
            </w:r>
            <w:r>
              <w:rPr>
                <w:rFonts w:hint="default" w:cs="Times New Roman"/>
                <w:color w:val="auto"/>
              </w:rPr>
              <w:fldChar w:fldCharType="separate"/>
            </w:r>
            <w:r>
              <w:rPr>
                <w:rFonts w:hint="eastAsia" w:cs="Times New Roman"/>
                <w:color w:val="auto"/>
              </w:rPr>
              <w:t xml:space="preserve">表2-9 </w:t>
            </w:r>
            <w:r>
              <w:rPr>
                <w:rFonts w:hint="default" w:cs="Times New Roman"/>
                <w:color w:val="auto"/>
              </w:rPr>
              <w:fldChar w:fldCharType="end"/>
            </w:r>
            <w:r>
              <w:rPr>
                <w:rFonts w:hint="default" w:cs="Times New Roman"/>
                <w:color w:val="auto"/>
              </w:rPr>
              <w:t>：</w:t>
            </w:r>
          </w:p>
          <w:p w14:paraId="4572513D">
            <w:pPr>
              <w:pStyle w:val="34"/>
              <w:keepNext w:val="0"/>
              <w:keepLines w:val="0"/>
              <w:suppressLineNumbers w:val="0"/>
              <w:spacing w:before="0" w:beforeAutospacing="0" w:after="0" w:afterAutospacing="0"/>
              <w:ind w:left="0" w:right="0"/>
              <w:rPr>
                <w:rFonts w:hint="default"/>
                <w:color w:val="auto"/>
              </w:rPr>
            </w:pPr>
            <w:bookmarkStart w:id="73" w:name="_Ref17842"/>
            <w:r>
              <w:rPr>
                <w:rFonts w:hint="default"/>
                <w:color w:val="auto"/>
              </w:rPr>
              <w:t>项目主要原辅材料及能源消耗一览表</w:t>
            </w:r>
            <w:bookmarkEnd w:id="73"/>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15"/>
              <w:gridCol w:w="1005"/>
              <w:gridCol w:w="1115"/>
              <w:gridCol w:w="862"/>
              <w:gridCol w:w="515"/>
              <w:gridCol w:w="815"/>
              <w:gridCol w:w="774"/>
              <w:gridCol w:w="815"/>
              <w:gridCol w:w="815"/>
              <w:gridCol w:w="667"/>
            </w:tblGrid>
            <w:tr w14:paraId="09443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6" w:type="pct"/>
                  <w:tcBorders>
                    <w:tl2br w:val="nil"/>
                    <w:tr2bl w:val="nil"/>
                  </w:tcBorders>
                  <w:shd w:val="clear" w:color="auto" w:fill="auto"/>
                  <w:noWrap/>
                  <w:vAlign w:val="center"/>
                </w:tcPr>
                <w:p w14:paraId="168BD410">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序号</w:t>
                  </w:r>
                </w:p>
              </w:tc>
              <w:tc>
                <w:tcPr>
                  <w:tcW w:w="636" w:type="pct"/>
                  <w:tcBorders>
                    <w:tl2br w:val="nil"/>
                    <w:tr2bl w:val="nil"/>
                  </w:tcBorders>
                  <w:shd w:val="clear" w:color="auto" w:fill="auto"/>
                  <w:noWrap/>
                  <w:vAlign w:val="center"/>
                </w:tcPr>
                <w:p w14:paraId="3974F601">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生产线</w:t>
                  </w:r>
                </w:p>
              </w:tc>
              <w:tc>
                <w:tcPr>
                  <w:tcW w:w="706" w:type="pct"/>
                  <w:tcBorders>
                    <w:tl2br w:val="nil"/>
                    <w:tr2bl w:val="nil"/>
                  </w:tcBorders>
                  <w:shd w:val="clear" w:color="auto" w:fill="auto"/>
                  <w:noWrap/>
                  <w:vAlign w:val="center"/>
                </w:tcPr>
                <w:p w14:paraId="0019C08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原料名称</w:t>
                  </w:r>
                </w:p>
              </w:tc>
              <w:tc>
                <w:tcPr>
                  <w:tcW w:w="546" w:type="pct"/>
                  <w:tcBorders>
                    <w:tl2br w:val="nil"/>
                    <w:tr2bl w:val="nil"/>
                  </w:tcBorders>
                  <w:shd w:val="clear" w:color="auto" w:fill="auto"/>
                  <w:noWrap/>
                  <w:vAlign w:val="center"/>
                </w:tcPr>
                <w:p w14:paraId="46F9BD7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单位</w:t>
                  </w:r>
                </w:p>
              </w:tc>
              <w:tc>
                <w:tcPr>
                  <w:tcW w:w="326" w:type="pct"/>
                  <w:tcBorders>
                    <w:tl2br w:val="nil"/>
                    <w:tr2bl w:val="nil"/>
                  </w:tcBorders>
                  <w:shd w:val="clear" w:color="auto" w:fill="auto"/>
                  <w:noWrap/>
                  <w:vAlign w:val="center"/>
                </w:tcPr>
                <w:p w14:paraId="02FDE1A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形态</w:t>
                  </w:r>
                </w:p>
              </w:tc>
              <w:tc>
                <w:tcPr>
                  <w:tcW w:w="516" w:type="pct"/>
                  <w:tcBorders>
                    <w:tl2br w:val="nil"/>
                    <w:tr2bl w:val="nil"/>
                  </w:tcBorders>
                  <w:shd w:val="clear" w:color="auto" w:fill="auto"/>
                  <w:noWrap/>
                  <w:vAlign w:val="center"/>
                </w:tcPr>
                <w:p w14:paraId="071DCE2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包装方式</w:t>
                  </w:r>
                </w:p>
              </w:tc>
              <w:tc>
                <w:tcPr>
                  <w:tcW w:w="490" w:type="pct"/>
                  <w:tcBorders>
                    <w:tl2br w:val="nil"/>
                    <w:tr2bl w:val="nil"/>
                  </w:tcBorders>
                  <w:shd w:val="clear" w:color="auto" w:fill="auto"/>
                  <w:noWrap/>
                  <w:vAlign w:val="center"/>
                </w:tcPr>
                <w:p w14:paraId="6B4BF980">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用量</w:t>
                  </w:r>
                </w:p>
              </w:tc>
              <w:tc>
                <w:tcPr>
                  <w:tcW w:w="516" w:type="pct"/>
                  <w:tcBorders>
                    <w:tl2br w:val="nil"/>
                    <w:tr2bl w:val="nil"/>
                  </w:tcBorders>
                  <w:shd w:val="clear" w:color="auto" w:fill="auto"/>
                  <w:noWrap/>
                  <w:vAlign w:val="center"/>
                </w:tcPr>
                <w:p w14:paraId="3A0D414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最大储量</w:t>
                  </w:r>
                </w:p>
              </w:tc>
              <w:tc>
                <w:tcPr>
                  <w:tcW w:w="516" w:type="pct"/>
                  <w:tcBorders>
                    <w:tl2br w:val="nil"/>
                    <w:tr2bl w:val="nil"/>
                  </w:tcBorders>
                  <w:shd w:val="clear" w:color="auto" w:fill="auto"/>
                  <w:noWrap/>
                  <w:vAlign w:val="center"/>
                </w:tcPr>
                <w:p w14:paraId="1CD5859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储存地点</w:t>
                  </w:r>
                </w:p>
              </w:tc>
              <w:tc>
                <w:tcPr>
                  <w:tcW w:w="422" w:type="pct"/>
                  <w:tcBorders>
                    <w:tl2br w:val="nil"/>
                    <w:tr2bl w:val="nil"/>
                  </w:tcBorders>
                  <w:shd w:val="clear" w:color="auto" w:fill="auto"/>
                  <w:noWrap/>
                  <w:vAlign w:val="center"/>
                </w:tcPr>
                <w:p w14:paraId="7452287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来源</w:t>
                  </w:r>
                </w:p>
              </w:tc>
            </w:tr>
            <w:tr w14:paraId="6E454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596BD2F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1</w:t>
                  </w:r>
                </w:p>
              </w:tc>
              <w:tc>
                <w:tcPr>
                  <w:tcW w:w="623" w:type="pct"/>
                  <w:vMerge w:val="restart"/>
                  <w:tcBorders>
                    <w:tl2br w:val="nil"/>
                    <w:tr2bl w:val="nil"/>
                  </w:tcBorders>
                  <w:shd w:val="clear" w:color="auto" w:fill="auto"/>
                  <w:noWrap/>
                  <w:vAlign w:val="center"/>
                </w:tcPr>
                <w:p w14:paraId="4094FA90">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食品级硫磺/</w:t>
                  </w:r>
                </w:p>
                <w:p w14:paraId="611B476F">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工业级硫磺</w:t>
                  </w:r>
                </w:p>
              </w:tc>
              <w:tc>
                <w:tcPr>
                  <w:tcW w:w="692" w:type="pct"/>
                  <w:tcBorders>
                    <w:tl2br w:val="nil"/>
                    <w:tr2bl w:val="nil"/>
                  </w:tcBorders>
                  <w:shd w:val="clear" w:color="auto" w:fill="auto"/>
                  <w:noWrap/>
                  <w:vAlign w:val="center"/>
                </w:tcPr>
                <w:p w14:paraId="415EDFC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液体工业硫磺</w:t>
                  </w:r>
                </w:p>
              </w:tc>
              <w:tc>
                <w:tcPr>
                  <w:tcW w:w="535" w:type="pct"/>
                  <w:tcBorders>
                    <w:tl2br w:val="nil"/>
                    <w:tr2bl w:val="nil"/>
                  </w:tcBorders>
                  <w:shd w:val="clear" w:color="auto" w:fill="auto"/>
                  <w:noWrap/>
                  <w:vAlign w:val="center"/>
                </w:tcPr>
                <w:p w14:paraId="6D5346AD">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t/a</w:t>
                  </w:r>
                </w:p>
              </w:tc>
              <w:tc>
                <w:tcPr>
                  <w:tcW w:w="322" w:type="pct"/>
                  <w:tcBorders>
                    <w:tl2br w:val="nil"/>
                    <w:tr2bl w:val="nil"/>
                  </w:tcBorders>
                  <w:shd w:val="clear" w:color="auto" w:fill="auto"/>
                  <w:noWrap/>
                  <w:vAlign w:val="center"/>
                </w:tcPr>
                <w:p w14:paraId="2B94306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07" w:type="pct"/>
                  <w:tcBorders>
                    <w:tl2br w:val="nil"/>
                    <w:tr2bl w:val="nil"/>
                  </w:tcBorders>
                  <w:shd w:val="clear" w:color="auto" w:fill="auto"/>
                  <w:noWrap/>
                  <w:vAlign w:val="center"/>
                </w:tcPr>
                <w:p w14:paraId="1FFC66F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专用槽车</w:t>
                  </w:r>
                </w:p>
              </w:tc>
              <w:tc>
                <w:tcPr>
                  <w:tcW w:w="480" w:type="pct"/>
                  <w:tcBorders>
                    <w:tl2br w:val="nil"/>
                    <w:tr2bl w:val="nil"/>
                  </w:tcBorders>
                  <w:shd w:val="clear" w:color="auto" w:fill="auto"/>
                  <w:noWrap/>
                  <w:vAlign w:val="center"/>
                </w:tcPr>
                <w:p w14:paraId="5CDD48EF">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100220</w:t>
                  </w:r>
                </w:p>
              </w:tc>
              <w:tc>
                <w:tcPr>
                  <w:tcW w:w="507" w:type="pct"/>
                  <w:tcBorders>
                    <w:tl2br w:val="nil"/>
                    <w:tr2bl w:val="nil"/>
                  </w:tcBorders>
                  <w:shd w:val="clear" w:color="auto" w:fill="auto"/>
                  <w:noWrap/>
                  <w:vAlign w:val="center"/>
                </w:tcPr>
                <w:p w14:paraId="6CD87A12">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100</w:t>
                  </w:r>
                </w:p>
              </w:tc>
              <w:tc>
                <w:tcPr>
                  <w:tcW w:w="507" w:type="pct"/>
                  <w:tcBorders>
                    <w:tl2br w:val="nil"/>
                    <w:tr2bl w:val="nil"/>
                  </w:tcBorders>
                  <w:shd w:val="clear" w:color="auto" w:fill="auto"/>
                  <w:noWrap/>
                  <w:vAlign w:val="center"/>
                </w:tcPr>
                <w:p w14:paraId="62C5038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液硫池</w:t>
                  </w:r>
                </w:p>
              </w:tc>
              <w:tc>
                <w:tcPr>
                  <w:tcW w:w="507" w:type="pct"/>
                  <w:tcBorders>
                    <w:tl2br w:val="nil"/>
                    <w:tr2bl w:val="nil"/>
                  </w:tcBorders>
                  <w:shd w:val="clear" w:color="auto" w:fill="auto"/>
                  <w:noWrap/>
                  <w:vAlign w:val="center"/>
                </w:tcPr>
                <w:p w14:paraId="77340248">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r w14:paraId="0AE0E3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6CC004B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2</w:t>
                  </w:r>
                </w:p>
              </w:tc>
              <w:tc>
                <w:tcPr>
                  <w:tcW w:w="623" w:type="pct"/>
                  <w:vMerge w:val="continue"/>
                  <w:tcBorders>
                    <w:tl2br w:val="nil"/>
                    <w:tr2bl w:val="nil"/>
                  </w:tcBorders>
                  <w:shd w:val="clear" w:color="auto" w:fill="auto"/>
                  <w:noWrap/>
                  <w:vAlign w:val="center"/>
                </w:tcPr>
                <w:p w14:paraId="09DBC6A7">
                  <w:pPr>
                    <w:pStyle w:val="26"/>
                    <w:keepNext w:val="0"/>
                    <w:keepLines w:val="0"/>
                    <w:suppressLineNumbers w:val="0"/>
                    <w:spacing w:before="0" w:beforeAutospacing="0" w:after="0" w:afterAutospacing="0"/>
                    <w:ind w:left="0" w:right="0"/>
                    <w:rPr>
                      <w:rFonts w:hint="default"/>
                      <w:sz w:val="16"/>
                      <w:szCs w:val="18"/>
                    </w:rPr>
                  </w:pPr>
                </w:p>
              </w:tc>
              <w:tc>
                <w:tcPr>
                  <w:tcW w:w="692" w:type="pct"/>
                  <w:tcBorders>
                    <w:tl2br w:val="nil"/>
                    <w:tr2bl w:val="nil"/>
                  </w:tcBorders>
                  <w:shd w:val="clear" w:color="auto" w:fill="auto"/>
                  <w:noWrap/>
                  <w:vAlign w:val="center"/>
                </w:tcPr>
                <w:p w14:paraId="33B80ABA">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包装袋</w:t>
                  </w:r>
                </w:p>
              </w:tc>
              <w:tc>
                <w:tcPr>
                  <w:tcW w:w="535" w:type="pct"/>
                  <w:tcBorders>
                    <w:tl2br w:val="nil"/>
                    <w:tr2bl w:val="nil"/>
                  </w:tcBorders>
                  <w:shd w:val="clear" w:color="auto" w:fill="auto"/>
                  <w:noWrap/>
                  <w:vAlign w:val="center"/>
                </w:tcPr>
                <w:p w14:paraId="0976B669">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万个/a</w:t>
                  </w:r>
                </w:p>
              </w:tc>
              <w:tc>
                <w:tcPr>
                  <w:tcW w:w="322" w:type="pct"/>
                  <w:tcBorders>
                    <w:tl2br w:val="nil"/>
                    <w:tr2bl w:val="nil"/>
                  </w:tcBorders>
                  <w:shd w:val="clear" w:color="auto" w:fill="auto"/>
                  <w:noWrap/>
                  <w:vAlign w:val="center"/>
                </w:tcPr>
                <w:p w14:paraId="28F1A4A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7E60A5C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捆</w:t>
                  </w:r>
                </w:p>
              </w:tc>
              <w:tc>
                <w:tcPr>
                  <w:tcW w:w="480" w:type="pct"/>
                  <w:tcBorders>
                    <w:tl2br w:val="nil"/>
                    <w:tr2bl w:val="nil"/>
                  </w:tcBorders>
                  <w:shd w:val="clear" w:color="auto" w:fill="auto"/>
                  <w:noWrap/>
                  <w:vAlign w:val="center"/>
                </w:tcPr>
                <w:p w14:paraId="1F2F375D">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5-100</w:t>
                  </w:r>
                </w:p>
              </w:tc>
              <w:tc>
                <w:tcPr>
                  <w:tcW w:w="507" w:type="pct"/>
                  <w:tcBorders>
                    <w:tl2br w:val="nil"/>
                    <w:tr2bl w:val="nil"/>
                  </w:tcBorders>
                  <w:shd w:val="clear" w:color="auto" w:fill="auto"/>
                  <w:noWrap/>
                  <w:vAlign w:val="center"/>
                </w:tcPr>
                <w:p w14:paraId="725085E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0.5</w:t>
                  </w:r>
                </w:p>
              </w:tc>
              <w:tc>
                <w:tcPr>
                  <w:tcW w:w="507" w:type="pct"/>
                  <w:tcBorders>
                    <w:tl2br w:val="nil"/>
                    <w:tr2bl w:val="nil"/>
                  </w:tcBorders>
                  <w:shd w:val="clear" w:color="auto" w:fill="auto"/>
                  <w:noWrap/>
                  <w:vAlign w:val="center"/>
                </w:tcPr>
                <w:p w14:paraId="14880B3D">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食品级</w:t>
                  </w:r>
                </w:p>
                <w:p w14:paraId="417C1AF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硫磺仓库</w:t>
                  </w:r>
                </w:p>
              </w:tc>
              <w:tc>
                <w:tcPr>
                  <w:tcW w:w="507" w:type="pct"/>
                  <w:tcBorders>
                    <w:tl2br w:val="nil"/>
                    <w:tr2bl w:val="nil"/>
                  </w:tcBorders>
                  <w:shd w:val="clear" w:color="auto" w:fill="auto"/>
                  <w:noWrap/>
                  <w:vAlign w:val="center"/>
                </w:tcPr>
                <w:p w14:paraId="77D0194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r w14:paraId="19730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05A308A1">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3</w:t>
                  </w:r>
                </w:p>
              </w:tc>
              <w:tc>
                <w:tcPr>
                  <w:tcW w:w="623" w:type="pct"/>
                  <w:tcBorders>
                    <w:tl2br w:val="nil"/>
                    <w:tr2bl w:val="nil"/>
                  </w:tcBorders>
                  <w:shd w:val="clear" w:color="auto" w:fill="auto"/>
                  <w:noWrap/>
                  <w:vAlign w:val="center"/>
                </w:tcPr>
                <w:p w14:paraId="143C886F">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干冰</w:t>
                  </w:r>
                </w:p>
              </w:tc>
              <w:tc>
                <w:tcPr>
                  <w:tcW w:w="692" w:type="pct"/>
                  <w:tcBorders>
                    <w:tl2br w:val="nil"/>
                    <w:tr2bl w:val="nil"/>
                  </w:tcBorders>
                  <w:shd w:val="clear" w:color="auto" w:fill="auto"/>
                  <w:noWrap/>
                  <w:vAlign w:val="center"/>
                </w:tcPr>
                <w:p w14:paraId="117A46B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液体二氧化碳</w:t>
                  </w:r>
                </w:p>
              </w:tc>
              <w:tc>
                <w:tcPr>
                  <w:tcW w:w="535" w:type="pct"/>
                  <w:tcBorders>
                    <w:tl2br w:val="nil"/>
                    <w:tr2bl w:val="nil"/>
                  </w:tcBorders>
                  <w:shd w:val="clear" w:color="auto" w:fill="auto"/>
                  <w:noWrap/>
                  <w:vAlign w:val="center"/>
                </w:tcPr>
                <w:p w14:paraId="3C38600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t/a</w:t>
                  </w:r>
                </w:p>
              </w:tc>
              <w:tc>
                <w:tcPr>
                  <w:tcW w:w="322" w:type="pct"/>
                  <w:tcBorders>
                    <w:tl2br w:val="nil"/>
                    <w:tr2bl w:val="nil"/>
                  </w:tcBorders>
                  <w:shd w:val="clear" w:color="auto" w:fill="auto"/>
                  <w:noWrap/>
                  <w:vAlign w:val="center"/>
                </w:tcPr>
                <w:p w14:paraId="4FAFA3F2">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07" w:type="pct"/>
                  <w:tcBorders>
                    <w:tl2br w:val="nil"/>
                    <w:tr2bl w:val="nil"/>
                  </w:tcBorders>
                  <w:shd w:val="clear" w:color="auto" w:fill="auto"/>
                  <w:noWrap/>
                  <w:vAlign w:val="center"/>
                </w:tcPr>
                <w:p w14:paraId="3AB495E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专用槽车</w:t>
                  </w:r>
                </w:p>
              </w:tc>
              <w:tc>
                <w:tcPr>
                  <w:tcW w:w="480" w:type="pct"/>
                  <w:tcBorders>
                    <w:tl2br w:val="nil"/>
                    <w:tr2bl w:val="nil"/>
                  </w:tcBorders>
                  <w:shd w:val="clear" w:color="auto" w:fill="auto"/>
                  <w:noWrap/>
                  <w:vAlign w:val="center"/>
                </w:tcPr>
                <w:p w14:paraId="505BF4D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26000</w:t>
                  </w:r>
                </w:p>
              </w:tc>
              <w:tc>
                <w:tcPr>
                  <w:tcW w:w="507" w:type="pct"/>
                  <w:tcBorders>
                    <w:tl2br w:val="nil"/>
                    <w:tr2bl w:val="nil"/>
                  </w:tcBorders>
                  <w:shd w:val="clear" w:color="auto" w:fill="auto"/>
                  <w:noWrap/>
                  <w:vAlign w:val="center"/>
                </w:tcPr>
                <w:p w14:paraId="1BB6D5E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140</w:t>
                  </w:r>
                </w:p>
              </w:tc>
              <w:tc>
                <w:tcPr>
                  <w:tcW w:w="507" w:type="pct"/>
                  <w:tcBorders>
                    <w:tl2br w:val="nil"/>
                    <w:tr2bl w:val="nil"/>
                  </w:tcBorders>
                  <w:shd w:val="clear" w:color="auto" w:fill="auto"/>
                  <w:noWrap/>
                  <w:vAlign w:val="center"/>
                </w:tcPr>
                <w:p w14:paraId="6271D8A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CO</w:t>
                  </w:r>
                  <w:r>
                    <w:rPr>
                      <w:rFonts w:hint="default"/>
                      <w:sz w:val="16"/>
                      <w:szCs w:val="18"/>
                      <w:vertAlign w:val="subscript"/>
                    </w:rPr>
                    <w:t>2</w:t>
                  </w:r>
                  <w:r>
                    <w:rPr>
                      <w:rFonts w:hint="default"/>
                      <w:sz w:val="16"/>
                      <w:szCs w:val="18"/>
                    </w:rPr>
                    <w:t>储罐</w:t>
                  </w:r>
                </w:p>
              </w:tc>
              <w:tc>
                <w:tcPr>
                  <w:tcW w:w="507" w:type="pct"/>
                  <w:tcBorders>
                    <w:tl2br w:val="nil"/>
                    <w:tr2bl w:val="nil"/>
                  </w:tcBorders>
                  <w:shd w:val="clear" w:color="auto" w:fill="auto"/>
                  <w:noWrap/>
                  <w:vAlign w:val="center"/>
                </w:tcPr>
                <w:p w14:paraId="667CC66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r w14:paraId="67FFC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79D19979">
                  <w:pPr>
                    <w:pStyle w:val="28"/>
                    <w:keepNext w:val="0"/>
                    <w:keepLines w:val="0"/>
                    <w:suppressLineNumbers w:val="0"/>
                    <w:spacing w:before="0" w:beforeAutospacing="0" w:after="0" w:afterAutospacing="0"/>
                    <w:ind w:left="0" w:right="0"/>
                    <w:rPr>
                      <w:rFonts w:hint="default"/>
                      <w:color w:val="auto"/>
                      <w:sz w:val="16"/>
                    </w:rPr>
                  </w:pPr>
                  <w:r>
                    <w:rPr>
                      <w:rFonts w:hint="default"/>
                      <w:color w:val="auto"/>
                      <w:sz w:val="16"/>
                    </w:rPr>
                    <w:t>4</w:t>
                  </w:r>
                </w:p>
              </w:tc>
              <w:tc>
                <w:tcPr>
                  <w:tcW w:w="623" w:type="pct"/>
                  <w:tcBorders>
                    <w:tl2br w:val="nil"/>
                    <w:tr2bl w:val="nil"/>
                  </w:tcBorders>
                  <w:shd w:val="clear" w:color="auto" w:fill="auto"/>
                  <w:noWrap/>
                  <w:vAlign w:val="center"/>
                </w:tcPr>
                <w:p w14:paraId="1F32FDD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692" w:type="pct"/>
                  <w:tcBorders>
                    <w:tl2br w:val="nil"/>
                    <w:tr2bl w:val="nil"/>
                  </w:tcBorders>
                  <w:shd w:val="clear" w:color="auto" w:fill="auto"/>
                  <w:noWrap/>
                  <w:vAlign w:val="center"/>
                </w:tcPr>
                <w:p w14:paraId="5E08B72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32%碱液</w:t>
                  </w:r>
                </w:p>
              </w:tc>
              <w:tc>
                <w:tcPr>
                  <w:tcW w:w="535" w:type="pct"/>
                  <w:tcBorders>
                    <w:tl2br w:val="nil"/>
                    <w:tr2bl w:val="nil"/>
                  </w:tcBorders>
                  <w:shd w:val="clear" w:color="auto" w:fill="auto"/>
                  <w:noWrap/>
                  <w:vAlign w:val="center"/>
                </w:tcPr>
                <w:p w14:paraId="66E59939">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t/a</w:t>
                  </w:r>
                </w:p>
              </w:tc>
              <w:tc>
                <w:tcPr>
                  <w:tcW w:w="322" w:type="pct"/>
                  <w:tcBorders>
                    <w:tl2br w:val="nil"/>
                    <w:tr2bl w:val="nil"/>
                  </w:tcBorders>
                  <w:shd w:val="clear" w:color="auto" w:fill="auto"/>
                  <w:noWrap/>
                  <w:vAlign w:val="center"/>
                </w:tcPr>
                <w:p w14:paraId="42A9F9A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07" w:type="pct"/>
                  <w:tcBorders>
                    <w:tl2br w:val="nil"/>
                    <w:tr2bl w:val="nil"/>
                  </w:tcBorders>
                  <w:shd w:val="clear" w:color="auto" w:fill="auto"/>
                  <w:noWrap/>
                  <w:vAlign w:val="center"/>
                </w:tcPr>
                <w:p w14:paraId="3E8EA3F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桶装</w:t>
                  </w:r>
                </w:p>
              </w:tc>
              <w:tc>
                <w:tcPr>
                  <w:tcW w:w="480" w:type="pct"/>
                  <w:tcBorders>
                    <w:tl2br w:val="nil"/>
                    <w:tr2bl w:val="nil"/>
                  </w:tcBorders>
                  <w:shd w:val="clear" w:color="auto" w:fill="auto"/>
                  <w:noWrap/>
                  <w:vAlign w:val="center"/>
                </w:tcPr>
                <w:p w14:paraId="52E5B5E8">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200.4</w:t>
                  </w:r>
                </w:p>
              </w:tc>
              <w:tc>
                <w:tcPr>
                  <w:tcW w:w="507" w:type="pct"/>
                  <w:tcBorders>
                    <w:tl2br w:val="nil"/>
                    <w:tr2bl w:val="nil"/>
                  </w:tcBorders>
                  <w:shd w:val="clear" w:color="auto" w:fill="auto"/>
                  <w:noWrap/>
                  <w:vAlign w:val="center"/>
                </w:tcPr>
                <w:p w14:paraId="5965B6F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6</w:t>
                  </w:r>
                </w:p>
              </w:tc>
              <w:tc>
                <w:tcPr>
                  <w:tcW w:w="507" w:type="pct"/>
                  <w:tcBorders>
                    <w:tl2br w:val="nil"/>
                    <w:tr2bl w:val="nil"/>
                  </w:tcBorders>
                  <w:shd w:val="clear" w:color="auto" w:fill="auto"/>
                  <w:noWrap/>
                  <w:vAlign w:val="center"/>
                </w:tcPr>
                <w:p w14:paraId="73E9BA1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矩形料仓</w:t>
                  </w:r>
                </w:p>
              </w:tc>
              <w:tc>
                <w:tcPr>
                  <w:tcW w:w="507" w:type="pct"/>
                  <w:tcBorders>
                    <w:tl2br w:val="nil"/>
                    <w:tr2bl w:val="nil"/>
                  </w:tcBorders>
                  <w:shd w:val="clear" w:color="auto" w:fill="auto"/>
                  <w:noWrap/>
                  <w:vAlign w:val="center"/>
                </w:tcPr>
                <w:p w14:paraId="6E283BD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r w14:paraId="26CEC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36EFBF61">
                  <w:pPr>
                    <w:pStyle w:val="28"/>
                    <w:keepNext w:val="0"/>
                    <w:keepLines w:val="0"/>
                    <w:suppressLineNumbers w:val="0"/>
                    <w:spacing w:before="0" w:beforeAutospacing="0" w:after="0" w:afterAutospacing="0"/>
                    <w:ind w:left="0" w:right="0"/>
                    <w:rPr>
                      <w:rFonts w:hint="default"/>
                      <w:color w:val="auto"/>
                      <w:sz w:val="16"/>
                    </w:rPr>
                  </w:pPr>
                  <w:r>
                    <w:rPr>
                      <w:rFonts w:hint="default"/>
                      <w:color w:val="auto"/>
                      <w:sz w:val="16"/>
                    </w:rPr>
                    <w:t>5</w:t>
                  </w:r>
                </w:p>
              </w:tc>
              <w:tc>
                <w:tcPr>
                  <w:tcW w:w="623" w:type="pct"/>
                  <w:vMerge w:val="restart"/>
                  <w:tcBorders>
                    <w:tl2br w:val="nil"/>
                    <w:tr2bl w:val="nil"/>
                  </w:tcBorders>
                  <w:shd w:val="clear" w:color="auto" w:fill="auto"/>
                  <w:noWrap/>
                  <w:vAlign w:val="center"/>
                </w:tcPr>
                <w:p w14:paraId="0EF2F609">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能源</w:t>
                  </w:r>
                </w:p>
              </w:tc>
              <w:tc>
                <w:tcPr>
                  <w:tcW w:w="692" w:type="pct"/>
                  <w:tcBorders>
                    <w:tl2br w:val="nil"/>
                    <w:tr2bl w:val="nil"/>
                  </w:tcBorders>
                  <w:shd w:val="clear" w:color="auto" w:fill="auto"/>
                  <w:noWrap/>
                  <w:vAlign w:val="center"/>
                </w:tcPr>
                <w:p w14:paraId="440317C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水</w:t>
                  </w:r>
                </w:p>
              </w:tc>
              <w:tc>
                <w:tcPr>
                  <w:tcW w:w="535" w:type="pct"/>
                  <w:tcBorders>
                    <w:tl2br w:val="nil"/>
                    <w:tr2bl w:val="nil"/>
                  </w:tcBorders>
                  <w:shd w:val="clear" w:color="auto" w:fill="auto"/>
                  <w:noWrap/>
                  <w:vAlign w:val="center"/>
                </w:tcPr>
                <w:p w14:paraId="0F21272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m</w:t>
                  </w:r>
                  <w:r>
                    <w:rPr>
                      <w:rFonts w:hint="default"/>
                      <w:sz w:val="16"/>
                      <w:szCs w:val="18"/>
                      <w:vertAlign w:val="superscript"/>
                    </w:rPr>
                    <w:t>3</w:t>
                  </w:r>
                  <w:r>
                    <w:rPr>
                      <w:rFonts w:hint="default"/>
                      <w:sz w:val="16"/>
                      <w:szCs w:val="18"/>
                    </w:rPr>
                    <w:t>/a</w:t>
                  </w:r>
                </w:p>
              </w:tc>
              <w:tc>
                <w:tcPr>
                  <w:tcW w:w="322" w:type="pct"/>
                  <w:tcBorders>
                    <w:tl2br w:val="nil"/>
                    <w:tr2bl w:val="nil"/>
                  </w:tcBorders>
                  <w:shd w:val="clear" w:color="auto" w:fill="auto"/>
                  <w:noWrap/>
                  <w:vAlign w:val="center"/>
                </w:tcPr>
                <w:p w14:paraId="5B0BB70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07" w:type="pct"/>
                  <w:tcBorders>
                    <w:tl2br w:val="nil"/>
                    <w:tr2bl w:val="nil"/>
                  </w:tcBorders>
                  <w:shd w:val="clear" w:color="auto" w:fill="auto"/>
                  <w:noWrap/>
                  <w:vAlign w:val="center"/>
                </w:tcPr>
                <w:p w14:paraId="07FAFD2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480" w:type="pct"/>
                  <w:tcBorders>
                    <w:tl2br w:val="nil"/>
                    <w:tr2bl w:val="nil"/>
                  </w:tcBorders>
                  <w:shd w:val="clear" w:color="auto" w:fill="auto"/>
                  <w:noWrap/>
                  <w:vAlign w:val="center"/>
                </w:tcPr>
                <w:p w14:paraId="6B6F9D1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92574.78</w:t>
                  </w:r>
                </w:p>
              </w:tc>
              <w:tc>
                <w:tcPr>
                  <w:tcW w:w="507" w:type="pct"/>
                  <w:tcBorders>
                    <w:tl2br w:val="nil"/>
                    <w:tr2bl w:val="nil"/>
                  </w:tcBorders>
                  <w:shd w:val="clear" w:color="auto" w:fill="auto"/>
                  <w:noWrap/>
                  <w:vAlign w:val="center"/>
                </w:tcPr>
                <w:p w14:paraId="7E26ED2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5A8F3A9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3116119C">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自来水</w:t>
                  </w:r>
                </w:p>
                <w:p w14:paraId="7EC819D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管网</w:t>
                  </w:r>
                </w:p>
              </w:tc>
            </w:tr>
            <w:tr w14:paraId="09440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5A1233A7">
                  <w:pPr>
                    <w:pStyle w:val="28"/>
                    <w:keepNext w:val="0"/>
                    <w:keepLines w:val="0"/>
                    <w:suppressLineNumbers w:val="0"/>
                    <w:spacing w:before="0" w:beforeAutospacing="0" w:after="0" w:afterAutospacing="0"/>
                    <w:ind w:left="0" w:right="0"/>
                    <w:rPr>
                      <w:rFonts w:hint="default"/>
                      <w:color w:val="auto"/>
                      <w:sz w:val="16"/>
                    </w:rPr>
                  </w:pPr>
                  <w:r>
                    <w:rPr>
                      <w:rFonts w:hint="default"/>
                      <w:color w:val="auto"/>
                      <w:sz w:val="16"/>
                    </w:rPr>
                    <w:t>6</w:t>
                  </w:r>
                </w:p>
              </w:tc>
              <w:tc>
                <w:tcPr>
                  <w:tcW w:w="623" w:type="pct"/>
                  <w:vMerge w:val="continue"/>
                  <w:tcBorders>
                    <w:tl2br w:val="nil"/>
                    <w:tr2bl w:val="nil"/>
                  </w:tcBorders>
                  <w:shd w:val="clear" w:color="auto" w:fill="auto"/>
                  <w:noWrap/>
                  <w:vAlign w:val="center"/>
                </w:tcPr>
                <w:p w14:paraId="580D6B02">
                  <w:pPr>
                    <w:pStyle w:val="26"/>
                    <w:keepNext w:val="0"/>
                    <w:keepLines w:val="0"/>
                    <w:suppressLineNumbers w:val="0"/>
                    <w:spacing w:before="0" w:beforeAutospacing="0" w:after="0" w:afterAutospacing="0"/>
                    <w:ind w:left="0" w:right="0"/>
                    <w:rPr>
                      <w:rFonts w:hint="default"/>
                      <w:sz w:val="16"/>
                      <w:szCs w:val="18"/>
                    </w:rPr>
                  </w:pPr>
                </w:p>
              </w:tc>
              <w:tc>
                <w:tcPr>
                  <w:tcW w:w="692" w:type="pct"/>
                  <w:tcBorders>
                    <w:tl2br w:val="nil"/>
                    <w:tr2bl w:val="nil"/>
                  </w:tcBorders>
                  <w:shd w:val="clear" w:color="auto" w:fill="auto"/>
                  <w:noWrap/>
                  <w:vAlign w:val="center"/>
                </w:tcPr>
                <w:p w14:paraId="32A25032">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电</w:t>
                  </w:r>
                </w:p>
              </w:tc>
              <w:tc>
                <w:tcPr>
                  <w:tcW w:w="535" w:type="pct"/>
                  <w:tcBorders>
                    <w:tl2br w:val="nil"/>
                    <w:tr2bl w:val="nil"/>
                  </w:tcBorders>
                  <w:shd w:val="clear" w:color="auto" w:fill="auto"/>
                  <w:noWrap/>
                  <w:vAlign w:val="center"/>
                </w:tcPr>
                <w:p w14:paraId="5CD5DD6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万</w:t>
                  </w:r>
                  <w:r>
                    <w:rPr>
                      <w:rFonts w:hint="eastAsia"/>
                      <w:sz w:val="16"/>
                      <w:szCs w:val="18"/>
                    </w:rPr>
                    <w:t>kW</w:t>
                  </w:r>
                  <w:r>
                    <w:rPr>
                      <w:rFonts w:hint="default"/>
                      <w:sz w:val="16"/>
                      <w:szCs w:val="18"/>
                    </w:rPr>
                    <w:t>.h/a</w:t>
                  </w:r>
                </w:p>
              </w:tc>
              <w:tc>
                <w:tcPr>
                  <w:tcW w:w="322" w:type="pct"/>
                  <w:tcBorders>
                    <w:tl2br w:val="nil"/>
                    <w:tr2bl w:val="nil"/>
                  </w:tcBorders>
                  <w:shd w:val="clear" w:color="auto" w:fill="auto"/>
                  <w:noWrap/>
                  <w:vAlign w:val="center"/>
                </w:tcPr>
                <w:p w14:paraId="0485C30F">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4CAED2AA">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480" w:type="pct"/>
                  <w:tcBorders>
                    <w:tl2br w:val="nil"/>
                    <w:tr2bl w:val="nil"/>
                  </w:tcBorders>
                  <w:shd w:val="clear" w:color="auto" w:fill="auto"/>
                  <w:noWrap/>
                  <w:vAlign w:val="center"/>
                </w:tcPr>
                <w:p w14:paraId="1FA6239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30</w:t>
                  </w:r>
                </w:p>
              </w:tc>
              <w:tc>
                <w:tcPr>
                  <w:tcW w:w="507" w:type="pct"/>
                  <w:tcBorders>
                    <w:tl2br w:val="nil"/>
                    <w:tr2bl w:val="nil"/>
                  </w:tcBorders>
                  <w:shd w:val="clear" w:color="auto" w:fill="auto"/>
                  <w:noWrap/>
                  <w:vAlign w:val="center"/>
                </w:tcPr>
                <w:p w14:paraId="216D993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73DACFF0">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w:t>
                  </w:r>
                </w:p>
              </w:tc>
              <w:tc>
                <w:tcPr>
                  <w:tcW w:w="507" w:type="pct"/>
                  <w:tcBorders>
                    <w:tl2br w:val="nil"/>
                    <w:tr2bl w:val="nil"/>
                  </w:tcBorders>
                  <w:shd w:val="clear" w:color="auto" w:fill="auto"/>
                  <w:noWrap/>
                  <w:vAlign w:val="center"/>
                </w:tcPr>
                <w:p w14:paraId="2ACCB548">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电网</w:t>
                  </w:r>
                </w:p>
              </w:tc>
            </w:tr>
            <w:tr w14:paraId="7F01E1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1" w:type="pct"/>
                  <w:tcBorders>
                    <w:tl2br w:val="nil"/>
                    <w:tr2bl w:val="nil"/>
                  </w:tcBorders>
                  <w:shd w:val="clear" w:color="auto" w:fill="auto"/>
                  <w:noWrap/>
                  <w:vAlign w:val="center"/>
                </w:tcPr>
                <w:p w14:paraId="2C685E2E">
                  <w:pPr>
                    <w:pStyle w:val="28"/>
                    <w:keepNext w:val="0"/>
                    <w:keepLines w:val="0"/>
                    <w:suppressLineNumbers w:val="0"/>
                    <w:spacing w:before="0" w:beforeAutospacing="0" w:after="0" w:afterAutospacing="0"/>
                    <w:ind w:left="0" w:right="0"/>
                    <w:rPr>
                      <w:rFonts w:hint="default"/>
                      <w:color w:val="auto"/>
                      <w:sz w:val="16"/>
                    </w:rPr>
                  </w:pPr>
                  <w:r>
                    <w:rPr>
                      <w:rFonts w:hint="default"/>
                      <w:color w:val="auto"/>
                      <w:sz w:val="16"/>
                    </w:rPr>
                    <w:t>7</w:t>
                  </w:r>
                </w:p>
              </w:tc>
              <w:tc>
                <w:tcPr>
                  <w:tcW w:w="623" w:type="pct"/>
                  <w:vMerge w:val="restart"/>
                  <w:tcBorders>
                    <w:tl2br w:val="nil"/>
                    <w:tr2bl w:val="nil"/>
                  </w:tcBorders>
                  <w:shd w:val="clear" w:color="auto" w:fill="auto"/>
                  <w:noWrap/>
                  <w:vAlign w:val="center"/>
                </w:tcPr>
                <w:p w14:paraId="0A660C8A">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供内部车</w:t>
                  </w:r>
                </w:p>
                <w:p w14:paraId="69D82AA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辆使用</w:t>
                  </w:r>
                </w:p>
              </w:tc>
              <w:tc>
                <w:tcPr>
                  <w:tcW w:w="692" w:type="pct"/>
                  <w:tcBorders>
                    <w:tl2br w:val="nil"/>
                    <w:tr2bl w:val="nil"/>
                  </w:tcBorders>
                  <w:shd w:val="clear" w:color="auto" w:fill="auto"/>
                  <w:noWrap/>
                  <w:vAlign w:val="center"/>
                </w:tcPr>
                <w:p w14:paraId="029BB5B0">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柴油</w:t>
                  </w:r>
                </w:p>
              </w:tc>
              <w:tc>
                <w:tcPr>
                  <w:tcW w:w="535" w:type="pct"/>
                  <w:tcBorders>
                    <w:tl2br w:val="nil"/>
                    <w:tr2bl w:val="nil"/>
                  </w:tcBorders>
                  <w:shd w:val="clear" w:color="auto" w:fill="auto"/>
                  <w:noWrap/>
                  <w:vAlign w:val="center"/>
                </w:tcPr>
                <w:p w14:paraId="397E3768">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t/a</w:t>
                  </w:r>
                </w:p>
              </w:tc>
              <w:tc>
                <w:tcPr>
                  <w:tcW w:w="322" w:type="pct"/>
                  <w:tcBorders>
                    <w:tl2br w:val="nil"/>
                    <w:tr2bl w:val="nil"/>
                  </w:tcBorders>
                  <w:shd w:val="clear" w:color="auto" w:fill="auto"/>
                  <w:noWrap/>
                  <w:vAlign w:val="center"/>
                </w:tcPr>
                <w:p w14:paraId="294784D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07" w:type="pct"/>
                  <w:tcBorders>
                    <w:tl2br w:val="nil"/>
                    <w:tr2bl w:val="nil"/>
                  </w:tcBorders>
                  <w:shd w:val="clear" w:color="auto" w:fill="auto"/>
                  <w:noWrap/>
                  <w:vAlign w:val="center"/>
                </w:tcPr>
                <w:p w14:paraId="41253936">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罐</w:t>
                  </w:r>
                </w:p>
              </w:tc>
              <w:tc>
                <w:tcPr>
                  <w:tcW w:w="480" w:type="pct"/>
                  <w:tcBorders>
                    <w:tl2br w:val="nil"/>
                    <w:tr2bl w:val="nil"/>
                  </w:tcBorders>
                  <w:shd w:val="clear" w:color="auto" w:fill="auto"/>
                  <w:noWrap/>
                  <w:vAlign w:val="center"/>
                </w:tcPr>
                <w:p w14:paraId="0E226659">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500</w:t>
                  </w:r>
                </w:p>
              </w:tc>
              <w:tc>
                <w:tcPr>
                  <w:tcW w:w="507" w:type="pct"/>
                  <w:tcBorders>
                    <w:tl2br w:val="nil"/>
                    <w:tr2bl w:val="nil"/>
                  </w:tcBorders>
                  <w:shd w:val="clear" w:color="auto" w:fill="auto"/>
                  <w:noWrap/>
                  <w:vAlign w:val="center"/>
                </w:tcPr>
                <w:p w14:paraId="5B3A76C4">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45.1</w:t>
                  </w:r>
                </w:p>
              </w:tc>
              <w:tc>
                <w:tcPr>
                  <w:tcW w:w="507" w:type="pct"/>
                  <w:tcBorders>
                    <w:tl2br w:val="nil"/>
                    <w:tr2bl w:val="nil"/>
                  </w:tcBorders>
                  <w:shd w:val="clear" w:color="auto" w:fill="auto"/>
                  <w:noWrap/>
                  <w:vAlign w:val="center"/>
                </w:tcPr>
                <w:p w14:paraId="476AAB41">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柴油</w:t>
                  </w:r>
                </w:p>
                <w:p w14:paraId="2867FF7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撬装站</w:t>
                  </w:r>
                </w:p>
              </w:tc>
              <w:tc>
                <w:tcPr>
                  <w:tcW w:w="507" w:type="pct"/>
                  <w:tcBorders>
                    <w:tl2br w:val="nil"/>
                    <w:tr2bl w:val="nil"/>
                  </w:tcBorders>
                  <w:shd w:val="clear" w:color="auto" w:fill="auto"/>
                  <w:noWrap/>
                  <w:vAlign w:val="center"/>
                </w:tcPr>
                <w:p w14:paraId="4D101132">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r w14:paraId="0CBCC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6" w:type="pct"/>
                  <w:tcBorders>
                    <w:tl2br w:val="nil"/>
                    <w:tr2bl w:val="nil"/>
                  </w:tcBorders>
                  <w:shd w:val="clear" w:color="auto" w:fill="auto"/>
                  <w:noWrap/>
                  <w:vAlign w:val="center"/>
                </w:tcPr>
                <w:p w14:paraId="3295D7FF">
                  <w:pPr>
                    <w:pStyle w:val="28"/>
                    <w:keepNext w:val="0"/>
                    <w:keepLines w:val="0"/>
                    <w:suppressLineNumbers w:val="0"/>
                    <w:spacing w:before="0" w:beforeAutospacing="0" w:after="0" w:afterAutospacing="0"/>
                    <w:ind w:left="0" w:right="0"/>
                    <w:rPr>
                      <w:rFonts w:hint="default"/>
                      <w:color w:val="auto"/>
                      <w:sz w:val="16"/>
                    </w:rPr>
                  </w:pPr>
                  <w:r>
                    <w:rPr>
                      <w:rFonts w:hint="default"/>
                      <w:color w:val="auto"/>
                      <w:sz w:val="16"/>
                    </w:rPr>
                    <w:t>8</w:t>
                  </w:r>
                </w:p>
              </w:tc>
              <w:tc>
                <w:tcPr>
                  <w:tcW w:w="636" w:type="pct"/>
                  <w:vMerge w:val="continue"/>
                  <w:tcBorders>
                    <w:tl2br w:val="nil"/>
                    <w:tr2bl w:val="nil"/>
                  </w:tcBorders>
                  <w:shd w:val="clear" w:color="auto" w:fill="auto"/>
                  <w:noWrap/>
                  <w:vAlign w:val="center"/>
                </w:tcPr>
                <w:p w14:paraId="687B78EF">
                  <w:pPr>
                    <w:pStyle w:val="26"/>
                    <w:keepNext w:val="0"/>
                    <w:keepLines w:val="0"/>
                    <w:suppressLineNumbers w:val="0"/>
                    <w:spacing w:before="0" w:beforeAutospacing="0" w:after="0" w:afterAutospacing="0"/>
                    <w:ind w:left="0" w:right="0"/>
                    <w:rPr>
                      <w:rFonts w:hint="default"/>
                      <w:sz w:val="16"/>
                      <w:szCs w:val="18"/>
                    </w:rPr>
                  </w:pPr>
                </w:p>
              </w:tc>
              <w:tc>
                <w:tcPr>
                  <w:tcW w:w="706" w:type="pct"/>
                  <w:tcBorders>
                    <w:tl2br w:val="nil"/>
                    <w:tr2bl w:val="nil"/>
                  </w:tcBorders>
                  <w:shd w:val="clear" w:color="auto" w:fill="auto"/>
                  <w:noWrap/>
                  <w:vAlign w:val="center"/>
                </w:tcPr>
                <w:p w14:paraId="404454FA">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LNG</w:t>
                  </w:r>
                </w:p>
              </w:tc>
              <w:tc>
                <w:tcPr>
                  <w:tcW w:w="546" w:type="pct"/>
                  <w:tcBorders>
                    <w:tl2br w:val="nil"/>
                    <w:tr2bl w:val="nil"/>
                  </w:tcBorders>
                  <w:shd w:val="clear" w:color="auto" w:fill="auto"/>
                  <w:noWrap/>
                  <w:vAlign w:val="center"/>
                </w:tcPr>
                <w:p w14:paraId="5A1B0FC5">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t/a</w:t>
                  </w:r>
                </w:p>
              </w:tc>
              <w:tc>
                <w:tcPr>
                  <w:tcW w:w="326" w:type="pct"/>
                  <w:tcBorders>
                    <w:tl2br w:val="nil"/>
                    <w:tr2bl w:val="nil"/>
                  </w:tcBorders>
                  <w:shd w:val="clear" w:color="auto" w:fill="auto"/>
                  <w:noWrap/>
                  <w:vAlign w:val="center"/>
                </w:tcPr>
                <w:p w14:paraId="1EFC7C3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液态</w:t>
                  </w:r>
                </w:p>
              </w:tc>
              <w:tc>
                <w:tcPr>
                  <w:tcW w:w="516" w:type="pct"/>
                  <w:tcBorders>
                    <w:tl2br w:val="nil"/>
                    <w:tr2bl w:val="nil"/>
                  </w:tcBorders>
                  <w:shd w:val="clear" w:color="auto" w:fill="auto"/>
                  <w:noWrap/>
                  <w:vAlign w:val="center"/>
                </w:tcPr>
                <w:p w14:paraId="0144530D">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罐</w:t>
                  </w:r>
                </w:p>
              </w:tc>
              <w:tc>
                <w:tcPr>
                  <w:tcW w:w="490" w:type="pct"/>
                  <w:tcBorders>
                    <w:tl2br w:val="nil"/>
                    <w:tr2bl w:val="nil"/>
                  </w:tcBorders>
                  <w:shd w:val="clear" w:color="auto" w:fill="auto"/>
                  <w:noWrap/>
                  <w:vAlign w:val="center"/>
                </w:tcPr>
                <w:p w14:paraId="44F7018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500</w:t>
                  </w:r>
                </w:p>
              </w:tc>
              <w:tc>
                <w:tcPr>
                  <w:tcW w:w="516" w:type="pct"/>
                  <w:tcBorders>
                    <w:tl2br w:val="nil"/>
                    <w:tr2bl w:val="nil"/>
                  </w:tcBorders>
                  <w:shd w:val="clear" w:color="auto" w:fill="auto"/>
                  <w:noWrap/>
                  <w:vAlign w:val="center"/>
                </w:tcPr>
                <w:p w14:paraId="5B5EF6EB">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22.9</w:t>
                  </w:r>
                </w:p>
              </w:tc>
              <w:tc>
                <w:tcPr>
                  <w:tcW w:w="516" w:type="pct"/>
                  <w:tcBorders>
                    <w:tl2br w:val="nil"/>
                    <w:tr2bl w:val="nil"/>
                  </w:tcBorders>
                  <w:shd w:val="clear" w:color="auto" w:fill="auto"/>
                  <w:noWrap/>
                  <w:vAlign w:val="center"/>
                </w:tcPr>
                <w:p w14:paraId="274F89A3">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LNG</w:t>
                  </w:r>
                </w:p>
                <w:p w14:paraId="3E7CBAC7">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充装撬</w:t>
                  </w:r>
                </w:p>
              </w:tc>
              <w:tc>
                <w:tcPr>
                  <w:tcW w:w="422" w:type="pct"/>
                  <w:tcBorders>
                    <w:tl2br w:val="nil"/>
                    <w:tr2bl w:val="nil"/>
                  </w:tcBorders>
                  <w:shd w:val="clear" w:color="auto" w:fill="auto"/>
                  <w:noWrap/>
                  <w:vAlign w:val="center"/>
                </w:tcPr>
                <w:p w14:paraId="19F5C48E">
                  <w:pPr>
                    <w:pStyle w:val="26"/>
                    <w:keepNext w:val="0"/>
                    <w:keepLines w:val="0"/>
                    <w:suppressLineNumbers w:val="0"/>
                    <w:spacing w:before="0" w:beforeAutospacing="0" w:after="0" w:afterAutospacing="0"/>
                    <w:ind w:left="0" w:right="0"/>
                    <w:rPr>
                      <w:rFonts w:hint="default"/>
                      <w:sz w:val="16"/>
                      <w:szCs w:val="18"/>
                    </w:rPr>
                  </w:pPr>
                  <w:r>
                    <w:rPr>
                      <w:rFonts w:hint="default"/>
                      <w:sz w:val="16"/>
                      <w:szCs w:val="18"/>
                    </w:rPr>
                    <w:t>外购</w:t>
                  </w:r>
                </w:p>
              </w:tc>
            </w:tr>
          </w:tbl>
          <w:p w14:paraId="5BE31DDC">
            <w:pPr>
              <w:pStyle w:val="28"/>
              <w:keepNext w:val="0"/>
              <w:keepLines w:val="0"/>
              <w:suppressLineNumbers w:val="0"/>
              <w:spacing w:before="0" w:beforeAutospacing="0" w:after="0" w:afterAutospacing="0"/>
              <w:ind w:left="0" w:right="0"/>
              <w:jc w:val="both"/>
              <w:rPr>
                <w:rFonts w:hint="default"/>
                <w:color w:val="auto"/>
              </w:rPr>
            </w:pPr>
            <w:r>
              <w:rPr>
                <w:rFonts w:hint="default"/>
                <w:color w:val="auto"/>
              </w:rPr>
              <w:t>注：0#柴油密度为0.835g/cm</w:t>
            </w:r>
            <w:r>
              <w:rPr>
                <w:rFonts w:hint="default"/>
                <w:color w:val="auto"/>
                <w:vertAlign w:val="superscript"/>
              </w:rPr>
              <w:t>3</w:t>
            </w:r>
            <w:r>
              <w:rPr>
                <w:rFonts w:hint="default"/>
                <w:color w:val="auto"/>
              </w:rPr>
              <w:t>，柴油充装系数90%；LNG密度为424.3kg/m</w:t>
            </w:r>
            <w:r>
              <w:rPr>
                <w:rFonts w:hint="default"/>
                <w:color w:val="auto"/>
                <w:vertAlign w:val="superscript"/>
              </w:rPr>
              <w:t>3</w:t>
            </w:r>
            <w:r>
              <w:rPr>
                <w:rFonts w:hint="default"/>
                <w:color w:val="auto"/>
              </w:rPr>
              <w:t>，最大充装系数90%，额定充装率85%。</w:t>
            </w:r>
          </w:p>
          <w:p w14:paraId="1CB8EDC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液体工业硫磺原料为GB/T 2449.2-2015中液体工业硫磺一等品，质量标准具体指标见表2-10；原料为《食品添加剂 二氧化碳》（GB 1886.228-2016）中液体二氧化碳指标</w:t>
            </w:r>
            <w:r>
              <w:rPr>
                <w:rFonts w:hint="eastAsia" w:cs="Times New Roman"/>
                <w:color w:val="auto"/>
              </w:rPr>
              <w:t>，具体指标见产品质量标准，此处不再赘述</w:t>
            </w:r>
            <w:r>
              <w:rPr>
                <w:rFonts w:hint="default" w:cs="Times New Roman"/>
                <w:color w:val="auto"/>
              </w:rPr>
              <w:t>。</w:t>
            </w:r>
          </w:p>
          <w:p w14:paraId="49DDD688">
            <w:pPr>
              <w:pStyle w:val="34"/>
              <w:keepNext w:val="0"/>
              <w:keepLines w:val="0"/>
              <w:suppressLineNumbers w:val="0"/>
              <w:spacing w:before="0" w:beforeAutospacing="0" w:after="0" w:afterAutospacing="0"/>
              <w:ind w:left="0" w:right="0"/>
              <w:rPr>
                <w:rFonts w:hint="default"/>
                <w:color w:val="auto"/>
              </w:rPr>
            </w:pPr>
            <w:r>
              <w:rPr>
                <w:rFonts w:hint="default"/>
                <w:color w:val="auto"/>
              </w:rPr>
              <w:t>《工业硫磺 第2部分：液体产品》（GB/T 2449.2-2015）中一等品的技术指标</w:t>
            </w:r>
          </w:p>
          <w:tbl>
            <w:tblPr>
              <w:tblStyle w:val="18"/>
              <w:tblW w:w="7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3425"/>
            </w:tblGrid>
            <w:tr w14:paraId="45DCC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2360EB06">
                  <w:pPr>
                    <w:pStyle w:val="27"/>
                    <w:keepNext w:val="0"/>
                    <w:keepLines w:val="0"/>
                    <w:suppressLineNumbers w:val="0"/>
                    <w:spacing w:before="0" w:beforeAutospacing="0" w:after="0" w:afterAutospacing="0"/>
                    <w:ind w:left="0" w:right="0"/>
                    <w:rPr>
                      <w:rFonts w:hint="default"/>
                      <w:color w:val="auto"/>
                    </w:rPr>
                  </w:pPr>
                  <w:r>
                    <w:rPr>
                      <w:rFonts w:hint="default"/>
                      <w:color w:val="auto"/>
                    </w:rPr>
                    <w:t>项目</w:t>
                  </w:r>
                </w:p>
              </w:tc>
              <w:tc>
                <w:tcPr>
                  <w:tcW w:w="3425" w:type="dxa"/>
                  <w:tcBorders>
                    <w:tl2br w:val="nil"/>
                    <w:tr2bl w:val="nil"/>
                  </w:tcBorders>
                  <w:vAlign w:val="center"/>
                </w:tcPr>
                <w:p w14:paraId="63C20FCE">
                  <w:pPr>
                    <w:pStyle w:val="27"/>
                    <w:keepNext w:val="0"/>
                    <w:keepLines w:val="0"/>
                    <w:suppressLineNumbers w:val="0"/>
                    <w:spacing w:before="0" w:beforeAutospacing="0" w:after="0" w:afterAutospacing="0"/>
                    <w:ind w:left="0" w:right="0"/>
                    <w:rPr>
                      <w:rFonts w:hint="default"/>
                      <w:color w:val="auto"/>
                    </w:rPr>
                  </w:pPr>
                  <w:r>
                    <w:rPr>
                      <w:rFonts w:hint="default"/>
                      <w:color w:val="auto"/>
                    </w:rPr>
                    <w:t>指标</w:t>
                  </w:r>
                </w:p>
              </w:tc>
            </w:tr>
            <w:tr w14:paraId="3DAD5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2B1A0DFA">
                  <w:pPr>
                    <w:pStyle w:val="27"/>
                    <w:keepNext w:val="0"/>
                    <w:keepLines w:val="0"/>
                    <w:suppressLineNumbers w:val="0"/>
                    <w:spacing w:before="0" w:beforeAutospacing="0" w:after="0" w:afterAutospacing="0"/>
                    <w:ind w:left="0" w:right="0"/>
                    <w:rPr>
                      <w:rFonts w:hint="default"/>
                      <w:color w:val="auto"/>
                    </w:rPr>
                  </w:pPr>
                  <w:r>
                    <w:rPr>
                      <w:rFonts w:hint="default"/>
                      <w:color w:val="auto"/>
                    </w:rPr>
                    <w:t>外观</w:t>
                  </w:r>
                </w:p>
              </w:tc>
              <w:tc>
                <w:tcPr>
                  <w:tcW w:w="3425" w:type="dxa"/>
                  <w:tcBorders>
                    <w:tl2br w:val="nil"/>
                    <w:tr2bl w:val="nil"/>
                  </w:tcBorders>
                  <w:vAlign w:val="center"/>
                </w:tcPr>
                <w:p w14:paraId="196BD239">
                  <w:pPr>
                    <w:pStyle w:val="27"/>
                    <w:keepNext w:val="0"/>
                    <w:keepLines w:val="0"/>
                    <w:suppressLineNumbers w:val="0"/>
                    <w:spacing w:before="0" w:beforeAutospacing="0" w:after="0" w:afterAutospacing="0"/>
                    <w:ind w:left="0" w:right="0"/>
                    <w:rPr>
                      <w:rFonts w:hint="default"/>
                      <w:color w:val="auto"/>
                    </w:rPr>
                  </w:pPr>
                  <w:r>
                    <w:rPr>
                      <w:rFonts w:hint="default"/>
                      <w:color w:val="auto"/>
                    </w:rPr>
                    <w:t>常温下呈黄色或者淡黄色，无肉眼可见杂质</w:t>
                  </w:r>
                </w:p>
              </w:tc>
            </w:tr>
            <w:tr w14:paraId="3EA65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6E48F1A5">
                  <w:pPr>
                    <w:pStyle w:val="27"/>
                    <w:keepNext w:val="0"/>
                    <w:keepLines w:val="0"/>
                    <w:suppressLineNumbers w:val="0"/>
                    <w:tabs>
                      <w:tab w:val="left" w:pos="3600"/>
                    </w:tabs>
                    <w:spacing w:before="0" w:beforeAutospacing="0" w:after="0" w:afterAutospacing="0"/>
                    <w:ind w:left="0" w:right="0"/>
                    <w:rPr>
                      <w:rFonts w:hint="default"/>
                      <w:color w:val="auto"/>
                    </w:rPr>
                  </w:pPr>
                  <w:r>
                    <w:rPr>
                      <w:rFonts w:hint="default"/>
                      <w:color w:val="auto"/>
                    </w:rPr>
                    <w:t>硫（</w:t>
                  </w:r>
                  <w:r>
                    <w:rPr>
                      <w:rFonts w:hint="eastAsia"/>
                      <w:color w:val="auto"/>
                    </w:rPr>
                    <w:t>S</w:t>
                  </w:r>
                  <w:r>
                    <w:rPr>
                      <w:rFonts w:hint="default"/>
                      <w:color w:val="auto"/>
                    </w:rPr>
                    <w:t>）（以干基计），w/%    ≥</w:t>
                  </w:r>
                </w:p>
              </w:tc>
              <w:tc>
                <w:tcPr>
                  <w:tcW w:w="3425" w:type="dxa"/>
                  <w:tcBorders>
                    <w:tl2br w:val="nil"/>
                    <w:tr2bl w:val="nil"/>
                  </w:tcBorders>
                  <w:vAlign w:val="center"/>
                </w:tcPr>
                <w:p w14:paraId="7D0FD8FD">
                  <w:pPr>
                    <w:pStyle w:val="27"/>
                    <w:keepNext w:val="0"/>
                    <w:keepLines w:val="0"/>
                    <w:suppressLineNumbers w:val="0"/>
                    <w:spacing w:before="0" w:beforeAutospacing="0" w:after="0" w:afterAutospacing="0"/>
                    <w:ind w:left="0" w:right="0"/>
                    <w:rPr>
                      <w:rFonts w:hint="default"/>
                      <w:color w:val="auto"/>
                    </w:rPr>
                  </w:pPr>
                  <w:r>
                    <w:rPr>
                      <w:rFonts w:hint="default"/>
                      <w:color w:val="auto"/>
                    </w:rPr>
                    <w:t>99.50</w:t>
                  </w:r>
                </w:p>
              </w:tc>
            </w:tr>
            <w:tr w14:paraId="647B8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75CE9756">
                  <w:pPr>
                    <w:pStyle w:val="27"/>
                    <w:keepNext w:val="0"/>
                    <w:keepLines w:val="0"/>
                    <w:suppressLineNumbers w:val="0"/>
                    <w:spacing w:before="0" w:beforeAutospacing="0" w:after="0" w:afterAutospacing="0"/>
                    <w:ind w:left="0" w:right="0"/>
                    <w:rPr>
                      <w:rFonts w:hint="default"/>
                      <w:color w:val="auto"/>
                    </w:rPr>
                  </w:pPr>
                  <w:r>
                    <w:rPr>
                      <w:rFonts w:hint="default"/>
                      <w:color w:val="auto"/>
                    </w:rPr>
                    <w:t>水分，w/%                    ≤</w:t>
                  </w:r>
                </w:p>
              </w:tc>
              <w:tc>
                <w:tcPr>
                  <w:tcW w:w="3425" w:type="dxa"/>
                  <w:tcBorders>
                    <w:tl2br w:val="nil"/>
                    <w:tr2bl w:val="nil"/>
                  </w:tcBorders>
                  <w:vAlign w:val="center"/>
                </w:tcPr>
                <w:p w14:paraId="161DABC7">
                  <w:pPr>
                    <w:pStyle w:val="27"/>
                    <w:keepNext w:val="0"/>
                    <w:keepLines w:val="0"/>
                    <w:suppressLineNumbers w:val="0"/>
                    <w:spacing w:before="0" w:beforeAutospacing="0" w:after="0" w:afterAutospacing="0"/>
                    <w:ind w:left="0" w:right="0"/>
                    <w:rPr>
                      <w:rFonts w:hint="default"/>
                      <w:color w:val="auto"/>
                    </w:rPr>
                  </w:pPr>
                  <w:r>
                    <w:rPr>
                      <w:rFonts w:hint="default"/>
                      <w:color w:val="auto"/>
                    </w:rPr>
                    <w:t>0.2</w:t>
                  </w:r>
                </w:p>
              </w:tc>
            </w:tr>
            <w:tr w14:paraId="58712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44CB7699">
                  <w:pPr>
                    <w:pStyle w:val="27"/>
                    <w:keepNext w:val="0"/>
                    <w:keepLines w:val="0"/>
                    <w:suppressLineNumbers w:val="0"/>
                    <w:spacing w:before="0" w:beforeAutospacing="0" w:after="0" w:afterAutospacing="0"/>
                    <w:ind w:left="0" w:right="0"/>
                    <w:rPr>
                      <w:rFonts w:hint="default"/>
                      <w:color w:val="auto"/>
                    </w:rPr>
                  </w:pPr>
                  <w:r>
                    <w:rPr>
                      <w:rFonts w:hint="default"/>
                      <w:color w:val="auto"/>
                    </w:rPr>
                    <w:t>灰分（以干基计），w/%          ≤</w:t>
                  </w:r>
                </w:p>
              </w:tc>
              <w:tc>
                <w:tcPr>
                  <w:tcW w:w="3425" w:type="dxa"/>
                  <w:tcBorders>
                    <w:tl2br w:val="nil"/>
                    <w:tr2bl w:val="nil"/>
                  </w:tcBorders>
                  <w:vAlign w:val="center"/>
                </w:tcPr>
                <w:p w14:paraId="3145BD40">
                  <w:pPr>
                    <w:pStyle w:val="27"/>
                    <w:keepNext w:val="0"/>
                    <w:keepLines w:val="0"/>
                    <w:suppressLineNumbers w:val="0"/>
                    <w:spacing w:before="0" w:beforeAutospacing="0" w:after="0" w:afterAutospacing="0"/>
                    <w:ind w:left="0" w:right="0"/>
                    <w:rPr>
                      <w:rFonts w:hint="default"/>
                      <w:color w:val="auto"/>
                    </w:rPr>
                  </w:pPr>
                  <w:r>
                    <w:rPr>
                      <w:rFonts w:hint="default"/>
                      <w:color w:val="auto"/>
                    </w:rPr>
                    <w:t>0.05</w:t>
                  </w:r>
                </w:p>
              </w:tc>
            </w:tr>
            <w:tr w14:paraId="553D7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0FF2D5E6">
                  <w:pPr>
                    <w:pStyle w:val="27"/>
                    <w:keepNext w:val="0"/>
                    <w:keepLines w:val="0"/>
                    <w:suppressLineNumbers w:val="0"/>
                    <w:spacing w:before="0" w:beforeAutospacing="0" w:after="0" w:afterAutospacing="0"/>
                    <w:ind w:left="0" w:right="0"/>
                    <w:rPr>
                      <w:rFonts w:hint="default"/>
                      <w:color w:val="auto"/>
                    </w:rPr>
                  </w:pPr>
                  <w:r>
                    <w:rPr>
                      <w:rFonts w:hint="default"/>
                      <w:color w:val="auto"/>
                    </w:rPr>
                    <w:t>酸度（以干基中的H</w:t>
                  </w:r>
                  <w:r>
                    <w:rPr>
                      <w:rFonts w:hint="default"/>
                      <w:color w:val="auto"/>
                      <w:vertAlign w:val="subscript"/>
                    </w:rPr>
                    <w:t>2</w:t>
                  </w:r>
                  <w:r>
                    <w:rPr>
                      <w:rFonts w:hint="default"/>
                      <w:color w:val="auto"/>
                    </w:rPr>
                    <w:t>SO</w:t>
                  </w:r>
                  <w:r>
                    <w:rPr>
                      <w:rFonts w:hint="default"/>
                      <w:color w:val="auto"/>
                      <w:vertAlign w:val="subscript"/>
                    </w:rPr>
                    <w:t>4</w:t>
                  </w:r>
                  <w:r>
                    <w:rPr>
                      <w:rFonts w:hint="default"/>
                      <w:color w:val="auto"/>
                    </w:rPr>
                    <w:t>计），w/%   ≤</w:t>
                  </w:r>
                </w:p>
              </w:tc>
              <w:tc>
                <w:tcPr>
                  <w:tcW w:w="3425" w:type="dxa"/>
                  <w:tcBorders>
                    <w:tl2br w:val="nil"/>
                    <w:tr2bl w:val="nil"/>
                  </w:tcBorders>
                  <w:vAlign w:val="center"/>
                </w:tcPr>
                <w:p w14:paraId="2BC69F39">
                  <w:pPr>
                    <w:pStyle w:val="27"/>
                    <w:keepNext w:val="0"/>
                    <w:keepLines w:val="0"/>
                    <w:suppressLineNumbers w:val="0"/>
                    <w:spacing w:before="0" w:beforeAutospacing="0" w:after="0" w:afterAutospacing="0"/>
                    <w:ind w:left="0" w:right="0"/>
                    <w:rPr>
                      <w:rFonts w:hint="default"/>
                      <w:color w:val="auto"/>
                    </w:rPr>
                  </w:pPr>
                  <w:r>
                    <w:rPr>
                      <w:rFonts w:hint="default"/>
                      <w:color w:val="auto"/>
                    </w:rPr>
                    <w:t>0.005</w:t>
                  </w:r>
                </w:p>
              </w:tc>
            </w:tr>
            <w:tr w14:paraId="58FF6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1E4FA070">
                  <w:pPr>
                    <w:pStyle w:val="27"/>
                    <w:keepNext w:val="0"/>
                    <w:keepLines w:val="0"/>
                    <w:suppressLineNumbers w:val="0"/>
                    <w:spacing w:before="0" w:beforeAutospacing="0" w:after="0" w:afterAutospacing="0"/>
                    <w:ind w:left="0" w:right="0"/>
                    <w:rPr>
                      <w:rFonts w:hint="default"/>
                      <w:color w:val="auto"/>
                    </w:rPr>
                  </w:pPr>
                  <w:r>
                    <w:rPr>
                      <w:rFonts w:hint="default"/>
                      <w:color w:val="auto"/>
                    </w:rPr>
                    <w:t>有机物（以</w:t>
                  </w:r>
                  <w:r>
                    <w:rPr>
                      <w:rFonts w:hint="eastAsia"/>
                      <w:color w:val="auto"/>
                    </w:rPr>
                    <w:t>C</w:t>
                  </w:r>
                  <w:r>
                    <w:rPr>
                      <w:rFonts w:hint="default"/>
                      <w:color w:val="auto"/>
                    </w:rPr>
                    <w:t>计），w/%          ≤</w:t>
                  </w:r>
                </w:p>
              </w:tc>
              <w:tc>
                <w:tcPr>
                  <w:tcW w:w="3425" w:type="dxa"/>
                  <w:tcBorders>
                    <w:tl2br w:val="nil"/>
                    <w:tr2bl w:val="nil"/>
                  </w:tcBorders>
                  <w:vAlign w:val="center"/>
                </w:tcPr>
                <w:p w14:paraId="57BF289A">
                  <w:pPr>
                    <w:pStyle w:val="27"/>
                    <w:keepNext w:val="0"/>
                    <w:keepLines w:val="0"/>
                    <w:suppressLineNumbers w:val="0"/>
                    <w:spacing w:before="0" w:beforeAutospacing="0" w:after="0" w:afterAutospacing="0"/>
                    <w:ind w:left="0" w:right="0"/>
                    <w:rPr>
                      <w:rFonts w:hint="default"/>
                      <w:color w:val="auto"/>
                    </w:rPr>
                  </w:pPr>
                  <w:r>
                    <w:rPr>
                      <w:rFonts w:hint="default"/>
                      <w:color w:val="auto"/>
                    </w:rPr>
                    <w:t>0.10</w:t>
                  </w:r>
                </w:p>
              </w:tc>
            </w:tr>
            <w:tr w14:paraId="16614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24A52DEC">
                  <w:pPr>
                    <w:pStyle w:val="27"/>
                    <w:keepNext w:val="0"/>
                    <w:keepLines w:val="0"/>
                    <w:suppressLineNumbers w:val="0"/>
                    <w:spacing w:before="0" w:beforeAutospacing="0" w:after="0" w:afterAutospacing="0"/>
                    <w:ind w:left="0" w:right="0"/>
                    <w:rPr>
                      <w:rFonts w:hint="default"/>
                      <w:color w:val="auto"/>
                    </w:rPr>
                  </w:pPr>
                  <w:r>
                    <w:rPr>
                      <w:rFonts w:hint="default"/>
                      <w:color w:val="auto"/>
                    </w:rPr>
                    <w:t>砷（As），w/%             ≤</w:t>
                  </w:r>
                </w:p>
              </w:tc>
              <w:tc>
                <w:tcPr>
                  <w:tcW w:w="3425" w:type="dxa"/>
                  <w:tcBorders>
                    <w:tl2br w:val="nil"/>
                    <w:tr2bl w:val="nil"/>
                  </w:tcBorders>
                  <w:vAlign w:val="center"/>
                </w:tcPr>
                <w:p w14:paraId="03755392">
                  <w:pPr>
                    <w:pStyle w:val="27"/>
                    <w:keepNext w:val="0"/>
                    <w:keepLines w:val="0"/>
                    <w:suppressLineNumbers w:val="0"/>
                    <w:spacing w:before="0" w:beforeAutospacing="0" w:after="0" w:afterAutospacing="0"/>
                    <w:ind w:left="0" w:right="0"/>
                    <w:rPr>
                      <w:rFonts w:hint="default"/>
                      <w:color w:val="auto"/>
                    </w:rPr>
                  </w:pPr>
                  <w:r>
                    <w:rPr>
                      <w:rFonts w:hint="default"/>
                      <w:color w:val="auto"/>
                    </w:rPr>
                    <w:t>0.001</w:t>
                  </w:r>
                </w:p>
              </w:tc>
            </w:tr>
            <w:tr w14:paraId="0C4E9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4D6F5D4E">
                  <w:pPr>
                    <w:pStyle w:val="27"/>
                    <w:keepNext w:val="0"/>
                    <w:keepLines w:val="0"/>
                    <w:suppressLineNumbers w:val="0"/>
                    <w:spacing w:before="0" w:beforeAutospacing="0" w:after="0" w:afterAutospacing="0"/>
                    <w:ind w:left="0" w:right="0"/>
                    <w:rPr>
                      <w:rFonts w:hint="default"/>
                      <w:color w:val="auto"/>
                    </w:rPr>
                  </w:pPr>
                  <w:r>
                    <w:rPr>
                      <w:rFonts w:hint="default"/>
                      <w:color w:val="auto"/>
                    </w:rPr>
                    <w:t>铁（Fe），w/%             ≤</w:t>
                  </w:r>
                </w:p>
              </w:tc>
              <w:tc>
                <w:tcPr>
                  <w:tcW w:w="3425" w:type="dxa"/>
                  <w:tcBorders>
                    <w:tl2br w:val="nil"/>
                    <w:tr2bl w:val="nil"/>
                  </w:tcBorders>
                  <w:vAlign w:val="center"/>
                </w:tcPr>
                <w:p w14:paraId="46018D76">
                  <w:pPr>
                    <w:pStyle w:val="27"/>
                    <w:keepNext w:val="0"/>
                    <w:keepLines w:val="0"/>
                    <w:suppressLineNumbers w:val="0"/>
                    <w:spacing w:before="0" w:beforeAutospacing="0" w:after="0" w:afterAutospacing="0"/>
                    <w:ind w:left="0" w:right="0"/>
                    <w:rPr>
                      <w:rFonts w:hint="default"/>
                      <w:color w:val="auto"/>
                    </w:rPr>
                  </w:pPr>
                  <w:r>
                    <w:rPr>
                      <w:rFonts w:hint="default"/>
                      <w:color w:val="auto"/>
                    </w:rPr>
                    <w:t>0.005</w:t>
                  </w:r>
                </w:p>
              </w:tc>
            </w:tr>
            <w:tr w14:paraId="09C00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Borders>
                    <w:tl2br w:val="nil"/>
                    <w:tr2bl w:val="nil"/>
                  </w:tcBorders>
                  <w:vAlign w:val="center"/>
                </w:tcPr>
                <w:p w14:paraId="2A813299">
                  <w:pPr>
                    <w:pStyle w:val="27"/>
                    <w:keepNext w:val="0"/>
                    <w:keepLines w:val="0"/>
                    <w:suppressLineNumbers w:val="0"/>
                    <w:spacing w:before="0" w:beforeAutospacing="0" w:after="0" w:afterAutospacing="0"/>
                    <w:ind w:left="0" w:right="0"/>
                    <w:rPr>
                      <w:rFonts w:hint="default"/>
                      <w:color w:val="auto"/>
                    </w:rPr>
                  </w:pPr>
                  <w:r>
                    <w:rPr>
                      <w:rFonts w:hint="default"/>
                      <w:color w:val="auto"/>
                    </w:rPr>
                    <w:t>硫化氢和多硫化氢</w:t>
                  </w:r>
                  <w:r>
                    <w:rPr>
                      <w:rFonts w:hint="eastAsia"/>
                      <w:color w:val="auto"/>
                    </w:rPr>
                    <w:t>（</w:t>
                  </w:r>
                  <w:r>
                    <w:rPr>
                      <w:rFonts w:hint="default"/>
                      <w:color w:val="auto"/>
                    </w:rPr>
                    <w:t>以H</w:t>
                  </w:r>
                  <w:r>
                    <w:rPr>
                      <w:rFonts w:hint="default"/>
                      <w:color w:val="auto"/>
                      <w:vertAlign w:val="subscript"/>
                    </w:rPr>
                    <w:t>2</w:t>
                  </w:r>
                  <w:r>
                    <w:rPr>
                      <w:rFonts w:hint="default"/>
                      <w:color w:val="auto"/>
                    </w:rPr>
                    <w:t>S计</w:t>
                  </w:r>
                  <w:r>
                    <w:rPr>
                      <w:rFonts w:hint="eastAsia"/>
                      <w:color w:val="auto"/>
                    </w:rPr>
                    <w:t>）</w:t>
                  </w:r>
                  <w:r>
                    <w:rPr>
                      <w:rFonts w:hint="default"/>
                      <w:color w:val="auto"/>
                    </w:rPr>
                    <w:t>，w/%      ≤</w:t>
                  </w:r>
                </w:p>
              </w:tc>
              <w:tc>
                <w:tcPr>
                  <w:tcW w:w="3425" w:type="dxa"/>
                  <w:tcBorders>
                    <w:tl2br w:val="nil"/>
                    <w:tr2bl w:val="nil"/>
                  </w:tcBorders>
                  <w:vAlign w:val="center"/>
                </w:tcPr>
                <w:p w14:paraId="1FC06585">
                  <w:pPr>
                    <w:pStyle w:val="27"/>
                    <w:keepNext w:val="0"/>
                    <w:keepLines w:val="0"/>
                    <w:suppressLineNumbers w:val="0"/>
                    <w:spacing w:before="0" w:beforeAutospacing="0" w:after="0" w:afterAutospacing="0"/>
                    <w:ind w:left="0" w:right="0"/>
                    <w:rPr>
                      <w:rFonts w:hint="default"/>
                      <w:color w:val="auto"/>
                    </w:rPr>
                  </w:pPr>
                  <w:r>
                    <w:rPr>
                      <w:rFonts w:hint="default"/>
                      <w:color w:val="auto"/>
                    </w:rPr>
                    <w:t>0.0015</w:t>
                  </w:r>
                </w:p>
              </w:tc>
            </w:tr>
            <w:tr w14:paraId="2C912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5" w:type="dxa"/>
                  <w:gridSpan w:val="2"/>
                  <w:tcBorders>
                    <w:tl2br w:val="nil"/>
                    <w:tr2bl w:val="nil"/>
                  </w:tcBorders>
                  <w:vAlign w:val="center"/>
                </w:tcPr>
                <w:p w14:paraId="52B1DDFE">
                  <w:pPr>
                    <w:pStyle w:val="27"/>
                    <w:keepNext w:val="0"/>
                    <w:keepLines w:val="0"/>
                    <w:suppressLineNumbers w:val="0"/>
                    <w:spacing w:before="0" w:beforeAutospacing="0" w:after="0" w:afterAutospacing="0"/>
                    <w:ind w:left="0" w:right="0"/>
                    <w:jc w:val="both"/>
                    <w:rPr>
                      <w:rFonts w:hint="default"/>
                      <w:color w:val="auto"/>
                    </w:rPr>
                  </w:pPr>
                  <w:r>
                    <w:rPr>
                      <w:rFonts w:hint="default"/>
                      <w:color w:val="auto"/>
                    </w:rPr>
                    <w:t>注</w:t>
                  </w:r>
                  <w:r>
                    <w:rPr>
                      <w:rFonts w:hint="eastAsia"/>
                      <w:color w:val="auto"/>
                    </w:rPr>
                    <w:t>：</w:t>
                  </w:r>
                  <w:r>
                    <w:rPr>
                      <w:rFonts w:hint="default"/>
                      <w:color w:val="auto"/>
                    </w:rPr>
                    <w:t>以上项目除水分、硫化氢和多硫化氢外，均以干基计。</w:t>
                  </w:r>
                </w:p>
              </w:tc>
            </w:tr>
          </w:tbl>
          <w:p w14:paraId="53746A4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原料来源：本项目依托园区内的天然气净化厂生产的工业级硫磺（液态）为原料，以及园区内其他公司的副产工业级二氧化碳（液态）为原料，运输距离近，原料充足，运输便利。</w:t>
            </w:r>
          </w:p>
          <w:p w14:paraId="40BD43BE">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原辅材料理化性质如下表：</w:t>
            </w:r>
          </w:p>
          <w:p w14:paraId="77A6F149">
            <w:pPr>
              <w:pStyle w:val="34"/>
              <w:keepNext w:val="0"/>
              <w:keepLines w:val="0"/>
              <w:suppressLineNumbers w:val="0"/>
              <w:spacing w:before="0" w:beforeAutospacing="0" w:after="0" w:afterAutospacing="0"/>
              <w:ind w:left="0" w:right="0"/>
              <w:rPr>
                <w:rFonts w:hint="default"/>
                <w:color w:val="auto"/>
              </w:rPr>
            </w:pPr>
            <w:r>
              <w:rPr>
                <w:rFonts w:hint="default"/>
                <w:color w:val="auto"/>
              </w:rPr>
              <w:t>项目主要原辅料理化性质一览表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6532"/>
            </w:tblGrid>
            <w:tr w14:paraId="1A1BE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pct"/>
                  <w:tcBorders>
                    <w:tl2br w:val="nil"/>
                    <w:tr2bl w:val="nil"/>
                  </w:tcBorders>
                  <w:vAlign w:val="center"/>
                </w:tcPr>
                <w:p w14:paraId="198436D3">
                  <w:pPr>
                    <w:pStyle w:val="26"/>
                    <w:keepNext w:val="0"/>
                    <w:keepLines w:val="0"/>
                    <w:suppressLineNumbers w:val="0"/>
                    <w:spacing w:before="0" w:beforeAutospacing="0" w:after="0" w:afterAutospacing="0"/>
                    <w:ind w:left="0" w:right="0"/>
                    <w:rPr>
                      <w:rFonts w:hint="default"/>
                    </w:rPr>
                  </w:pPr>
                  <w:r>
                    <w:rPr>
                      <w:rFonts w:hint="default"/>
                    </w:rPr>
                    <w:t>原辅料名称</w:t>
                  </w:r>
                </w:p>
              </w:tc>
              <w:tc>
                <w:tcPr>
                  <w:tcW w:w="4135" w:type="pct"/>
                  <w:tcBorders>
                    <w:tl2br w:val="nil"/>
                    <w:tr2bl w:val="nil"/>
                  </w:tcBorders>
                  <w:vAlign w:val="center"/>
                </w:tcPr>
                <w:p w14:paraId="1F05E97D">
                  <w:pPr>
                    <w:pStyle w:val="26"/>
                    <w:keepNext w:val="0"/>
                    <w:keepLines w:val="0"/>
                    <w:suppressLineNumbers w:val="0"/>
                    <w:spacing w:before="0" w:beforeAutospacing="0" w:after="0" w:afterAutospacing="0"/>
                    <w:ind w:left="0" w:right="0"/>
                    <w:rPr>
                      <w:rFonts w:hint="default"/>
                    </w:rPr>
                  </w:pPr>
                  <w:r>
                    <w:rPr>
                      <w:rFonts w:hint="default"/>
                    </w:rPr>
                    <w:t>理化性质</w:t>
                  </w:r>
                </w:p>
              </w:tc>
            </w:tr>
            <w:tr w14:paraId="768F7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pct"/>
                  <w:tcBorders>
                    <w:tl2br w:val="nil"/>
                    <w:tr2bl w:val="nil"/>
                  </w:tcBorders>
                  <w:shd w:val="clear" w:color="auto" w:fill="auto"/>
                  <w:vAlign w:val="center"/>
                </w:tcPr>
                <w:p w14:paraId="081EB821">
                  <w:pPr>
                    <w:pStyle w:val="26"/>
                    <w:keepNext w:val="0"/>
                    <w:keepLines w:val="0"/>
                    <w:suppressLineNumbers w:val="0"/>
                    <w:spacing w:before="0" w:beforeAutospacing="0" w:after="0" w:afterAutospacing="0"/>
                    <w:ind w:left="0" w:right="0"/>
                    <w:rPr>
                      <w:rFonts w:hint="default"/>
                    </w:rPr>
                  </w:pPr>
                  <w:r>
                    <w:rPr>
                      <w:rFonts w:hint="default"/>
                    </w:rPr>
                    <w:t>硫磺</w:t>
                  </w:r>
                </w:p>
              </w:tc>
              <w:tc>
                <w:tcPr>
                  <w:tcW w:w="4135" w:type="pct"/>
                  <w:tcBorders>
                    <w:tl2br w:val="nil"/>
                    <w:tr2bl w:val="nil"/>
                  </w:tcBorders>
                  <w:vAlign w:val="center"/>
                </w:tcPr>
                <w:p w14:paraId="64853E8C">
                  <w:pPr>
                    <w:pStyle w:val="26"/>
                    <w:keepNext w:val="0"/>
                    <w:keepLines w:val="0"/>
                    <w:suppressLineNumbers w:val="0"/>
                    <w:spacing w:before="0" w:beforeAutospacing="0" w:after="0" w:afterAutospacing="0"/>
                    <w:ind w:left="0" w:right="0"/>
                    <w:rPr>
                      <w:rFonts w:hint="default"/>
                    </w:rPr>
                  </w:pPr>
                  <w:r>
                    <w:rPr>
                      <w:rFonts w:hint="default"/>
                    </w:rPr>
                    <w:t>别名硫、胶体硫、硫黄块。外观为淡黄色脆性结晶或粉末，有特殊臭味。分子量为32.06，蒸汽压是0.13kPa，闪点为207℃，熔点为119℃，沸点为444.6℃，相对密度</w:t>
                  </w:r>
                  <w:r>
                    <w:rPr>
                      <w:rFonts w:hint="eastAsia"/>
                    </w:rPr>
                    <w:t>（</w:t>
                  </w:r>
                  <w:r>
                    <w:rPr>
                      <w:rFonts w:hint="default"/>
                    </w:rPr>
                    <w:t>水=1</w:t>
                  </w:r>
                  <w:r>
                    <w:rPr>
                      <w:rFonts w:hint="eastAsia"/>
                    </w:rPr>
                    <w:t>）</w:t>
                  </w:r>
                  <w:r>
                    <w:rPr>
                      <w:rFonts w:hint="default"/>
                    </w:rPr>
                    <w:t>为2.0。硫磺不溶于水，微溶于乙醇、醚，易溶于二硫化碳。作为易燃固体，硫磺主要用于制造染料、农药、火柴、火药、橡胶、人造丝等</w:t>
                  </w:r>
                </w:p>
              </w:tc>
            </w:tr>
            <w:tr w14:paraId="33127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pct"/>
                  <w:tcBorders>
                    <w:tl2br w:val="nil"/>
                    <w:tr2bl w:val="nil"/>
                  </w:tcBorders>
                  <w:shd w:val="clear" w:color="auto" w:fill="auto"/>
                  <w:vAlign w:val="center"/>
                </w:tcPr>
                <w:p w14:paraId="51EBA937">
                  <w:pPr>
                    <w:pStyle w:val="26"/>
                    <w:keepNext w:val="0"/>
                    <w:keepLines w:val="0"/>
                    <w:suppressLineNumbers w:val="0"/>
                    <w:spacing w:before="0" w:beforeAutospacing="0" w:after="0" w:afterAutospacing="0"/>
                    <w:ind w:left="0" w:right="0"/>
                    <w:rPr>
                      <w:rFonts w:hint="default"/>
                    </w:rPr>
                  </w:pPr>
                  <w:r>
                    <w:rPr>
                      <w:rFonts w:hint="default"/>
                    </w:rPr>
                    <w:t>二氧化碳</w:t>
                  </w:r>
                </w:p>
              </w:tc>
              <w:tc>
                <w:tcPr>
                  <w:tcW w:w="4135" w:type="pct"/>
                  <w:tcBorders>
                    <w:tl2br w:val="nil"/>
                    <w:tr2bl w:val="nil"/>
                  </w:tcBorders>
                  <w:vAlign w:val="center"/>
                </w:tcPr>
                <w:p w14:paraId="3771D501">
                  <w:pPr>
                    <w:pStyle w:val="26"/>
                    <w:keepNext w:val="0"/>
                    <w:keepLines w:val="0"/>
                    <w:suppressLineNumbers w:val="0"/>
                    <w:spacing w:before="0" w:beforeAutospacing="0" w:after="0" w:afterAutospacing="0"/>
                    <w:ind w:left="0" w:right="0"/>
                    <w:rPr>
                      <w:rFonts w:hint="default"/>
                    </w:rPr>
                  </w:pPr>
                  <w:r>
                    <w:rPr>
                      <w:rFonts w:hint="default"/>
                    </w:rPr>
                    <w:t>别名碳酸气、碳酸酐、干冰（固态）。无色无味或无色无嗅而略有酸味的气体，分子量为44，熔点-56.6℃，沸点-78.5℃（升华）。相对密度（水=1）1.56（-79℃），溶于水、烃类等多数有机溶剂。饱和蒸气压</w:t>
                  </w:r>
                  <w:r>
                    <w:rPr>
                      <w:rFonts w:hint="eastAsia"/>
                    </w:rPr>
                    <w:t>（</w:t>
                  </w:r>
                  <w:r>
                    <w:rPr>
                      <w:rFonts w:hint="default"/>
                    </w:rPr>
                    <w:t>kPa</w:t>
                  </w:r>
                  <w:r>
                    <w:rPr>
                      <w:rFonts w:hint="eastAsia"/>
                    </w:rPr>
                    <w:t>）</w:t>
                  </w:r>
                  <w:r>
                    <w:rPr>
                      <w:rFonts w:hint="default"/>
                    </w:rPr>
                    <w:t>：1013.25(-39℃</w:t>
                  </w:r>
                  <w:r>
                    <w:rPr>
                      <w:rFonts w:hint="eastAsia"/>
                    </w:rPr>
                    <w:t>）</w:t>
                  </w:r>
                  <w:r>
                    <w:rPr>
                      <w:rFonts w:hint="default"/>
                    </w:rPr>
                    <w:t>。用于制糖工业、制碱工业、制铅白等，也用于冷饮、灭火及有机合成。</w:t>
                  </w:r>
                </w:p>
              </w:tc>
            </w:tr>
            <w:tr w14:paraId="79917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pct"/>
                  <w:tcBorders>
                    <w:tl2br w:val="nil"/>
                    <w:tr2bl w:val="nil"/>
                  </w:tcBorders>
                  <w:shd w:val="clear" w:color="auto" w:fill="auto"/>
                </w:tcPr>
                <w:p w14:paraId="145F4B0D">
                  <w:pPr>
                    <w:pStyle w:val="28"/>
                    <w:keepNext w:val="0"/>
                    <w:keepLines w:val="0"/>
                    <w:suppressLineNumbers w:val="0"/>
                    <w:spacing w:before="0" w:beforeAutospacing="0" w:after="0" w:afterAutospacing="0"/>
                    <w:ind w:left="0" w:right="0"/>
                    <w:rPr>
                      <w:rFonts w:hint="default"/>
                      <w:color w:val="auto"/>
                    </w:rPr>
                  </w:pPr>
                  <w:r>
                    <w:rPr>
                      <w:rFonts w:hint="default"/>
                      <w:color w:val="auto"/>
                    </w:rPr>
                    <w:t>柴油</w:t>
                  </w:r>
                </w:p>
              </w:tc>
              <w:tc>
                <w:tcPr>
                  <w:tcW w:w="4135" w:type="pct"/>
                  <w:tcBorders>
                    <w:tl2br w:val="nil"/>
                    <w:tr2bl w:val="nil"/>
                  </w:tcBorders>
                </w:tcPr>
                <w:p w14:paraId="1BBC2C1F">
                  <w:pPr>
                    <w:pStyle w:val="28"/>
                    <w:keepNext w:val="0"/>
                    <w:keepLines w:val="0"/>
                    <w:suppressLineNumbers w:val="0"/>
                    <w:spacing w:before="0" w:beforeAutospacing="0" w:after="0" w:afterAutospacing="0"/>
                    <w:ind w:left="0" w:right="0"/>
                    <w:rPr>
                      <w:rFonts w:hint="default"/>
                      <w:color w:val="auto"/>
                    </w:rPr>
                  </w:pPr>
                  <w:r>
                    <w:rPr>
                      <w:rFonts w:hint="default"/>
                      <w:color w:val="auto"/>
                    </w:rPr>
                    <w:t>稍有</w:t>
                  </w:r>
                  <w:r>
                    <w:rPr>
                      <w:rFonts w:hint="eastAsia"/>
                      <w:color w:val="auto"/>
                    </w:rPr>
                    <w:t>黏性</w:t>
                  </w:r>
                  <w:r>
                    <w:rPr>
                      <w:rFonts w:hint="default"/>
                      <w:color w:val="auto"/>
                    </w:rPr>
                    <w:t>的棕色液体；沸点（℃）：282～365；熔点（℃）：-18；相对密度（水=1）：0.87～0.9；闪点（℃）：≥55；自燃温度（℃）：350~380；稳定性：稳定聚合危害不聚合；主要用途：主要用作柴油机的燃料。</w:t>
                  </w:r>
                </w:p>
              </w:tc>
            </w:tr>
            <w:tr w14:paraId="6A574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pct"/>
                  <w:tcBorders>
                    <w:tl2br w:val="nil"/>
                    <w:tr2bl w:val="nil"/>
                  </w:tcBorders>
                  <w:shd w:val="clear" w:color="auto" w:fill="auto"/>
                </w:tcPr>
                <w:p w14:paraId="4C61C76F">
                  <w:pPr>
                    <w:pStyle w:val="28"/>
                    <w:keepNext w:val="0"/>
                    <w:keepLines w:val="0"/>
                    <w:suppressLineNumbers w:val="0"/>
                    <w:spacing w:before="0" w:beforeAutospacing="0" w:after="0" w:afterAutospacing="0"/>
                    <w:ind w:left="0" w:right="0"/>
                    <w:rPr>
                      <w:rFonts w:hint="default"/>
                      <w:color w:val="auto"/>
                    </w:rPr>
                  </w:pPr>
                  <w:r>
                    <w:rPr>
                      <w:rFonts w:hint="default"/>
                      <w:color w:val="auto"/>
                    </w:rPr>
                    <w:t>LNG</w:t>
                  </w:r>
                </w:p>
              </w:tc>
              <w:tc>
                <w:tcPr>
                  <w:tcW w:w="4135" w:type="pct"/>
                  <w:tcBorders>
                    <w:tl2br w:val="nil"/>
                    <w:tr2bl w:val="nil"/>
                  </w:tcBorders>
                </w:tcPr>
                <w:p w14:paraId="68877C28">
                  <w:pPr>
                    <w:pStyle w:val="28"/>
                    <w:keepNext w:val="0"/>
                    <w:keepLines w:val="0"/>
                    <w:suppressLineNumbers w:val="0"/>
                    <w:spacing w:before="0" w:beforeAutospacing="0" w:after="0" w:afterAutospacing="0"/>
                    <w:ind w:left="0" w:right="0"/>
                    <w:rPr>
                      <w:rFonts w:hint="default"/>
                      <w:color w:val="auto"/>
                    </w:rPr>
                  </w:pPr>
                  <w:r>
                    <w:rPr>
                      <w:rFonts w:hint="default"/>
                      <w:color w:val="auto"/>
                    </w:rPr>
                    <w:t>无色无臭气体，沸点：-161.5℃；比重：0.42；蒸汽密度：0.55；熔点：-182.5℃；闪点：-188℃；爆炸极限：5.3</w:t>
                  </w:r>
                  <w:r>
                    <w:rPr>
                      <w:rFonts w:hint="eastAsia"/>
                      <w:color w:val="auto"/>
                    </w:rPr>
                    <w:t>%～</w:t>
                  </w:r>
                  <w:r>
                    <w:rPr>
                      <w:rFonts w:hint="default"/>
                      <w:color w:val="auto"/>
                    </w:rPr>
                    <w:t>15%；微溶于水，溶于醇、乙醚。</w:t>
                  </w:r>
                </w:p>
              </w:tc>
            </w:tr>
          </w:tbl>
          <w:p w14:paraId="16008323">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2.1.7主要生产设备</w:t>
            </w:r>
          </w:p>
          <w:p w14:paraId="290F856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本项目主要设备见</w:t>
            </w:r>
            <w:r>
              <w:rPr>
                <w:rFonts w:hint="default" w:cs="Times New Roman"/>
                <w:color w:val="auto"/>
              </w:rPr>
              <w:fldChar w:fldCharType="begin"/>
            </w:r>
            <w:r>
              <w:rPr>
                <w:rFonts w:hint="default" w:cs="Times New Roman"/>
                <w:color w:val="auto"/>
              </w:rPr>
              <w:instrText xml:space="preserve"> REF _Ref21375 \n \h </w:instrText>
            </w:r>
            <w:r>
              <w:rPr>
                <w:rFonts w:hint="default" w:cs="Times New Roman"/>
                <w:color w:val="auto"/>
              </w:rPr>
              <w:fldChar w:fldCharType="separate"/>
            </w:r>
            <w:r>
              <w:rPr>
                <w:rFonts w:hint="eastAsia" w:cs="Times New Roman"/>
                <w:color w:val="auto"/>
              </w:rPr>
              <w:t xml:space="preserve">表2-12 </w:t>
            </w:r>
            <w:r>
              <w:rPr>
                <w:rFonts w:hint="default" w:cs="Times New Roman"/>
                <w:color w:val="auto"/>
              </w:rPr>
              <w:fldChar w:fldCharType="end"/>
            </w:r>
            <w:r>
              <w:rPr>
                <w:rFonts w:hint="default" w:cs="Times New Roman"/>
                <w:color w:val="auto"/>
              </w:rPr>
              <w:t>。</w:t>
            </w:r>
          </w:p>
          <w:p w14:paraId="1DC64286">
            <w:pPr>
              <w:pStyle w:val="34"/>
              <w:keepNext w:val="0"/>
              <w:keepLines w:val="0"/>
              <w:suppressLineNumbers w:val="0"/>
              <w:spacing w:before="0" w:beforeAutospacing="0" w:after="0" w:afterAutospacing="0"/>
              <w:ind w:left="0" w:right="0"/>
              <w:rPr>
                <w:rFonts w:hint="default"/>
                <w:color w:val="auto"/>
              </w:rPr>
            </w:pPr>
            <w:bookmarkStart w:id="74" w:name="_Ref21375"/>
            <w:r>
              <w:rPr>
                <w:rFonts w:hint="default"/>
                <w:color w:val="auto"/>
              </w:rPr>
              <w:t>项目主要设备一览表</w:t>
            </w:r>
            <w:bookmarkEnd w:id="74"/>
          </w:p>
          <w:tbl>
            <w:tblPr>
              <w:tblStyle w:val="18"/>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52"/>
              <w:gridCol w:w="1991"/>
              <w:gridCol w:w="2763"/>
              <w:gridCol w:w="819"/>
              <w:gridCol w:w="882"/>
              <w:gridCol w:w="883"/>
            </w:tblGrid>
            <w:tr w14:paraId="74B15F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350" w:type="pct"/>
                  <w:tcBorders>
                    <w:tl2br w:val="nil"/>
                    <w:tr2bl w:val="nil"/>
                  </w:tcBorders>
                  <w:shd w:val="clear" w:color="auto" w:fill="auto"/>
                  <w:noWrap/>
                  <w:vAlign w:val="center"/>
                </w:tcPr>
                <w:p w14:paraId="18C672AF">
                  <w:pPr>
                    <w:pStyle w:val="26"/>
                    <w:keepNext w:val="0"/>
                    <w:keepLines w:val="0"/>
                    <w:suppressLineNumbers w:val="0"/>
                    <w:spacing w:before="0" w:beforeAutospacing="0" w:after="0" w:afterAutospacing="0"/>
                    <w:ind w:left="0" w:right="0"/>
                    <w:rPr>
                      <w:rFonts w:hint="default"/>
                    </w:rPr>
                  </w:pPr>
                  <w:r>
                    <w:rPr>
                      <w:rFonts w:hint="default"/>
                    </w:rPr>
                    <w:t>序号</w:t>
                  </w:r>
                </w:p>
              </w:tc>
              <w:tc>
                <w:tcPr>
                  <w:tcW w:w="1262" w:type="pct"/>
                  <w:tcBorders>
                    <w:tl2br w:val="nil"/>
                    <w:tr2bl w:val="nil"/>
                  </w:tcBorders>
                  <w:shd w:val="clear" w:color="auto" w:fill="auto"/>
                  <w:noWrap/>
                  <w:vAlign w:val="center"/>
                </w:tcPr>
                <w:p w14:paraId="53EAEA25">
                  <w:pPr>
                    <w:pStyle w:val="26"/>
                    <w:keepNext w:val="0"/>
                    <w:keepLines w:val="0"/>
                    <w:suppressLineNumbers w:val="0"/>
                    <w:spacing w:before="0" w:beforeAutospacing="0" w:after="0" w:afterAutospacing="0"/>
                    <w:ind w:left="0" w:right="0"/>
                    <w:rPr>
                      <w:rFonts w:hint="default"/>
                    </w:rPr>
                  </w:pPr>
                  <w:r>
                    <w:rPr>
                      <w:rFonts w:hint="default"/>
                    </w:rPr>
                    <w:t>设备名称</w:t>
                  </w:r>
                </w:p>
              </w:tc>
              <w:tc>
                <w:tcPr>
                  <w:tcW w:w="1751" w:type="pct"/>
                  <w:tcBorders>
                    <w:tl2br w:val="nil"/>
                    <w:tr2bl w:val="nil"/>
                  </w:tcBorders>
                  <w:shd w:val="clear" w:color="auto" w:fill="auto"/>
                  <w:noWrap/>
                  <w:vAlign w:val="center"/>
                </w:tcPr>
                <w:p w14:paraId="67665D2E">
                  <w:pPr>
                    <w:pStyle w:val="26"/>
                    <w:keepNext w:val="0"/>
                    <w:keepLines w:val="0"/>
                    <w:suppressLineNumbers w:val="0"/>
                    <w:spacing w:before="0" w:beforeAutospacing="0" w:after="0" w:afterAutospacing="0"/>
                    <w:ind w:left="0" w:right="0"/>
                    <w:rPr>
                      <w:rFonts w:hint="default"/>
                    </w:rPr>
                  </w:pPr>
                  <w:r>
                    <w:rPr>
                      <w:rFonts w:hint="default"/>
                    </w:rPr>
                    <w:t>设备型号</w:t>
                  </w:r>
                </w:p>
              </w:tc>
              <w:tc>
                <w:tcPr>
                  <w:tcW w:w="519" w:type="pct"/>
                  <w:tcBorders>
                    <w:tl2br w:val="nil"/>
                    <w:tr2bl w:val="nil"/>
                  </w:tcBorders>
                  <w:shd w:val="clear" w:color="auto" w:fill="auto"/>
                  <w:vAlign w:val="center"/>
                </w:tcPr>
                <w:p w14:paraId="3E79B2FD">
                  <w:pPr>
                    <w:pStyle w:val="26"/>
                    <w:keepNext w:val="0"/>
                    <w:keepLines w:val="0"/>
                    <w:suppressLineNumbers w:val="0"/>
                    <w:spacing w:before="0" w:beforeAutospacing="0" w:after="0" w:afterAutospacing="0"/>
                    <w:ind w:left="0" w:right="0"/>
                    <w:rPr>
                      <w:rFonts w:hint="default"/>
                    </w:rPr>
                  </w:pPr>
                  <w:r>
                    <w:rPr>
                      <w:rFonts w:hint="default"/>
                    </w:rPr>
                    <w:t>数量/台</w:t>
                  </w:r>
                </w:p>
              </w:tc>
              <w:tc>
                <w:tcPr>
                  <w:tcW w:w="559" w:type="pct"/>
                  <w:tcBorders>
                    <w:tl2br w:val="nil"/>
                    <w:tr2bl w:val="nil"/>
                  </w:tcBorders>
                  <w:shd w:val="clear" w:color="auto" w:fill="auto"/>
                  <w:noWrap/>
                  <w:vAlign w:val="center"/>
                </w:tcPr>
                <w:p w14:paraId="68FBD25E">
                  <w:pPr>
                    <w:pStyle w:val="26"/>
                    <w:keepNext w:val="0"/>
                    <w:keepLines w:val="0"/>
                    <w:suppressLineNumbers w:val="0"/>
                    <w:spacing w:before="0" w:beforeAutospacing="0" w:after="0" w:afterAutospacing="0"/>
                    <w:ind w:left="0" w:right="0"/>
                    <w:rPr>
                      <w:rFonts w:hint="default"/>
                    </w:rPr>
                  </w:pPr>
                  <w:r>
                    <w:rPr>
                      <w:rFonts w:hint="default"/>
                    </w:rPr>
                    <w:t>所属工序</w:t>
                  </w:r>
                </w:p>
              </w:tc>
              <w:tc>
                <w:tcPr>
                  <w:tcW w:w="559" w:type="pct"/>
                  <w:tcBorders>
                    <w:tl2br w:val="nil"/>
                    <w:tr2bl w:val="nil"/>
                  </w:tcBorders>
                  <w:shd w:val="clear" w:color="auto" w:fill="auto"/>
                  <w:noWrap/>
                  <w:vAlign w:val="center"/>
                </w:tcPr>
                <w:p w14:paraId="4CB7BFEF">
                  <w:pPr>
                    <w:pStyle w:val="26"/>
                    <w:keepNext w:val="0"/>
                    <w:keepLines w:val="0"/>
                    <w:suppressLineNumbers w:val="0"/>
                    <w:spacing w:before="0" w:beforeAutospacing="0" w:after="0" w:afterAutospacing="0"/>
                    <w:ind w:left="0" w:right="0"/>
                    <w:rPr>
                      <w:rFonts w:hint="default"/>
                    </w:rPr>
                  </w:pPr>
                  <w:r>
                    <w:rPr>
                      <w:rFonts w:hint="default"/>
                    </w:rPr>
                    <w:t>备注</w:t>
                  </w:r>
                </w:p>
              </w:tc>
            </w:tr>
            <w:tr w14:paraId="404DD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3EACE9D7">
                  <w:pPr>
                    <w:pStyle w:val="26"/>
                    <w:keepNext w:val="0"/>
                    <w:keepLines w:val="0"/>
                    <w:suppressLineNumbers w:val="0"/>
                    <w:spacing w:before="0" w:beforeAutospacing="0" w:after="0" w:afterAutospacing="0"/>
                    <w:ind w:left="0" w:right="0"/>
                    <w:rPr>
                      <w:rFonts w:hint="default"/>
                    </w:rPr>
                  </w:pPr>
                  <w:r>
                    <w:rPr>
                      <w:rFonts w:hint="default"/>
                    </w:rPr>
                    <w:t>1</w:t>
                  </w:r>
                </w:p>
              </w:tc>
              <w:tc>
                <w:tcPr>
                  <w:tcW w:w="1262" w:type="pct"/>
                  <w:tcBorders>
                    <w:tl2br w:val="nil"/>
                    <w:tr2bl w:val="nil"/>
                  </w:tcBorders>
                  <w:shd w:val="clear" w:color="auto" w:fill="auto"/>
                  <w:vAlign w:val="center"/>
                </w:tcPr>
                <w:p w14:paraId="2A7E36CB">
                  <w:pPr>
                    <w:pStyle w:val="26"/>
                    <w:keepNext w:val="0"/>
                    <w:keepLines w:val="0"/>
                    <w:suppressLineNumbers w:val="0"/>
                    <w:spacing w:before="0" w:beforeAutospacing="0" w:after="0" w:afterAutospacing="0"/>
                    <w:ind w:left="0" w:right="0"/>
                    <w:rPr>
                      <w:rFonts w:hint="default"/>
                    </w:rPr>
                  </w:pPr>
                  <w:r>
                    <w:rPr>
                      <w:rFonts w:hint="default"/>
                    </w:rPr>
                    <w:t>液体硫磺泵</w:t>
                  </w:r>
                </w:p>
              </w:tc>
              <w:tc>
                <w:tcPr>
                  <w:tcW w:w="1751" w:type="pct"/>
                  <w:tcBorders>
                    <w:tl2br w:val="nil"/>
                    <w:tr2bl w:val="nil"/>
                  </w:tcBorders>
                  <w:shd w:val="clear" w:color="auto" w:fill="auto"/>
                </w:tcPr>
                <w:p w14:paraId="38ED0528">
                  <w:pPr>
                    <w:pStyle w:val="26"/>
                    <w:keepNext w:val="0"/>
                    <w:keepLines w:val="0"/>
                    <w:suppressLineNumbers w:val="0"/>
                    <w:spacing w:before="0" w:beforeAutospacing="0" w:after="0" w:afterAutospacing="0"/>
                    <w:ind w:left="0" w:right="0"/>
                    <w:rPr>
                      <w:rFonts w:hint="default"/>
                    </w:rPr>
                  </w:pPr>
                  <w:r>
                    <w:rPr>
                      <w:rFonts w:hint="default"/>
                    </w:rPr>
                    <w:t>LHY-40/80</w:t>
                  </w:r>
                </w:p>
              </w:tc>
              <w:tc>
                <w:tcPr>
                  <w:tcW w:w="519" w:type="pct"/>
                  <w:tcBorders>
                    <w:tl2br w:val="nil"/>
                    <w:tr2bl w:val="nil"/>
                  </w:tcBorders>
                  <w:shd w:val="clear" w:color="auto" w:fill="auto"/>
                </w:tcPr>
                <w:p w14:paraId="65076A96">
                  <w:pPr>
                    <w:pStyle w:val="26"/>
                    <w:keepNext w:val="0"/>
                    <w:keepLines w:val="0"/>
                    <w:suppressLineNumbers w:val="0"/>
                    <w:spacing w:before="0" w:beforeAutospacing="0" w:after="0" w:afterAutospacing="0"/>
                    <w:ind w:left="0" w:right="0"/>
                    <w:rPr>
                      <w:rFonts w:hint="default"/>
                    </w:rPr>
                  </w:pPr>
                  <w:r>
                    <w:rPr>
                      <w:rFonts w:hint="default"/>
                    </w:rPr>
                    <w:t>3</w:t>
                  </w:r>
                </w:p>
              </w:tc>
              <w:tc>
                <w:tcPr>
                  <w:tcW w:w="559" w:type="pct"/>
                  <w:vMerge w:val="restart"/>
                  <w:tcBorders>
                    <w:tl2br w:val="nil"/>
                    <w:tr2bl w:val="nil"/>
                  </w:tcBorders>
                  <w:shd w:val="clear" w:color="auto" w:fill="auto"/>
                  <w:vAlign w:val="center"/>
                </w:tcPr>
                <w:p w14:paraId="7AFC241C">
                  <w:pPr>
                    <w:pStyle w:val="26"/>
                    <w:keepNext w:val="0"/>
                    <w:keepLines w:val="0"/>
                    <w:suppressLineNumbers w:val="0"/>
                    <w:spacing w:before="0" w:beforeAutospacing="0" w:after="0" w:afterAutospacing="0"/>
                    <w:ind w:left="0" w:right="0"/>
                    <w:rPr>
                      <w:rFonts w:hint="default"/>
                    </w:rPr>
                  </w:pPr>
                  <w:r>
                    <w:rPr>
                      <w:rFonts w:hint="default"/>
                    </w:rPr>
                    <w:t>硫磺生产</w:t>
                  </w:r>
                </w:p>
              </w:tc>
              <w:tc>
                <w:tcPr>
                  <w:tcW w:w="559" w:type="pct"/>
                  <w:tcBorders>
                    <w:tl2br w:val="nil"/>
                    <w:tr2bl w:val="nil"/>
                  </w:tcBorders>
                  <w:shd w:val="clear" w:color="auto" w:fill="auto"/>
                  <w:noWrap/>
                  <w:vAlign w:val="center"/>
                </w:tcPr>
                <w:p w14:paraId="7E66D8FB">
                  <w:pPr>
                    <w:pStyle w:val="26"/>
                    <w:keepNext w:val="0"/>
                    <w:keepLines w:val="0"/>
                    <w:suppressLineNumbers w:val="0"/>
                    <w:spacing w:before="0" w:beforeAutospacing="0" w:after="0" w:afterAutospacing="0"/>
                    <w:ind w:left="0" w:right="0"/>
                    <w:rPr>
                      <w:rFonts w:hint="default"/>
                    </w:rPr>
                  </w:pPr>
                  <w:r>
                    <w:rPr>
                      <w:rFonts w:hint="default"/>
                    </w:rPr>
                    <w:t>/</w:t>
                  </w:r>
                </w:p>
              </w:tc>
            </w:tr>
            <w:tr w14:paraId="6B11BF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3D120DF6">
                  <w:pPr>
                    <w:pStyle w:val="26"/>
                    <w:keepNext w:val="0"/>
                    <w:keepLines w:val="0"/>
                    <w:suppressLineNumbers w:val="0"/>
                    <w:spacing w:before="0" w:beforeAutospacing="0" w:after="0" w:afterAutospacing="0"/>
                    <w:ind w:left="0" w:right="0"/>
                    <w:rPr>
                      <w:rFonts w:hint="default"/>
                    </w:rPr>
                  </w:pPr>
                  <w:r>
                    <w:rPr>
                      <w:rFonts w:hint="default"/>
                    </w:rPr>
                    <w:t>2</w:t>
                  </w:r>
                </w:p>
              </w:tc>
              <w:tc>
                <w:tcPr>
                  <w:tcW w:w="1262" w:type="pct"/>
                  <w:tcBorders>
                    <w:tl2br w:val="nil"/>
                    <w:tr2bl w:val="nil"/>
                  </w:tcBorders>
                  <w:shd w:val="clear" w:color="auto" w:fill="auto"/>
                  <w:vAlign w:val="center"/>
                </w:tcPr>
                <w:p w14:paraId="74F9DC73">
                  <w:pPr>
                    <w:pStyle w:val="26"/>
                    <w:keepNext w:val="0"/>
                    <w:keepLines w:val="0"/>
                    <w:suppressLineNumbers w:val="0"/>
                    <w:spacing w:before="0" w:beforeAutospacing="0" w:after="0" w:afterAutospacing="0"/>
                    <w:ind w:left="0" w:right="0"/>
                    <w:rPr>
                      <w:rFonts w:hint="default"/>
                    </w:rPr>
                  </w:pPr>
                  <w:r>
                    <w:rPr>
                      <w:rFonts w:hint="default"/>
                    </w:rPr>
                    <w:t>液硫池</w:t>
                  </w:r>
                </w:p>
              </w:tc>
              <w:tc>
                <w:tcPr>
                  <w:tcW w:w="1751" w:type="pct"/>
                  <w:tcBorders>
                    <w:tl2br w:val="nil"/>
                    <w:tr2bl w:val="nil"/>
                  </w:tcBorders>
                  <w:shd w:val="clear" w:color="auto" w:fill="auto"/>
                </w:tcPr>
                <w:p w14:paraId="5CA05639">
                  <w:pPr>
                    <w:pStyle w:val="26"/>
                    <w:keepNext w:val="0"/>
                    <w:keepLines w:val="0"/>
                    <w:suppressLineNumbers w:val="0"/>
                    <w:spacing w:before="0" w:beforeAutospacing="0" w:after="0" w:afterAutospacing="0"/>
                    <w:ind w:left="0" w:right="0"/>
                    <w:rPr>
                      <w:rFonts w:hint="default"/>
                    </w:rPr>
                  </w:pPr>
                  <w:r>
                    <w:rPr>
                      <w:rFonts w:hint="default"/>
                    </w:rPr>
                    <w:t>50m</w:t>
                  </w:r>
                  <w:r>
                    <w:rPr>
                      <w:rFonts w:hint="default"/>
                      <w:vertAlign w:val="superscript"/>
                    </w:rPr>
                    <w:t>3</w:t>
                  </w:r>
                </w:p>
              </w:tc>
              <w:tc>
                <w:tcPr>
                  <w:tcW w:w="519" w:type="pct"/>
                  <w:tcBorders>
                    <w:tl2br w:val="nil"/>
                    <w:tr2bl w:val="nil"/>
                  </w:tcBorders>
                  <w:shd w:val="clear" w:color="auto" w:fill="auto"/>
                </w:tcPr>
                <w:p w14:paraId="5229DF17">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33E425B3">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20F8570E">
                  <w:pPr>
                    <w:pStyle w:val="26"/>
                    <w:keepNext w:val="0"/>
                    <w:keepLines w:val="0"/>
                    <w:suppressLineNumbers w:val="0"/>
                    <w:spacing w:before="0" w:beforeAutospacing="0" w:after="0" w:afterAutospacing="0"/>
                    <w:ind w:left="0" w:right="0"/>
                    <w:rPr>
                      <w:rFonts w:hint="default"/>
                    </w:rPr>
                  </w:pPr>
                  <w:r>
                    <w:rPr>
                      <w:rFonts w:hint="default"/>
                    </w:rPr>
                    <w:t>/</w:t>
                  </w:r>
                </w:p>
              </w:tc>
            </w:tr>
            <w:tr w14:paraId="4CD14D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239E1B6E">
                  <w:pPr>
                    <w:pStyle w:val="26"/>
                    <w:keepNext w:val="0"/>
                    <w:keepLines w:val="0"/>
                    <w:suppressLineNumbers w:val="0"/>
                    <w:spacing w:before="0" w:beforeAutospacing="0" w:after="0" w:afterAutospacing="0"/>
                    <w:ind w:left="0" w:right="0"/>
                    <w:rPr>
                      <w:rFonts w:hint="default"/>
                    </w:rPr>
                  </w:pPr>
                  <w:r>
                    <w:rPr>
                      <w:rFonts w:hint="default"/>
                    </w:rPr>
                    <w:t>3</w:t>
                  </w:r>
                </w:p>
              </w:tc>
              <w:tc>
                <w:tcPr>
                  <w:tcW w:w="1262" w:type="pct"/>
                  <w:tcBorders>
                    <w:tl2br w:val="nil"/>
                    <w:tr2bl w:val="nil"/>
                  </w:tcBorders>
                  <w:shd w:val="clear" w:color="auto" w:fill="auto"/>
                  <w:vAlign w:val="center"/>
                </w:tcPr>
                <w:p w14:paraId="438F4AA1">
                  <w:pPr>
                    <w:pStyle w:val="26"/>
                    <w:keepNext w:val="0"/>
                    <w:keepLines w:val="0"/>
                    <w:suppressLineNumbers w:val="0"/>
                    <w:spacing w:before="0" w:beforeAutospacing="0" w:after="0" w:afterAutospacing="0"/>
                    <w:ind w:left="0" w:right="0"/>
                    <w:rPr>
                      <w:rFonts w:hint="default"/>
                    </w:rPr>
                  </w:pPr>
                  <w:r>
                    <w:rPr>
                      <w:rFonts w:hint="default"/>
                    </w:rPr>
                    <w:t>提纯塔</w:t>
                  </w:r>
                </w:p>
              </w:tc>
              <w:tc>
                <w:tcPr>
                  <w:tcW w:w="1751" w:type="pct"/>
                  <w:tcBorders>
                    <w:tl2br w:val="nil"/>
                    <w:tr2bl w:val="nil"/>
                  </w:tcBorders>
                  <w:shd w:val="clear" w:color="auto" w:fill="auto"/>
                  <w:vAlign w:val="center"/>
                </w:tcPr>
                <w:p w14:paraId="54A427A9">
                  <w:pPr>
                    <w:pStyle w:val="26"/>
                    <w:keepNext w:val="0"/>
                    <w:keepLines w:val="0"/>
                    <w:suppressLineNumbers w:val="0"/>
                    <w:spacing w:before="0" w:beforeAutospacing="0" w:after="0" w:afterAutospacing="0"/>
                    <w:ind w:left="0" w:right="0"/>
                    <w:rPr>
                      <w:rFonts w:hint="default"/>
                    </w:rPr>
                  </w:pPr>
                  <w:r>
                    <w:rPr>
                      <w:rFonts w:hint="default"/>
                    </w:rPr>
                    <w:t>采用精密过滤器</w:t>
                  </w:r>
                </w:p>
              </w:tc>
              <w:tc>
                <w:tcPr>
                  <w:tcW w:w="519" w:type="pct"/>
                  <w:tcBorders>
                    <w:tl2br w:val="nil"/>
                    <w:tr2bl w:val="nil"/>
                  </w:tcBorders>
                  <w:shd w:val="clear" w:color="auto" w:fill="auto"/>
                  <w:vAlign w:val="center"/>
                </w:tcPr>
                <w:p w14:paraId="7A36E918">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3B6F14BE">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24CC906C">
                  <w:pPr>
                    <w:pStyle w:val="26"/>
                    <w:keepNext w:val="0"/>
                    <w:keepLines w:val="0"/>
                    <w:suppressLineNumbers w:val="0"/>
                    <w:spacing w:before="0" w:beforeAutospacing="0" w:after="0" w:afterAutospacing="0"/>
                    <w:ind w:left="0" w:right="0"/>
                    <w:rPr>
                      <w:rFonts w:hint="default"/>
                    </w:rPr>
                  </w:pPr>
                  <w:r>
                    <w:rPr>
                      <w:rFonts w:hint="default"/>
                    </w:rPr>
                    <w:t>/</w:t>
                  </w:r>
                </w:p>
              </w:tc>
            </w:tr>
            <w:tr w14:paraId="4F975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639B57D9">
                  <w:pPr>
                    <w:pStyle w:val="26"/>
                    <w:keepNext w:val="0"/>
                    <w:keepLines w:val="0"/>
                    <w:suppressLineNumbers w:val="0"/>
                    <w:spacing w:before="0" w:beforeAutospacing="0" w:after="0" w:afterAutospacing="0"/>
                    <w:ind w:left="0" w:right="0"/>
                    <w:rPr>
                      <w:rFonts w:hint="default"/>
                    </w:rPr>
                  </w:pPr>
                  <w:r>
                    <w:rPr>
                      <w:rFonts w:hint="default"/>
                    </w:rPr>
                    <w:t>4</w:t>
                  </w:r>
                </w:p>
              </w:tc>
              <w:tc>
                <w:tcPr>
                  <w:tcW w:w="1262" w:type="pct"/>
                  <w:tcBorders>
                    <w:tl2br w:val="nil"/>
                    <w:tr2bl w:val="nil"/>
                  </w:tcBorders>
                  <w:shd w:val="clear" w:color="auto" w:fill="auto"/>
                  <w:vAlign w:val="center"/>
                </w:tcPr>
                <w:p w14:paraId="1F1FF0E5">
                  <w:pPr>
                    <w:pStyle w:val="26"/>
                    <w:keepNext w:val="0"/>
                    <w:keepLines w:val="0"/>
                    <w:suppressLineNumbers w:val="0"/>
                    <w:spacing w:before="0" w:beforeAutospacing="0" w:after="0" w:afterAutospacing="0"/>
                    <w:ind w:left="0" w:right="0"/>
                    <w:rPr>
                      <w:rFonts w:hint="default"/>
                    </w:rPr>
                  </w:pPr>
                  <w:r>
                    <w:rPr>
                      <w:rFonts w:hint="default"/>
                    </w:rPr>
                    <w:t>转筒硫磺造粒机（含除尘设备）</w:t>
                  </w:r>
                </w:p>
              </w:tc>
              <w:tc>
                <w:tcPr>
                  <w:tcW w:w="1751" w:type="pct"/>
                  <w:tcBorders>
                    <w:tl2br w:val="nil"/>
                    <w:tr2bl w:val="nil"/>
                  </w:tcBorders>
                  <w:shd w:val="clear" w:color="auto" w:fill="auto"/>
                  <w:vAlign w:val="center"/>
                </w:tcPr>
                <w:p w14:paraId="73329706">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4F3AD128">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749D8F8C">
                  <w:pPr>
                    <w:pStyle w:val="26"/>
                    <w:keepNext w:val="0"/>
                    <w:keepLines w:val="0"/>
                    <w:suppressLineNumbers w:val="0"/>
                    <w:spacing w:before="0" w:beforeAutospacing="0" w:after="0" w:afterAutospacing="0"/>
                    <w:ind w:left="0" w:right="0"/>
                    <w:rPr>
                      <w:rFonts w:hint="default"/>
                    </w:rPr>
                  </w:pPr>
                </w:p>
              </w:tc>
              <w:tc>
                <w:tcPr>
                  <w:tcW w:w="559" w:type="pct"/>
                  <w:vMerge w:val="restart"/>
                  <w:tcBorders>
                    <w:tl2br w:val="nil"/>
                    <w:tr2bl w:val="nil"/>
                  </w:tcBorders>
                  <w:shd w:val="clear" w:color="auto" w:fill="auto"/>
                  <w:noWrap/>
                  <w:vAlign w:val="center"/>
                </w:tcPr>
                <w:p w14:paraId="4EA7BA02">
                  <w:pPr>
                    <w:pStyle w:val="26"/>
                    <w:keepNext w:val="0"/>
                    <w:keepLines w:val="0"/>
                    <w:suppressLineNumbers w:val="0"/>
                    <w:spacing w:before="0" w:beforeAutospacing="0" w:after="0" w:afterAutospacing="0"/>
                    <w:ind w:left="0" w:right="0"/>
                    <w:rPr>
                      <w:rFonts w:hint="default"/>
                    </w:rPr>
                  </w:pPr>
                  <w:r>
                    <w:rPr>
                      <w:rFonts w:hint="default"/>
                    </w:rPr>
                    <w:t>食品级用</w:t>
                  </w:r>
                </w:p>
              </w:tc>
            </w:tr>
            <w:tr w14:paraId="58DB9E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209E9D31">
                  <w:pPr>
                    <w:pStyle w:val="26"/>
                    <w:keepNext w:val="0"/>
                    <w:keepLines w:val="0"/>
                    <w:suppressLineNumbers w:val="0"/>
                    <w:spacing w:before="0" w:beforeAutospacing="0" w:after="0" w:afterAutospacing="0"/>
                    <w:ind w:left="0" w:right="0"/>
                    <w:rPr>
                      <w:rFonts w:hint="default"/>
                    </w:rPr>
                  </w:pPr>
                  <w:r>
                    <w:rPr>
                      <w:rFonts w:hint="default"/>
                    </w:rPr>
                    <w:t>5</w:t>
                  </w:r>
                </w:p>
              </w:tc>
              <w:tc>
                <w:tcPr>
                  <w:tcW w:w="1262" w:type="pct"/>
                  <w:tcBorders>
                    <w:tl2br w:val="nil"/>
                    <w:tr2bl w:val="nil"/>
                  </w:tcBorders>
                  <w:shd w:val="clear" w:color="auto" w:fill="auto"/>
                  <w:vAlign w:val="center"/>
                </w:tcPr>
                <w:p w14:paraId="65017965">
                  <w:pPr>
                    <w:pStyle w:val="26"/>
                    <w:keepNext w:val="0"/>
                    <w:keepLines w:val="0"/>
                    <w:suppressLineNumbers w:val="0"/>
                    <w:spacing w:before="0" w:beforeAutospacing="0" w:after="0" w:afterAutospacing="0"/>
                    <w:ind w:left="0" w:right="0"/>
                    <w:rPr>
                      <w:rFonts w:hint="default"/>
                    </w:rPr>
                  </w:pPr>
                  <w:r>
                    <w:rPr>
                      <w:rFonts w:hint="default"/>
                    </w:rPr>
                    <w:t>刮片机</w:t>
                  </w:r>
                </w:p>
              </w:tc>
              <w:tc>
                <w:tcPr>
                  <w:tcW w:w="1751" w:type="pct"/>
                  <w:tcBorders>
                    <w:tl2br w:val="nil"/>
                    <w:tr2bl w:val="nil"/>
                  </w:tcBorders>
                  <w:shd w:val="clear" w:color="auto" w:fill="auto"/>
                  <w:vAlign w:val="center"/>
                </w:tcPr>
                <w:p w14:paraId="7420ACD8">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2C33CFBA">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6FA91ED1">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4A885BB7">
                  <w:pPr>
                    <w:pStyle w:val="26"/>
                    <w:keepNext w:val="0"/>
                    <w:keepLines w:val="0"/>
                    <w:suppressLineNumbers w:val="0"/>
                    <w:spacing w:before="0" w:beforeAutospacing="0" w:after="0" w:afterAutospacing="0"/>
                    <w:ind w:left="0" w:right="0"/>
                    <w:rPr>
                      <w:rFonts w:hint="default"/>
                    </w:rPr>
                  </w:pPr>
                </w:p>
              </w:tc>
            </w:tr>
            <w:tr w14:paraId="78BC3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6172546D">
                  <w:pPr>
                    <w:pStyle w:val="26"/>
                    <w:keepNext w:val="0"/>
                    <w:keepLines w:val="0"/>
                    <w:suppressLineNumbers w:val="0"/>
                    <w:spacing w:before="0" w:beforeAutospacing="0" w:after="0" w:afterAutospacing="0"/>
                    <w:ind w:left="0" w:right="0"/>
                    <w:rPr>
                      <w:rFonts w:hint="default"/>
                    </w:rPr>
                  </w:pPr>
                  <w:r>
                    <w:rPr>
                      <w:rFonts w:hint="default"/>
                    </w:rPr>
                    <w:t>6</w:t>
                  </w:r>
                </w:p>
              </w:tc>
              <w:tc>
                <w:tcPr>
                  <w:tcW w:w="1262" w:type="pct"/>
                  <w:tcBorders>
                    <w:tl2br w:val="nil"/>
                    <w:tr2bl w:val="nil"/>
                  </w:tcBorders>
                  <w:shd w:val="clear" w:color="auto" w:fill="auto"/>
                  <w:vAlign w:val="center"/>
                </w:tcPr>
                <w:p w14:paraId="46CCC394">
                  <w:pPr>
                    <w:pStyle w:val="26"/>
                    <w:keepNext w:val="0"/>
                    <w:keepLines w:val="0"/>
                    <w:suppressLineNumbers w:val="0"/>
                    <w:spacing w:before="0" w:beforeAutospacing="0" w:after="0" w:afterAutospacing="0"/>
                    <w:ind w:left="0" w:right="0"/>
                    <w:rPr>
                      <w:rFonts w:hint="default"/>
                    </w:rPr>
                  </w:pPr>
                  <w:r>
                    <w:rPr>
                      <w:rFonts w:hint="default"/>
                    </w:rPr>
                    <w:t>粉碎机（含除尘设备）</w:t>
                  </w:r>
                </w:p>
              </w:tc>
              <w:tc>
                <w:tcPr>
                  <w:tcW w:w="1751" w:type="pct"/>
                  <w:tcBorders>
                    <w:tl2br w:val="nil"/>
                    <w:tr2bl w:val="nil"/>
                  </w:tcBorders>
                  <w:shd w:val="clear" w:color="auto" w:fill="auto"/>
                  <w:vAlign w:val="center"/>
                </w:tcPr>
                <w:p w14:paraId="07C12310">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664949EA">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369C2EF7">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426FC704">
                  <w:pPr>
                    <w:pStyle w:val="26"/>
                    <w:keepNext w:val="0"/>
                    <w:keepLines w:val="0"/>
                    <w:suppressLineNumbers w:val="0"/>
                    <w:spacing w:before="0" w:beforeAutospacing="0" w:after="0" w:afterAutospacing="0"/>
                    <w:ind w:left="0" w:right="0"/>
                    <w:rPr>
                      <w:rFonts w:hint="default"/>
                    </w:rPr>
                  </w:pPr>
                </w:p>
              </w:tc>
            </w:tr>
            <w:tr w14:paraId="55156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0449A82A">
                  <w:pPr>
                    <w:pStyle w:val="26"/>
                    <w:keepNext w:val="0"/>
                    <w:keepLines w:val="0"/>
                    <w:suppressLineNumbers w:val="0"/>
                    <w:spacing w:before="0" w:beforeAutospacing="0" w:after="0" w:afterAutospacing="0"/>
                    <w:ind w:left="0" w:right="0"/>
                    <w:rPr>
                      <w:rFonts w:hint="default"/>
                    </w:rPr>
                  </w:pPr>
                  <w:r>
                    <w:rPr>
                      <w:rFonts w:hint="default"/>
                    </w:rPr>
                    <w:t>7</w:t>
                  </w:r>
                </w:p>
              </w:tc>
              <w:tc>
                <w:tcPr>
                  <w:tcW w:w="1262" w:type="pct"/>
                  <w:tcBorders>
                    <w:tl2br w:val="nil"/>
                    <w:tr2bl w:val="nil"/>
                  </w:tcBorders>
                  <w:shd w:val="clear" w:color="auto" w:fill="auto"/>
                </w:tcPr>
                <w:p w14:paraId="724FDE9A">
                  <w:pPr>
                    <w:pStyle w:val="26"/>
                    <w:keepNext w:val="0"/>
                    <w:keepLines w:val="0"/>
                    <w:suppressLineNumbers w:val="0"/>
                    <w:spacing w:before="0" w:beforeAutospacing="0" w:after="0" w:afterAutospacing="0"/>
                    <w:ind w:left="0" w:right="0"/>
                    <w:rPr>
                      <w:rFonts w:hint="default"/>
                    </w:rPr>
                  </w:pPr>
                  <w:r>
                    <w:rPr>
                      <w:rFonts w:hint="default"/>
                    </w:rPr>
                    <w:t>吨袋包装机</w:t>
                  </w:r>
                </w:p>
              </w:tc>
              <w:tc>
                <w:tcPr>
                  <w:tcW w:w="1751" w:type="pct"/>
                  <w:tcBorders>
                    <w:tl2br w:val="nil"/>
                    <w:tr2bl w:val="nil"/>
                  </w:tcBorders>
                  <w:shd w:val="clear" w:color="auto" w:fill="auto"/>
                  <w:vAlign w:val="center"/>
                </w:tcPr>
                <w:p w14:paraId="18E6D100">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7B6405E0">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6160B4DB">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3C744FE4">
                  <w:pPr>
                    <w:pStyle w:val="26"/>
                    <w:keepNext w:val="0"/>
                    <w:keepLines w:val="0"/>
                    <w:suppressLineNumbers w:val="0"/>
                    <w:spacing w:before="0" w:beforeAutospacing="0" w:after="0" w:afterAutospacing="0"/>
                    <w:ind w:left="0" w:right="0"/>
                    <w:rPr>
                      <w:rFonts w:hint="default"/>
                    </w:rPr>
                  </w:pPr>
                </w:p>
              </w:tc>
            </w:tr>
            <w:tr w14:paraId="2D3511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350" w:type="pct"/>
                  <w:tcBorders>
                    <w:tl2br w:val="nil"/>
                    <w:tr2bl w:val="nil"/>
                  </w:tcBorders>
                  <w:shd w:val="clear" w:color="auto" w:fill="auto"/>
                  <w:noWrap/>
                  <w:vAlign w:val="center"/>
                </w:tcPr>
                <w:p w14:paraId="6DDC8DCD">
                  <w:pPr>
                    <w:pStyle w:val="26"/>
                    <w:keepNext w:val="0"/>
                    <w:keepLines w:val="0"/>
                    <w:suppressLineNumbers w:val="0"/>
                    <w:spacing w:before="0" w:beforeAutospacing="0" w:after="0" w:afterAutospacing="0"/>
                    <w:ind w:left="0" w:right="0"/>
                    <w:rPr>
                      <w:rFonts w:hint="default"/>
                    </w:rPr>
                  </w:pPr>
                  <w:r>
                    <w:rPr>
                      <w:rFonts w:hint="default"/>
                    </w:rPr>
                    <w:t>8</w:t>
                  </w:r>
                </w:p>
              </w:tc>
              <w:tc>
                <w:tcPr>
                  <w:tcW w:w="1262" w:type="pct"/>
                  <w:tcBorders>
                    <w:tl2br w:val="nil"/>
                    <w:tr2bl w:val="nil"/>
                  </w:tcBorders>
                  <w:shd w:val="clear" w:color="auto" w:fill="auto"/>
                </w:tcPr>
                <w:p w14:paraId="5DE962B1">
                  <w:pPr>
                    <w:pStyle w:val="26"/>
                    <w:keepNext w:val="0"/>
                    <w:keepLines w:val="0"/>
                    <w:suppressLineNumbers w:val="0"/>
                    <w:spacing w:before="0" w:beforeAutospacing="0" w:after="0" w:afterAutospacing="0"/>
                    <w:ind w:left="0" w:right="0"/>
                    <w:rPr>
                      <w:rFonts w:hint="default"/>
                    </w:rPr>
                  </w:pPr>
                  <w:r>
                    <w:rPr>
                      <w:rFonts w:hint="default"/>
                    </w:rPr>
                    <w:t>50kg包装机</w:t>
                  </w:r>
                </w:p>
              </w:tc>
              <w:tc>
                <w:tcPr>
                  <w:tcW w:w="1751" w:type="pct"/>
                  <w:tcBorders>
                    <w:tl2br w:val="nil"/>
                    <w:tr2bl w:val="nil"/>
                  </w:tcBorders>
                  <w:shd w:val="clear" w:color="auto" w:fill="auto"/>
                  <w:vAlign w:val="center"/>
                </w:tcPr>
                <w:p w14:paraId="34B46A3C">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5CC15313">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1EC94428">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5ED57857">
                  <w:pPr>
                    <w:pStyle w:val="26"/>
                    <w:keepNext w:val="0"/>
                    <w:keepLines w:val="0"/>
                    <w:suppressLineNumbers w:val="0"/>
                    <w:spacing w:before="0" w:beforeAutospacing="0" w:after="0" w:afterAutospacing="0"/>
                    <w:ind w:left="0" w:right="0"/>
                    <w:rPr>
                      <w:rFonts w:hint="default"/>
                    </w:rPr>
                  </w:pPr>
                </w:p>
              </w:tc>
            </w:tr>
            <w:tr w14:paraId="6A6F1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350" w:type="pct"/>
                  <w:tcBorders>
                    <w:tl2br w:val="nil"/>
                    <w:tr2bl w:val="nil"/>
                  </w:tcBorders>
                  <w:shd w:val="clear" w:color="auto" w:fill="auto"/>
                  <w:noWrap/>
                  <w:vAlign w:val="center"/>
                </w:tcPr>
                <w:p w14:paraId="4A40B229">
                  <w:pPr>
                    <w:pStyle w:val="26"/>
                    <w:keepNext w:val="0"/>
                    <w:keepLines w:val="0"/>
                    <w:suppressLineNumbers w:val="0"/>
                    <w:spacing w:before="0" w:beforeAutospacing="0" w:after="0" w:afterAutospacing="0"/>
                    <w:ind w:left="0" w:right="0"/>
                    <w:rPr>
                      <w:rFonts w:hint="default"/>
                    </w:rPr>
                  </w:pPr>
                  <w:r>
                    <w:rPr>
                      <w:rFonts w:hint="default"/>
                    </w:rPr>
                    <w:t>9</w:t>
                  </w:r>
                </w:p>
              </w:tc>
              <w:tc>
                <w:tcPr>
                  <w:tcW w:w="1262" w:type="pct"/>
                  <w:tcBorders>
                    <w:tl2br w:val="nil"/>
                    <w:tr2bl w:val="nil"/>
                  </w:tcBorders>
                  <w:shd w:val="clear" w:color="auto" w:fill="auto"/>
                  <w:vAlign w:val="center"/>
                </w:tcPr>
                <w:p w14:paraId="6C347055">
                  <w:pPr>
                    <w:pStyle w:val="26"/>
                    <w:keepNext w:val="0"/>
                    <w:keepLines w:val="0"/>
                    <w:suppressLineNumbers w:val="0"/>
                    <w:spacing w:before="0" w:beforeAutospacing="0" w:after="0" w:afterAutospacing="0"/>
                    <w:ind w:left="0" w:right="0"/>
                    <w:rPr>
                      <w:rFonts w:hint="default"/>
                    </w:rPr>
                  </w:pPr>
                  <w:r>
                    <w:rPr>
                      <w:rFonts w:hint="default"/>
                    </w:rPr>
                    <w:t>湿法造粒机</w:t>
                  </w:r>
                </w:p>
              </w:tc>
              <w:tc>
                <w:tcPr>
                  <w:tcW w:w="1751" w:type="pct"/>
                  <w:tcBorders>
                    <w:tl2br w:val="nil"/>
                    <w:tr2bl w:val="nil"/>
                  </w:tcBorders>
                  <w:shd w:val="clear" w:color="auto" w:fill="auto"/>
                  <w:vAlign w:val="center"/>
                </w:tcPr>
                <w:p w14:paraId="3BD10D78">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33EAD086">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1E3CFA00">
                  <w:pPr>
                    <w:pStyle w:val="26"/>
                    <w:keepNext w:val="0"/>
                    <w:keepLines w:val="0"/>
                    <w:suppressLineNumbers w:val="0"/>
                    <w:spacing w:before="0" w:beforeAutospacing="0" w:after="0" w:afterAutospacing="0"/>
                    <w:ind w:left="0" w:right="0"/>
                    <w:rPr>
                      <w:rFonts w:hint="default"/>
                    </w:rPr>
                  </w:pPr>
                </w:p>
              </w:tc>
              <w:tc>
                <w:tcPr>
                  <w:tcW w:w="559" w:type="pct"/>
                  <w:vMerge w:val="restart"/>
                  <w:tcBorders>
                    <w:tl2br w:val="nil"/>
                    <w:tr2bl w:val="nil"/>
                  </w:tcBorders>
                  <w:shd w:val="clear" w:color="auto" w:fill="auto"/>
                  <w:noWrap/>
                  <w:vAlign w:val="center"/>
                </w:tcPr>
                <w:p w14:paraId="3096CA20">
                  <w:pPr>
                    <w:pStyle w:val="26"/>
                    <w:keepNext w:val="0"/>
                    <w:keepLines w:val="0"/>
                    <w:suppressLineNumbers w:val="0"/>
                    <w:spacing w:before="0" w:beforeAutospacing="0" w:after="0" w:afterAutospacing="0"/>
                    <w:ind w:left="0" w:right="0"/>
                    <w:rPr>
                      <w:rFonts w:hint="default"/>
                    </w:rPr>
                  </w:pPr>
                  <w:r>
                    <w:rPr>
                      <w:rFonts w:hint="default"/>
                    </w:rPr>
                    <w:t>工业级用</w:t>
                  </w:r>
                </w:p>
              </w:tc>
            </w:tr>
            <w:tr w14:paraId="3406A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784CBE43">
                  <w:pPr>
                    <w:pStyle w:val="26"/>
                    <w:keepNext w:val="0"/>
                    <w:keepLines w:val="0"/>
                    <w:suppressLineNumbers w:val="0"/>
                    <w:spacing w:before="0" w:beforeAutospacing="0" w:after="0" w:afterAutospacing="0"/>
                    <w:ind w:left="0" w:right="0"/>
                    <w:rPr>
                      <w:rFonts w:hint="default"/>
                    </w:rPr>
                  </w:pPr>
                  <w:r>
                    <w:rPr>
                      <w:rFonts w:hint="default"/>
                    </w:rPr>
                    <w:t>10</w:t>
                  </w:r>
                </w:p>
              </w:tc>
              <w:tc>
                <w:tcPr>
                  <w:tcW w:w="1262" w:type="pct"/>
                  <w:tcBorders>
                    <w:tl2br w:val="nil"/>
                    <w:tr2bl w:val="nil"/>
                  </w:tcBorders>
                  <w:shd w:val="clear" w:color="auto" w:fill="auto"/>
                  <w:vAlign w:val="center"/>
                </w:tcPr>
                <w:p w14:paraId="3989B62F">
                  <w:pPr>
                    <w:pStyle w:val="26"/>
                    <w:keepNext w:val="0"/>
                    <w:keepLines w:val="0"/>
                    <w:suppressLineNumbers w:val="0"/>
                    <w:spacing w:before="0" w:beforeAutospacing="0" w:after="0" w:afterAutospacing="0"/>
                    <w:ind w:left="0" w:right="0"/>
                    <w:rPr>
                      <w:rFonts w:hint="default"/>
                    </w:rPr>
                  </w:pPr>
                  <w:r>
                    <w:rPr>
                      <w:rFonts w:hint="default"/>
                    </w:rPr>
                    <w:t>筛分机</w:t>
                  </w:r>
                </w:p>
              </w:tc>
              <w:tc>
                <w:tcPr>
                  <w:tcW w:w="1751" w:type="pct"/>
                  <w:tcBorders>
                    <w:tl2br w:val="nil"/>
                    <w:tr2bl w:val="nil"/>
                  </w:tcBorders>
                  <w:shd w:val="clear" w:color="auto" w:fill="auto"/>
                  <w:vAlign w:val="center"/>
                </w:tcPr>
                <w:p w14:paraId="5650CA14">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2D3EBDE8">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6D32C544">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6BA5A7CF">
                  <w:pPr>
                    <w:pStyle w:val="26"/>
                    <w:keepNext w:val="0"/>
                    <w:keepLines w:val="0"/>
                    <w:suppressLineNumbers w:val="0"/>
                    <w:spacing w:before="0" w:beforeAutospacing="0" w:after="0" w:afterAutospacing="0"/>
                    <w:ind w:left="0" w:right="0"/>
                    <w:rPr>
                      <w:rFonts w:hint="default"/>
                    </w:rPr>
                  </w:pPr>
                </w:p>
              </w:tc>
            </w:tr>
            <w:tr w14:paraId="6986B4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7E1BAAB0">
                  <w:pPr>
                    <w:pStyle w:val="26"/>
                    <w:keepNext w:val="0"/>
                    <w:keepLines w:val="0"/>
                    <w:suppressLineNumbers w:val="0"/>
                    <w:spacing w:before="0" w:beforeAutospacing="0" w:after="0" w:afterAutospacing="0"/>
                    <w:ind w:left="0" w:right="0"/>
                    <w:rPr>
                      <w:rFonts w:hint="default"/>
                    </w:rPr>
                  </w:pPr>
                  <w:r>
                    <w:rPr>
                      <w:rFonts w:hint="default"/>
                    </w:rPr>
                    <w:t>11</w:t>
                  </w:r>
                </w:p>
              </w:tc>
              <w:tc>
                <w:tcPr>
                  <w:tcW w:w="1262" w:type="pct"/>
                  <w:tcBorders>
                    <w:tl2br w:val="nil"/>
                    <w:tr2bl w:val="nil"/>
                  </w:tcBorders>
                  <w:shd w:val="clear" w:color="auto" w:fill="auto"/>
                  <w:vAlign w:val="center"/>
                </w:tcPr>
                <w:p w14:paraId="7C0F0720">
                  <w:pPr>
                    <w:pStyle w:val="26"/>
                    <w:keepNext w:val="0"/>
                    <w:keepLines w:val="0"/>
                    <w:suppressLineNumbers w:val="0"/>
                    <w:spacing w:before="0" w:beforeAutospacing="0" w:after="0" w:afterAutospacing="0"/>
                    <w:ind w:left="0" w:right="0"/>
                    <w:rPr>
                      <w:rFonts w:hint="default"/>
                    </w:rPr>
                  </w:pPr>
                  <w:r>
                    <w:rPr>
                      <w:rFonts w:hint="default"/>
                    </w:rPr>
                    <w:t>矩形料仓</w:t>
                  </w:r>
                </w:p>
              </w:tc>
              <w:tc>
                <w:tcPr>
                  <w:tcW w:w="1751" w:type="pct"/>
                  <w:tcBorders>
                    <w:tl2br w:val="nil"/>
                    <w:tr2bl w:val="nil"/>
                  </w:tcBorders>
                  <w:shd w:val="clear" w:color="auto" w:fill="auto"/>
                  <w:vAlign w:val="center"/>
                </w:tcPr>
                <w:p w14:paraId="4FB195AB">
                  <w:pPr>
                    <w:pStyle w:val="26"/>
                    <w:keepNext w:val="0"/>
                    <w:keepLines w:val="0"/>
                    <w:suppressLineNumbers w:val="0"/>
                    <w:spacing w:before="0" w:beforeAutospacing="0" w:after="0" w:afterAutospacing="0"/>
                    <w:ind w:left="0" w:right="0"/>
                    <w:rPr>
                      <w:rFonts w:hint="default"/>
                    </w:rPr>
                  </w:pPr>
                  <w:r>
                    <w:rPr>
                      <w:rFonts w:hint="default"/>
                    </w:rPr>
                    <w:t>5930m</w:t>
                  </w:r>
                  <w:r>
                    <w:rPr>
                      <w:rFonts w:hint="default"/>
                      <w:vertAlign w:val="superscript"/>
                    </w:rPr>
                    <w:t>3</w:t>
                  </w:r>
                </w:p>
              </w:tc>
              <w:tc>
                <w:tcPr>
                  <w:tcW w:w="519" w:type="pct"/>
                  <w:tcBorders>
                    <w:tl2br w:val="nil"/>
                    <w:tr2bl w:val="nil"/>
                  </w:tcBorders>
                  <w:shd w:val="clear" w:color="auto" w:fill="auto"/>
                  <w:vAlign w:val="center"/>
                </w:tcPr>
                <w:p w14:paraId="548479A0">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72468D58">
                  <w:pPr>
                    <w:pStyle w:val="26"/>
                    <w:keepNext w:val="0"/>
                    <w:keepLines w:val="0"/>
                    <w:suppressLineNumbers w:val="0"/>
                    <w:spacing w:before="0" w:beforeAutospacing="0" w:after="0" w:afterAutospacing="0"/>
                    <w:ind w:left="0" w:right="0"/>
                    <w:rPr>
                      <w:rFonts w:hint="default"/>
                    </w:rPr>
                  </w:pPr>
                </w:p>
              </w:tc>
              <w:tc>
                <w:tcPr>
                  <w:tcW w:w="559" w:type="pct"/>
                  <w:vMerge w:val="continue"/>
                  <w:tcBorders>
                    <w:tl2br w:val="nil"/>
                    <w:tr2bl w:val="nil"/>
                  </w:tcBorders>
                  <w:shd w:val="clear" w:color="auto" w:fill="auto"/>
                  <w:noWrap/>
                  <w:vAlign w:val="center"/>
                </w:tcPr>
                <w:p w14:paraId="0D261488">
                  <w:pPr>
                    <w:pStyle w:val="26"/>
                    <w:keepNext w:val="0"/>
                    <w:keepLines w:val="0"/>
                    <w:suppressLineNumbers w:val="0"/>
                    <w:spacing w:before="0" w:beforeAutospacing="0" w:after="0" w:afterAutospacing="0"/>
                    <w:ind w:left="0" w:right="0"/>
                    <w:rPr>
                      <w:rFonts w:hint="default"/>
                    </w:rPr>
                  </w:pPr>
                </w:p>
              </w:tc>
            </w:tr>
            <w:tr w14:paraId="47946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482D0D2B">
                  <w:pPr>
                    <w:pStyle w:val="26"/>
                    <w:keepNext w:val="0"/>
                    <w:keepLines w:val="0"/>
                    <w:suppressLineNumbers w:val="0"/>
                    <w:spacing w:before="0" w:beforeAutospacing="0" w:after="0" w:afterAutospacing="0"/>
                    <w:ind w:left="0" w:right="0"/>
                    <w:rPr>
                      <w:rFonts w:hint="default"/>
                    </w:rPr>
                  </w:pPr>
                  <w:r>
                    <w:rPr>
                      <w:rFonts w:hint="default"/>
                    </w:rPr>
                    <w:t>12</w:t>
                  </w:r>
                </w:p>
              </w:tc>
              <w:tc>
                <w:tcPr>
                  <w:tcW w:w="1262" w:type="pct"/>
                  <w:tcBorders>
                    <w:tl2br w:val="nil"/>
                    <w:tr2bl w:val="nil"/>
                  </w:tcBorders>
                  <w:shd w:val="clear" w:color="auto" w:fill="auto"/>
                  <w:vAlign w:val="center"/>
                </w:tcPr>
                <w:p w14:paraId="16AC2978">
                  <w:pPr>
                    <w:pStyle w:val="26"/>
                    <w:keepNext w:val="0"/>
                    <w:keepLines w:val="0"/>
                    <w:suppressLineNumbers w:val="0"/>
                    <w:spacing w:before="0" w:beforeAutospacing="0" w:after="0" w:afterAutospacing="0"/>
                    <w:ind w:left="0" w:right="0"/>
                    <w:rPr>
                      <w:rFonts w:hint="default"/>
                    </w:rPr>
                  </w:pPr>
                  <w:r>
                    <w:rPr>
                      <w:rFonts w:hint="default"/>
                    </w:rPr>
                    <w:t>制氮机</w:t>
                  </w:r>
                </w:p>
              </w:tc>
              <w:tc>
                <w:tcPr>
                  <w:tcW w:w="1751" w:type="pct"/>
                  <w:tcBorders>
                    <w:tl2br w:val="nil"/>
                    <w:tr2bl w:val="nil"/>
                  </w:tcBorders>
                  <w:shd w:val="clear" w:color="auto" w:fill="auto"/>
                  <w:vAlign w:val="center"/>
                </w:tcPr>
                <w:p w14:paraId="696220E4">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695A8358">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54A007E7">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54E90E7B">
                  <w:pPr>
                    <w:pStyle w:val="26"/>
                    <w:keepNext w:val="0"/>
                    <w:keepLines w:val="0"/>
                    <w:suppressLineNumbers w:val="0"/>
                    <w:spacing w:before="0" w:beforeAutospacing="0" w:after="0" w:afterAutospacing="0"/>
                    <w:ind w:left="0" w:right="0"/>
                    <w:rPr>
                      <w:rFonts w:hint="default"/>
                    </w:rPr>
                  </w:pPr>
                  <w:r>
                    <w:rPr>
                      <w:rFonts w:hint="default"/>
                    </w:rPr>
                    <w:t>供粉碎机</w:t>
                  </w:r>
                </w:p>
              </w:tc>
            </w:tr>
            <w:tr w14:paraId="40B6B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297D9D58">
                  <w:pPr>
                    <w:pStyle w:val="26"/>
                    <w:keepNext w:val="0"/>
                    <w:keepLines w:val="0"/>
                    <w:suppressLineNumbers w:val="0"/>
                    <w:spacing w:before="0" w:beforeAutospacing="0" w:after="0" w:afterAutospacing="0"/>
                    <w:ind w:left="0" w:right="0"/>
                    <w:rPr>
                      <w:rFonts w:hint="default"/>
                    </w:rPr>
                  </w:pPr>
                  <w:r>
                    <w:rPr>
                      <w:rFonts w:hint="default"/>
                    </w:rPr>
                    <w:t>13</w:t>
                  </w:r>
                </w:p>
              </w:tc>
              <w:tc>
                <w:tcPr>
                  <w:tcW w:w="1262" w:type="pct"/>
                  <w:tcBorders>
                    <w:tl2br w:val="nil"/>
                    <w:tr2bl w:val="nil"/>
                  </w:tcBorders>
                  <w:shd w:val="clear" w:color="auto" w:fill="auto"/>
                  <w:vAlign w:val="center"/>
                </w:tcPr>
                <w:p w14:paraId="1089B17A">
                  <w:pPr>
                    <w:pStyle w:val="26"/>
                    <w:keepNext w:val="0"/>
                    <w:keepLines w:val="0"/>
                    <w:suppressLineNumbers w:val="0"/>
                    <w:spacing w:before="0" w:beforeAutospacing="0" w:after="0" w:afterAutospacing="0"/>
                    <w:ind w:left="0" w:right="0"/>
                    <w:rPr>
                      <w:rFonts w:hint="default"/>
                    </w:rPr>
                  </w:pPr>
                  <w:r>
                    <w:rPr>
                      <w:rFonts w:hint="default"/>
                    </w:rPr>
                    <w:t>干冰机</w:t>
                  </w:r>
                </w:p>
              </w:tc>
              <w:tc>
                <w:tcPr>
                  <w:tcW w:w="1751" w:type="pct"/>
                  <w:tcBorders>
                    <w:tl2br w:val="nil"/>
                    <w:tr2bl w:val="nil"/>
                  </w:tcBorders>
                  <w:shd w:val="clear" w:color="auto" w:fill="auto"/>
                  <w:vAlign w:val="center"/>
                </w:tcPr>
                <w:p w14:paraId="2F75C6B2">
                  <w:pPr>
                    <w:pStyle w:val="26"/>
                    <w:keepNext w:val="0"/>
                    <w:keepLines w:val="0"/>
                    <w:suppressLineNumbers w:val="0"/>
                    <w:spacing w:before="0" w:beforeAutospacing="0" w:after="0" w:afterAutospacing="0"/>
                    <w:ind w:left="0" w:right="0"/>
                    <w:rPr>
                      <w:rFonts w:hint="default"/>
                    </w:rPr>
                  </w:pPr>
                  <w:r>
                    <w:rPr>
                      <w:rFonts w:hint="default"/>
                    </w:rPr>
                    <w:t>950-1050kg/h</w:t>
                  </w:r>
                </w:p>
              </w:tc>
              <w:tc>
                <w:tcPr>
                  <w:tcW w:w="519" w:type="pct"/>
                  <w:tcBorders>
                    <w:tl2br w:val="nil"/>
                    <w:tr2bl w:val="nil"/>
                  </w:tcBorders>
                  <w:shd w:val="clear" w:color="auto" w:fill="auto"/>
                  <w:vAlign w:val="center"/>
                </w:tcPr>
                <w:p w14:paraId="5C450C89">
                  <w:pPr>
                    <w:pStyle w:val="26"/>
                    <w:keepNext w:val="0"/>
                    <w:keepLines w:val="0"/>
                    <w:suppressLineNumbers w:val="0"/>
                    <w:spacing w:before="0" w:beforeAutospacing="0" w:after="0" w:afterAutospacing="0"/>
                    <w:ind w:left="0" w:right="0"/>
                    <w:rPr>
                      <w:rFonts w:hint="default"/>
                    </w:rPr>
                  </w:pPr>
                  <w:r>
                    <w:rPr>
                      <w:rFonts w:hint="default"/>
                    </w:rPr>
                    <w:t>2</w:t>
                  </w:r>
                </w:p>
              </w:tc>
              <w:tc>
                <w:tcPr>
                  <w:tcW w:w="559" w:type="pct"/>
                  <w:vMerge w:val="restart"/>
                  <w:tcBorders>
                    <w:tl2br w:val="nil"/>
                    <w:tr2bl w:val="nil"/>
                  </w:tcBorders>
                  <w:shd w:val="clear" w:color="auto" w:fill="auto"/>
                  <w:vAlign w:val="center"/>
                </w:tcPr>
                <w:p w14:paraId="67D2AEC6">
                  <w:pPr>
                    <w:pStyle w:val="26"/>
                    <w:keepNext w:val="0"/>
                    <w:keepLines w:val="0"/>
                    <w:suppressLineNumbers w:val="0"/>
                    <w:spacing w:before="0" w:beforeAutospacing="0" w:after="0" w:afterAutospacing="0"/>
                    <w:ind w:left="0" w:right="0"/>
                    <w:rPr>
                      <w:rFonts w:hint="default"/>
                    </w:rPr>
                  </w:pPr>
                  <w:r>
                    <w:rPr>
                      <w:rFonts w:hint="default"/>
                    </w:rPr>
                    <w:t>干冰生产</w:t>
                  </w:r>
                </w:p>
              </w:tc>
              <w:tc>
                <w:tcPr>
                  <w:tcW w:w="559" w:type="pct"/>
                  <w:tcBorders>
                    <w:tl2br w:val="nil"/>
                    <w:tr2bl w:val="nil"/>
                  </w:tcBorders>
                  <w:shd w:val="clear" w:color="auto" w:fill="auto"/>
                  <w:noWrap/>
                  <w:vAlign w:val="center"/>
                </w:tcPr>
                <w:p w14:paraId="7FF163E3">
                  <w:pPr>
                    <w:pStyle w:val="26"/>
                    <w:keepNext w:val="0"/>
                    <w:keepLines w:val="0"/>
                    <w:suppressLineNumbers w:val="0"/>
                    <w:spacing w:before="0" w:beforeAutospacing="0" w:after="0" w:afterAutospacing="0"/>
                    <w:ind w:left="0" w:right="0"/>
                    <w:rPr>
                      <w:rFonts w:hint="default"/>
                    </w:rPr>
                  </w:pPr>
                  <w:r>
                    <w:rPr>
                      <w:rFonts w:hint="default"/>
                    </w:rPr>
                    <w:t>/</w:t>
                  </w:r>
                </w:p>
              </w:tc>
            </w:tr>
            <w:tr w14:paraId="4C2CD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6068E939">
                  <w:pPr>
                    <w:pStyle w:val="26"/>
                    <w:keepNext w:val="0"/>
                    <w:keepLines w:val="0"/>
                    <w:suppressLineNumbers w:val="0"/>
                    <w:spacing w:before="0" w:beforeAutospacing="0" w:after="0" w:afterAutospacing="0"/>
                    <w:ind w:left="0" w:right="0"/>
                    <w:rPr>
                      <w:rFonts w:hint="default"/>
                    </w:rPr>
                  </w:pPr>
                  <w:r>
                    <w:rPr>
                      <w:rFonts w:hint="default"/>
                    </w:rPr>
                    <w:t>14</w:t>
                  </w:r>
                </w:p>
              </w:tc>
              <w:tc>
                <w:tcPr>
                  <w:tcW w:w="1262" w:type="pct"/>
                  <w:tcBorders>
                    <w:tl2br w:val="nil"/>
                    <w:tr2bl w:val="nil"/>
                  </w:tcBorders>
                  <w:shd w:val="clear" w:color="auto" w:fill="auto"/>
                  <w:vAlign w:val="center"/>
                </w:tcPr>
                <w:p w14:paraId="726FEA6F">
                  <w:pPr>
                    <w:pStyle w:val="26"/>
                    <w:keepNext w:val="0"/>
                    <w:keepLines w:val="0"/>
                    <w:suppressLineNumbers w:val="0"/>
                    <w:spacing w:before="0" w:beforeAutospacing="0" w:after="0" w:afterAutospacing="0"/>
                    <w:ind w:left="0" w:right="0"/>
                    <w:rPr>
                      <w:rFonts w:hint="default"/>
                    </w:rPr>
                  </w:pPr>
                  <w:r>
                    <w:rPr>
                      <w:rFonts w:hint="default"/>
                    </w:rPr>
                    <w:t>压块机</w:t>
                  </w:r>
                </w:p>
              </w:tc>
              <w:tc>
                <w:tcPr>
                  <w:tcW w:w="1751" w:type="pct"/>
                  <w:tcBorders>
                    <w:tl2br w:val="nil"/>
                    <w:tr2bl w:val="nil"/>
                  </w:tcBorders>
                  <w:shd w:val="clear" w:color="auto" w:fill="auto"/>
                  <w:vAlign w:val="center"/>
                </w:tcPr>
                <w:p w14:paraId="13BC6E9F">
                  <w:pPr>
                    <w:pStyle w:val="26"/>
                    <w:keepNext w:val="0"/>
                    <w:keepLines w:val="0"/>
                    <w:suppressLineNumbers w:val="0"/>
                    <w:spacing w:before="0" w:beforeAutospacing="0" w:after="0" w:afterAutospacing="0"/>
                    <w:ind w:left="0" w:right="0"/>
                    <w:rPr>
                      <w:rFonts w:hint="default"/>
                    </w:rPr>
                  </w:pPr>
                  <w:r>
                    <w:rPr>
                      <w:rFonts w:hint="default"/>
                    </w:rPr>
                    <w:t>0.5-1kg/块，单次6块</w:t>
                  </w:r>
                </w:p>
              </w:tc>
              <w:tc>
                <w:tcPr>
                  <w:tcW w:w="519" w:type="pct"/>
                  <w:tcBorders>
                    <w:tl2br w:val="nil"/>
                    <w:tr2bl w:val="nil"/>
                  </w:tcBorders>
                  <w:shd w:val="clear" w:color="auto" w:fill="auto"/>
                  <w:vAlign w:val="center"/>
                </w:tcPr>
                <w:p w14:paraId="7DC16E55">
                  <w:pPr>
                    <w:pStyle w:val="26"/>
                    <w:keepNext w:val="0"/>
                    <w:keepLines w:val="0"/>
                    <w:suppressLineNumbers w:val="0"/>
                    <w:spacing w:before="0" w:beforeAutospacing="0" w:after="0" w:afterAutospacing="0"/>
                    <w:ind w:left="0" w:right="0"/>
                    <w:rPr>
                      <w:rFonts w:hint="default"/>
                    </w:rPr>
                  </w:pPr>
                  <w:r>
                    <w:rPr>
                      <w:rFonts w:hint="default"/>
                    </w:rPr>
                    <w:t>2</w:t>
                  </w:r>
                </w:p>
              </w:tc>
              <w:tc>
                <w:tcPr>
                  <w:tcW w:w="559" w:type="pct"/>
                  <w:vMerge w:val="continue"/>
                  <w:tcBorders>
                    <w:tl2br w:val="nil"/>
                    <w:tr2bl w:val="nil"/>
                  </w:tcBorders>
                  <w:shd w:val="clear" w:color="auto" w:fill="auto"/>
                  <w:vAlign w:val="center"/>
                </w:tcPr>
                <w:p w14:paraId="5CAB05EC">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4C751D5C">
                  <w:pPr>
                    <w:pStyle w:val="26"/>
                    <w:keepNext w:val="0"/>
                    <w:keepLines w:val="0"/>
                    <w:suppressLineNumbers w:val="0"/>
                    <w:spacing w:before="0" w:beforeAutospacing="0" w:after="0" w:afterAutospacing="0"/>
                    <w:ind w:left="0" w:right="0"/>
                    <w:rPr>
                      <w:rFonts w:hint="default"/>
                    </w:rPr>
                  </w:pPr>
                  <w:r>
                    <w:rPr>
                      <w:rFonts w:hint="default"/>
                    </w:rPr>
                    <w:t>/</w:t>
                  </w:r>
                </w:p>
              </w:tc>
            </w:tr>
            <w:tr w14:paraId="48238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6A03DF26">
                  <w:pPr>
                    <w:pStyle w:val="26"/>
                    <w:keepNext w:val="0"/>
                    <w:keepLines w:val="0"/>
                    <w:suppressLineNumbers w:val="0"/>
                    <w:spacing w:before="0" w:beforeAutospacing="0" w:after="0" w:afterAutospacing="0"/>
                    <w:ind w:left="0" w:right="0"/>
                    <w:rPr>
                      <w:rFonts w:hint="default"/>
                    </w:rPr>
                  </w:pPr>
                  <w:r>
                    <w:rPr>
                      <w:rFonts w:hint="default"/>
                    </w:rPr>
                    <w:t>15</w:t>
                  </w:r>
                </w:p>
              </w:tc>
              <w:tc>
                <w:tcPr>
                  <w:tcW w:w="1262" w:type="pct"/>
                  <w:tcBorders>
                    <w:tl2br w:val="nil"/>
                    <w:tr2bl w:val="nil"/>
                  </w:tcBorders>
                  <w:shd w:val="clear" w:color="auto" w:fill="auto"/>
                  <w:vAlign w:val="center"/>
                </w:tcPr>
                <w:p w14:paraId="66F08FBA">
                  <w:pPr>
                    <w:pStyle w:val="26"/>
                    <w:keepNext w:val="0"/>
                    <w:keepLines w:val="0"/>
                    <w:suppressLineNumbers w:val="0"/>
                    <w:spacing w:before="0" w:beforeAutospacing="0" w:after="0" w:afterAutospacing="0"/>
                    <w:ind w:left="0" w:right="0"/>
                    <w:rPr>
                      <w:rFonts w:hint="default"/>
                    </w:rPr>
                  </w:pPr>
                  <w:r>
                    <w:rPr>
                      <w:rFonts w:hint="default"/>
                    </w:rPr>
                    <w:t>包装机</w:t>
                  </w:r>
                </w:p>
              </w:tc>
              <w:tc>
                <w:tcPr>
                  <w:tcW w:w="1751" w:type="pct"/>
                  <w:tcBorders>
                    <w:tl2br w:val="nil"/>
                    <w:tr2bl w:val="nil"/>
                  </w:tcBorders>
                  <w:shd w:val="clear" w:color="auto" w:fill="auto"/>
                  <w:vAlign w:val="center"/>
                </w:tcPr>
                <w:p w14:paraId="6DA61031">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7D43C765">
                  <w:pPr>
                    <w:pStyle w:val="26"/>
                    <w:keepNext w:val="0"/>
                    <w:keepLines w:val="0"/>
                    <w:suppressLineNumbers w:val="0"/>
                    <w:spacing w:before="0" w:beforeAutospacing="0" w:after="0" w:afterAutospacing="0"/>
                    <w:ind w:left="0" w:right="0"/>
                    <w:rPr>
                      <w:rFonts w:hint="default"/>
                    </w:rPr>
                  </w:pPr>
                  <w:r>
                    <w:rPr>
                      <w:rFonts w:hint="default"/>
                    </w:rPr>
                    <w:t>2</w:t>
                  </w:r>
                </w:p>
              </w:tc>
              <w:tc>
                <w:tcPr>
                  <w:tcW w:w="559" w:type="pct"/>
                  <w:vMerge w:val="continue"/>
                  <w:tcBorders>
                    <w:tl2br w:val="nil"/>
                    <w:tr2bl w:val="nil"/>
                  </w:tcBorders>
                  <w:shd w:val="clear" w:color="auto" w:fill="auto"/>
                  <w:vAlign w:val="center"/>
                </w:tcPr>
                <w:p w14:paraId="71F1B419">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43035EFF">
                  <w:pPr>
                    <w:pStyle w:val="26"/>
                    <w:keepNext w:val="0"/>
                    <w:keepLines w:val="0"/>
                    <w:suppressLineNumbers w:val="0"/>
                    <w:spacing w:before="0" w:beforeAutospacing="0" w:after="0" w:afterAutospacing="0"/>
                    <w:ind w:left="0" w:right="0"/>
                    <w:rPr>
                      <w:rFonts w:hint="default"/>
                    </w:rPr>
                  </w:pPr>
                  <w:r>
                    <w:rPr>
                      <w:rFonts w:hint="default"/>
                    </w:rPr>
                    <w:t>/</w:t>
                  </w:r>
                </w:p>
              </w:tc>
            </w:tr>
            <w:tr w14:paraId="3846E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3F8B296B">
                  <w:pPr>
                    <w:pStyle w:val="26"/>
                    <w:keepNext w:val="0"/>
                    <w:keepLines w:val="0"/>
                    <w:suppressLineNumbers w:val="0"/>
                    <w:spacing w:before="0" w:beforeAutospacing="0" w:after="0" w:afterAutospacing="0"/>
                    <w:ind w:left="0" w:right="0"/>
                    <w:rPr>
                      <w:rFonts w:hint="default"/>
                    </w:rPr>
                  </w:pPr>
                  <w:r>
                    <w:rPr>
                      <w:rFonts w:hint="default"/>
                    </w:rPr>
                    <w:t>16</w:t>
                  </w:r>
                </w:p>
              </w:tc>
              <w:tc>
                <w:tcPr>
                  <w:tcW w:w="1262" w:type="pct"/>
                  <w:tcBorders>
                    <w:tl2br w:val="nil"/>
                    <w:tr2bl w:val="nil"/>
                  </w:tcBorders>
                  <w:shd w:val="clear" w:color="auto" w:fill="auto"/>
                  <w:vAlign w:val="center"/>
                </w:tcPr>
                <w:p w14:paraId="68F5BEE4">
                  <w:pPr>
                    <w:pStyle w:val="26"/>
                    <w:keepNext w:val="0"/>
                    <w:keepLines w:val="0"/>
                    <w:suppressLineNumbers w:val="0"/>
                    <w:spacing w:before="0" w:beforeAutospacing="0" w:after="0" w:afterAutospacing="0"/>
                    <w:ind w:left="0" w:right="0"/>
                    <w:rPr>
                      <w:rFonts w:hint="default"/>
                    </w:rPr>
                  </w:pPr>
                  <w:r>
                    <w:rPr>
                      <w:rFonts w:hint="default"/>
                    </w:rPr>
                    <w:t>保温箱</w:t>
                  </w:r>
                </w:p>
              </w:tc>
              <w:tc>
                <w:tcPr>
                  <w:tcW w:w="1751" w:type="pct"/>
                  <w:tcBorders>
                    <w:tl2br w:val="nil"/>
                    <w:tr2bl w:val="nil"/>
                  </w:tcBorders>
                  <w:shd w:val="clear" w:color="auto" w:fill="auto"/>
                  <w:vAlign w:val="center"/>
                </w:tcPr>
                <w:p w14:paraId="5F3C45F1">
                  <w:pPr>
                    <w:pStyle w:val="26"/>
                    <w:keepNext w:val="0"/>
                    <w:keepLines w:val="0"/>
                    <w:suppressLineNumbers w:val="0"/>
                    <w:spacing w:before="0" w:beforeAutospacing="0" w:after="0" w:afterAutospacing="0"/>
                    <w:ind w:left="0" w:right="0"/>
                    <w:rPr>
                      <w:rFonts w:hint="default"/>
                    </w:rPr>
                  </w:pPr>
                  <w:r>
                    <w:rPr>
                      <w:rFonts w:hint="default"/>
                    </w:rPr>
                    <w:t>/</w:t>
                  </w:r>
                </w:p>
              </w:tc>
              <w:tc>
                <w:tcPr>
                  <w:tcW w:w="519" w:type="pct"/>
                  <w:tcBorders>
                    <w:tl2br w:val="nil"/>
                    <w:tr2bl w:val="nil"/>
                  </w:tcBorders>
                  <w:shd w:val="clear" w:color="auto" w:fill="auto"/>
                  <w:vAlign w:val="center"/>
                </w:tcPr>
                <w:p w14:paraId="7990D0B5">
                  <w:pPr>
                    <w:pStyle w:val="26"/>
                    <w:keepNext w:val="0"/>
                    <w:keepLines w:val="0"/>
                    <w:suppressLineNumbers w:val="0"/>
                    <w:spacing w:before="0" w:beforeAutospacing="0" w:after="0" w:afterAutospacing="0"/>
                    <w:ind w:left="0" w:right="0"/>
                    <w:rPr>
                      <w:rFonts w:hint="default"/>
                    </w:rPr>
                  </w:pPr>
                  <w:r>
                    <w:rPr>
                      <w:rFonts w:hint="default"/>
                    </w:rPr>
                    <w:t>30</w:t>
                  </w:r>
                </w:p>
              </w:tc>
              <w:tc>
                <w:tcPr>
                  <w:tcW w:w="559" w:type="pct"/>
                  <w:vMerge w:val="continue"/>
                  <w:tcBorders>
                    <w:tl2br w:val="nil"/>
                    <w:tr2bl w:val="nil"/>
                  </w:tcBorders>
                  <w:shd w:val="clear" w:color="auto" w:fill="auto"/>
                  <w:vAlign w:val="center"/>
                </w:tcPr>
                <w:p w14:paraId="0A4B12BE">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4166C375">
                  <w:pPr>
                    <w:pStyle w:val="26"/>
                    <w:keepNext w:val="0"/>
                    <w:keepLines w:val="0"/>
                    <w:suppressLineNumbers w:val="0"/>
                    <w:spacing w:before="0" w:beforeAutospacing="0" w:after="0" w:afterAutospacing="0"/>
                    <w:ind w:left="0" w:right="0"/>
                    <w:rPr>
                      <w:rFonts w:hint="default"/>
                    </w:rPr>
                  </w:pPr>
                  <w:r>
                    <w:rPr>
                      <w:rFonts w:hint="default"/>
                    </w:rPr>
                    <w:t>/</w:t>
                  </w:r>
                </w:p>
              </w:tc>
            </w:tr>
            <w:tr w14:paraId="115EC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50" w:type="pct"/>
                  <w:tcBorders>
                    <w:tl2br w:val="nil"/>
                    <w:tr2bl w:val="nil"/>
                  </w:tcBorders>
                  <w:shd w:val="clear" w:color="auto" w:fill="auto"/>
                  <w:noWrap/>
                  <w:vAlign w:val="center"/>
                </w:tcPr>
                <w:p w14:paraId="28E77078">
                  <w:pPr>
                    <w:pStyle w:val="28"/>
                    <w:keepNext w:val="0"/>
                    <w:keepLines w:val="0"/>
                    <w:suppressLineNumbers w:val="0"/>
                    <w:spacing w:before="0" w:beforeAutospacing="0" w:after="0" w:afterAutospacing="0"/>
                    <w:ind w:left="0" w:right="0"/>
                    <w:rPr>
                      <w:rFonts w:hint="default"/>
                      <w:color w:val="auto"/>
                    </w:rPr>
                  </w:pPr>
                  <w:r>
                    <w:rPr>
                      <w:rFonts w:hint="default"/>
                      <w:color w:val="auto"/>
                    </w:rPr>
                    <w:t>17</w:t>
                  </w:r>
                </w:p>
              </w:tc>
              <w:tc>
                <w:tcPr>
                  <w:tcW w:w="1262" w:type="pct"/>
                  <w:tcBorders>
                    <w:tl2br w:val="nil"/>
                    <w:tr2bl w:val="nil"/>
                  </w:tcBorders>
                  <w:shd w:val="clear" w:color="auto" w:fill="auto"/>
                </w:tcPr>
                <w:p w14:paraId="29F420CA">
                  <w:pPr>
                    <w:pStyle w:val="26"/>
                    <w:keepNext w:val="0"/>
                    <w:keepLines w:val="0"/>
                    <w:suppressLineNumbers w:val="0"/>
                    <w:spacing w:before="0" w:beforeAutospacing="0" w:after="0" w:afterAutospacing="0"/>
                    <w:ind w:left="0" w:right="0"/>
                    <w:rPr>
                      <w:rFonts w:hint="default"/>
                    </w:rPr>
                  </w:pPr>
                  <w:r>
                    <w:rPr>
                      <w:rFonts w:hint="default"/>
                    </w:rPr>
                    <w:t>循环冷却水系统</w:t>
                  </w:r>
                </w:p>
              </w:tc>
              <w:tc>
                <w:tcPr>
                  <w:tcW w:w="1751" w:type="pct"/>
                  <w:tcBorders>
                    <w:tl2br w:val="nil"/>
                    <w:tr2bl w:val="nil"/>
                  </w:tcBorders>
                  <w:shd w:val="clear" w:color="auto" w:fill="auto"/>
                </w:tcPr>
                <w:p w14:paraId="3C65519C">
                  <w:pPr>
                    <w:pStyle w:val="26"/>
                    <w:keepNext w:val="0"/>
                    <w:keepLines w:val="0"/>
                    <w:suppressLineNumbers w:val="0"/>
                    <w:spacing w:before="0" w:beforeAutospacing="0" w:after="0" w:afterAutospacing="0"/>
                    <w:ind w:left="0" w:right="0"/>
                    <w:rPr>
                      <w:rFonts w:hint="default"/>
                    </w:rPr>
                  </w:pPr>
                  <w:r>
                    <w:rPr>
                      <w:rFonts w:hint="default"/>
                    </w:rPr>
                    <w:t>能力300m</w:t>
                  </w:r>
                  <w:r>
                    <w:rPr>
                      <w:rFonts w:hint="default"/>
                      <w:vertAlign w:val="superscript"/>
                    </w:rPr>
                    <w:t>3</w:t>
                  </w:r>
                  <w:r>
                    <w:rPr>
                      <w:rFonts w:hint="default"/>
                    </w:rPr>
                    <w:t>/h</w:t>
                  </w:r>
                </w:p>
              </w:tc>
              <w:tc>
                <w:tcPr>
                  <w:tcW w:w="519" w:type="pct"/>
                  <w:tcBorders>
                    <w:tl2br w:val="nil"/>
                    <w:tr2bl w:val="nil"/>
                  </w:tcBorders>
                  <w:shd w:val="clear" w:color="auto" w:fill="auto"/>
                </w:tcPr>
                <w:p w14:paraId="4D0C5EF0">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restart"/>
                  <w:tcBorders>
                    <w:tl2br w:val="nil"/>
                    <w:tr2bl w:val="nil"/>
                  </w:tcBorders>
                  <w:shd w:val="clear" w:color="auto" w:fill="auto"/>
                  <w:vAlign w:val="center"/>
                </w:tcPr>
                <w:p w14:paraId="2984050F">
                  <w:pPr>
                    <w:pStyle w:val="26"/>
                    <w:keepNext w:val="0"/>
                    <w:keepLines w:val="0"/>
                    <w:suppressLineNumbers w:val="0"/>
                    <w:spacing w:before="0" w:beforeAutospacing="0" w:after="0" w:afterAutospacing="0"/>
                    <w:ind w:left="0" w:right="0"/>
                    <w:rPr>
                      <w:rFonts w:hint="default"/>
                    </w:rPr>
                  </w:pPr>
                  <w:r>
                    <w:rPr>
                      <w:rFonts w:hint="default"/>
                    </w:rPr>
                    <w:t>公用工程</w:t>
                  </w:r>
                </w:p>
              </w:tc>
              <w:tc>
                <w:tcPr>
                  <w:tcW w:w="559" w:type="pct"/>
                  <w:tcBorders>
                    <w:tl2br w:val="nil"/>
                    <w:tr2bl w:val="nil"/>
                  </w:tcBorders>
                  <w:shd w:val="clear" w:color="auto" w:fill="auto"/>
                  <w:noWrap/>
                  <w:vAlign w:val="center"/>
                </w:tcPr>
                <w:p w14:paraId="1289AC19">
                  <w:pPr>
                    <w:pStyle w:val="26"/>
                    <w:keepNext w:val="0"/>
                    <w:keepLines w:val="0"/>
                    <w:suppressLineNumbers w:val="0"/>
                    <w:spacing w:before="0" w:beforeAutospacing="0" w:after="0" w:afterAutospacing="0"/>
                    <w:ind w:left="0" w:right="0"/>
                    <w:rPr>
                      <w:rFonts w:hint="default"/>
                    </w:rPr>
                  </w:pPr>
                  <w:r>
                    <w:rPr>
                      <w:rFonts w:hint="default"/>
                    </w:rPr>
                    <w:t>/</w:t>
                  </w:r>
                </w:p>
              </w:tc>
            </w:tr>
            <w:tr w14:paraId="6E511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50" w:type="pct"/>
                  <w:tcBorders>
                    <w:tl2br w:val="nil"/>
                    <w:tr2bl w:val="nil"/>
                  </w:tcBorders>
                  <w:shd w:val="clear" w:color="auto" w:fill="auto"/>
                  <w:noWrap/>
                  <w:vAlign w:val="center"/>
                </w:tcPr>
                <w:p w14:paraId="570012E0">
                  <w:pPr>
                    <w:pStyle w:val="28"/>
                    <w:keepNext w:val="0"/>
                    <w:keepLines w:val="0"/>
                    <w:suppressLineNumbers w:val="0"/>
                    <w:spacing w:before="0" w:beforeAutospacing="0" w:after="0" w:afterAutospacing="0"/>
                    <w:ind w:left="0" w:right="0"/>
                    <w:rPr>
                      <w:rFonts w:hint="default"/>
                      <w:color w:val="auto"/>
                    </w:rPr>
                  </w:pPr>
                  <w:r>
                    <w:rPr>
                      <w:rFonts w:hint="default"/>
                      <w:color w:val="auto"/>
                    </w:rPr>
                    <w:t>18</w:t>
                  </w:r>
                </w:p>
              </w:tc>
              <w:tc>
                <w:tcPr>
                  <w:tcW w:w="1262" w:type="pct"/>
                  <w:tcBorders>
                    <w:tl2br w:val="nil"/>
                    <w:tr2bl w:val="nil"/>
                  </w:tcBorders>
                  <w:shd w:val="clear" w:color="auto" w:fill="auto"/>
                </w:tcPr>
                <w:p w14:paraId="3975636A">
                  <w:pPr>
                    <w:pStyle w:val="26"/>
                    <w:keepNext w:val="0"/>
                    <w:keepLines w:val="0"/>
                    <w:suppressLineNumbers w:val="0"/>
                    <w:spacing w:before="0" w:beforeAutospacing="0" w:after="0" w:afterAutospacing="0"/>
                    <w:ind w:left="0" w:right="0"/>
                    <w:rPr>
                      <w:rFonts w:hint="default"/>
                    </w:rPr>
                  </w:pPr>
                  <w:r>
                    <w:rPr>
                      <w:rFonts w:hint="default"/>
                    </w:rPr>
                    <w:t>软水制备系统</w:t>
                  </w:r>
                </w:p>
              </w:tc>
              <w:tc>
                <w:tcPr>
                  <w:tcW w:w="1751" w:type="pct"/>
                  <w:tcBorders>
                    <w:tl2br w:val="nil"/>
                    <w:tr2bl w:val="nil"/>
                  </w:tcBorders>
                  <w:shd w:val="clear" w:color="auto" w:fill="auto"/>
                </w:tcPr>
                <w:p w14:paraId="34B31156">
                  <w:pPr>
                    <w:pStyle w:val="26"/>
                    <w:keepNext w:val="0"/>
                    <w:keepLines w:val="0"/>
                    <w:suppressLineNumbers w:val="0"/>
                    <w:spacing w:before="0" w:beforeAutospacing="0" w:after="0" w:afterAutospacing="0"/>
                    <w:ind w:left="0" w:right="0"/>
                    <w:rPr>
                      <w:rFonts w:hint="default"/>
                    </w:rPr>
                  </w:pPr>
                  <w:r>
                    <w:rPr>
                      <w:rFonts w:hint="default"/>
                    </w:rPr>
                    <w:t>能力7m</w:t>
                  </w:r>
                  <w:r>
                    <w:rPr>
                      <w:rFonts w:hint="default"/>
                      <w:vertAlign w:val="superscript"/>
                    </w:rPr>
                    <w:t>3</w:t>
                  </w:r>
                  <w:r>
                    <w:rPr>
                      <w:rFonts w:hint="default"/>
                    </w:rPr>
                    <w:t>/h</w:t>
                  </w:r>
                </w:p>
              </w:tc>
              <w:tc>
                <w:tcPr>
                  <w:tcW w:w="519" w:type="pct"/>
                  <w:tcBorders>
                    <w:tl2br w:val="nil"/>
                    <w:tr2bl w:val="nil"/>
                  </w:tcBorders>
                  <w:shd w:val="clear" w:color="auto" w:fill="auto"/>
                </w:tcPr>
                <w:p w14:paraId="451E91B8">
                  <w:pPr>
                    <w:pStyle w:val="26"/>
                    <w:keepNext w:val="0"/>
                    <w:keepLines w:val="0"/>
                    <w:suppressLineNumbers w:val="0"/>
                    <w:spacing w:before="0" w:beforeAutospacing="0" w:after="0" w:afterAutospacing="0"/>
                    <w:ind w:left="0" w:right="0"/>
                    <w:rPr>
                      <w:rFonts w:hint="default"/>
                    </w:rPr>
                  </w:pPr>
                  <w:r>
                    <w:rPr>
                      <w:rFonts w:hint="default"/>
                    </w:rPr>
                    <w:t>1</w:t>
                  </w:r>
                </w:p>
              </w:tc>
              <w:tc>
                <w:tcPr>
                  <w:tcW w:w="559" w:type="pct"/>
                  <w:vMerge w:val="continue"/>
                  <w:tcBorders>
                    <w:tl2br w:val="nil"/>
                    <w:tr2bl w:val="nil"/>
                  </w:tcBorders>
                  <w:shd w:val="clear" w:color="auto" w:fill="auto"/>
                  <w:vAlign w:val="center"/>
                </w:tcPr>
                <w:p w14:paraId="6F5964EA">
                  <w:pPr>
                    <w:pStyle w:val="26"/>
                    <w:keepNext w:val="0"/>
                    <w:keepLines w:val="0"/>
                    <w:suppressLineNumbers w:val="0"/>
                    <w:spacing w:before="0" w:beforeAutospacing="0" w:after="0" w:afterAutospacing="0"/>
                    <w:ind w:left="0" w:right="0"/>
                    <w:rPr>
                      <w:rFonts w:hint="default"/>
                    </w:rPr>
                  </w:pPr>
                </w:p>
              </w:tc>
              <w:tc>
                <w:tcPr>
                  <w:tcW w:w="559" w:type="pct"/>
                  <w:tcBorders>
                    <w:tl2br w:val="nil"/>
                    <w:tr2bl w:val="nil"/>
                  </w:tcBorders>
                  <w:shd w:val="clear" w:color="auto" w:fill="auto"/>
                  <w:noWrap/>
                  <w:vAlign w:val="center"/>
                </w:tcPr>
                <w:p w14:paraId="6EE12BA2">
                  <w:pPr>
                    <w:pStyle w:val="26"/>
                    <w:keepNext w:val="0"/>
                    <w:keepLines w:val="0"/>
                    <w:suppressLineNumbers w:val="0"/>
                    <w:spacing w:before="0" w:beforeAutospacing="0" w:after="0" w:afterAutospacing="0"/>
                    <w:ind w:left="0" w:right="0"/>
                    <w:rPr>
                      <w:rFonts w:hint="default"/>
                    </w:rPr>
                  </w:pPr>
                  <w:r>
                    <w:rPr>
                      <w:rFonts w:hint="default"/>
                    </w:rPr>
                    <w:t>/</w:t>
                  </w:r>
                </w:p>
              </w:tc>
            </w:tr>
            <w:tr w14:paraId="4DB53B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0" w:type="pct"/>
                  <w:tcBorders>
                    <w:tl2br w:val="nil"/>
                    <w:tr2bl w:val="nil"/>
                  </w:tcBorders>
                  <w:shd w:val="clear" w:color="auto" w:fill="auto"/>
                  <w:noWrap/>
                  <w:vAlign w:val="center"/>
                </w:tcPr>
                <w:p w14:paraId="514E6156">
                  <w:pPr>
                    <w:pStyle w:val="28"/>
                    <w:keepNext w:val="0"/>
                    <w:keepLines w:val="0"/>
                    <w:suppressLineNumbers w:val="0"/>
                    <w:spacing w:before="0" w:beforeAutospacing="0" w:after="0" w:afterAutospacing="0"/>
                    <w:ind w:left="0" w:right="0"/>
                    <w:rPr>
                      <w:rFonts w:hint="default"/>
                      <w:color w:val="auto"/>
                    </w:rPr>
                  </w:pPr>
                  <w:r>
                    <w:rPr>
                      <w:rFonts w:hint="default"/>
                      <w:color w:val="auto"/>
                    </w:rPr>
                    <w:t>19</w:t>
                  </w:r>
                </w:p>
              </w:tc>
              <w:tc>
                <w:tcPr>
                  <w:tcW w:w="1262" w:type="pct"/>
                  <w:tcBorders>
                    <w:tl2br w:val="nil"/>
                    <w:tr2bl w:val="nil"/>
                  </w:tcBorders>
                  <w:shd w:val="clear" w:color="auto" w:fill="auto"/>
                  <w:vAlign w:val="center"/>
                </w:tcPr>
                <w:p w14:paraId="71DD6270">
                  <w:pPr>
                    <w:pStyle w:val="26"/>
                    <w:keepNext w:val="0"/>
                    <w:keepLines w:val="0"/>
                    <w:suppressLineNumbers w:val="0"/>
                    <w:spacing w:before="0" w:beforeAutospacing="0" w:after="0" w:afterAutospacing="0"/>
                    <w:ind w:left="0" w:right="0"/>
                    <w:rPr>
                      <w:rFonts w:hint="default"/>
                    </w:rPr>
                  </w:pPr>
                  <w:r>
                    <w:rPr>
                      <w:rFonts w:hint="default"/>
                    </w:rPr>
                    <w:t>旋风水膜除尘器</w:t>
                  </w:r>
                </w:p>
              </w:tc>
              <w:tc>
                <w:tcPr>
                  <w:tcW w:w="1751" w:type="pct"/>
                  <w:tcBorders>
                    <w:tl2br w:val="nil"/>
                    <w:tr2bl w:val="nil"/>
                  </w:tcBorders>
                  <w:shd w:val="clear" w:color="auto" w:fill="auto"/>
                  <w:vAlign w:val="center"/>
                </w:tcPr>
                <w:p w14:paraId="4769985F">
                  <w:pPr>
                    <w:pStyle w:val="26"/>
                    <w:keepNext w:val="0"/>
                    <w:keepLines w:val="0"/>
                    <w:suppressLineNumbers w:val="0"/>
                    <w:spacing w:before="0" w:beforeAutospacing="0" w:after="0" w:afterAutospacing="0"/>
                    <w:ind w:left="0" w:right="0"/>
                    <w:rPr>
                      <w:rFonts w:hint="default"/>
                    </w:rPr>
                  </w:pPr>
                  <w:r>
                    <w:rPr>
                      <w:rFonts w:hint="default"/>
                    </w:rPr>
                    <w:t>配备1套风机</w:t>
                  </w:r>
                </w:p>
              </w:tc>
              <w:tc>
                <w:tcPr>
                  <w:tcW w:w="519" w:type="pct"/>
                  <w:tcBorders>
                    <w:tl2br w:val="nil"/>
                    <w:tr2bl w:val="nil"/>
                  </w:tcBorders>
                  <w:shd w:val="clear" w:color="auto" w:fill="auto"/>
                  <w:vAlign w:val="center"/>
                </w:tcPr>
                <w:p w14:paraId="38DAB8F2">
                  <w:pPr>
                    <w:pStyle w:val="26"/>
                    <w:keepNext w:val="0"/>
                    <w:keepLines w:val="0"/>
                    <w:suppressLineNumbers w:val="0"/>
                    <w:spacing w:before="0" w:beforeAutospacing="0" w:after="0" w:afterAutospacing="0"/>
                    <w:ind w:left="0" w:right="0"/>
                    <w:rPr>
                      <w:rFonts w:hint="default"/>
                    </w:rPr>
                  </w:pPr>
                  <w:r>
                    <w:rPr>
                      <w:rFonts w:hint="default"/>
                    </w:rPr>
                    <w:t>1套</w:t>
                  </w:r>
                </w:p>
              </w:tc>
              <w:tc>
                <w:tcPr>
                  <w:tcW w:w="559" w:type="pct"/>
                  <w:tcBorders>
                    <w:tl2br w:val="nil"/>
                    <w:tr2bl w:val="nil"/>
                  </w:tcBorders>
                  <w:shd w:val="clear" w:color="auto" w:fill="auto"/>
                  <w:noWrap/>
                  <w:vAlign w:val="center"/>
                </w:tcPr>
                <w:p w14:paraId="3414B70F">
                  <w:pPr>
                    <w:pStyle w:val="26"/>
                    <w:keepNext w:val="0"/>
                    <w:keepLines w:val="0"/>
                    <w:suppressLineNumbers w:val="0"/>
                    <w:spacing w:before="0" w:beforeAutospacing="0" w:after="0" w:afterAutospacing="0"/>
                    <w:ind w:left="0" w:right="0"/>
                    <w:rPr>
                      <w:rFonts w:hint="default"/>
                    </w:rPr>
                  </w:pPr>
                  <w:r>
                    <w:rPr>
                      <w:rFonts w:hint="default"/>
                    </w:rPr>
                    <w:t>环保设施</w:t>
                  </w:r>
                </w:p>
              </w:tc>
              <w:tc>
                <w:tcPr>
                  <w:tcW w:w="559" w:type="pct"/>
                  <w:tcBorders>
                    <w:tl2br w:val="nil"/>
                    <w:tr2bl w:val="nil"/>
                  </w:tcBorders>
                  <w:shd w:val="clear" w:color="auto" w:fill="auto"/>
                  <w:noWrap/>
                  <w:vAlign w:val="center"/>
                </w:tcPr>
                <w:p w14:paraId="14AAB96E">
                  <w:pPr>
                    <w:pStyle w:val="26"/>
                    <w:keepNext w:val="0"/>
                    <w:keepLines w:val="0"/>
                    <w:suppressLineNumbers w:val="0"/>
                    <w:spacing w:before="0" w:beforeAutospacing="0" w:after="0" w:afterAutospacing="0"/>
                    <w:ind w:left="0" w:right="0"/>
                    <w:rPr>
                      <w:rFonts w:hint="default"/>
                    </w:rPr>
                  </w:pPr>
                  <w:r>
                    <w:rPr>
                      <w:rFonts w:hint="default"/>
                    </w:rPr>
                    <w:t>/</w:t>
                  </w:r>
                </w:p>
              </w:tc>
            </w:tr>
          </w:tbl>
          <w:p w14:paraId="13083181">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2.1.8公用工程及设施</w:t>
            </w:r>
          </w:p>
          <w:p w14:paraId="707CA3A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1、供电</w:t>
            </w:r>
          </w:p>
          <w:p w14:paraId="2BC18B4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本项目用电为市政供电系统提供。</w:t>
            </w:r>
          </w:p>
          <w:p w14:paraId="2280A25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2、供水</w:t>
            </w:r>
          </w:p>
          <w:p w14:paraId="14EDD7B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本项目给水主要包括生产用水以及生活用水，市政管网供给。</w:t>
            </w:r>
          </w:p>
          <w:p w14:paraId="6C5F324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（1）生活用水</w:t>
            </w:r>
          </w:p>
          <w:p w14:paraId="0F52BA8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生活用水主要包括办公生活用水以及食堂用水。</w:t>
            </w:r>
          </w:p>
          <w:p w14:paraId="039FBC1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1）办公生活用水</w:t>
            </w:r>
          </w:p>
          <w:p w14:paraId="24FCB1E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项目劳动定员30人，根据《建筑给水排水设计标准》（GB50015-2019），用水定额为30-50L/人·d，本次评价按照最大值考虑，即本项目员工办公生活用水定额按50L/人·d计，则办公区生活用水量为1.5m</w:t>
            </w:r>
            <w:r>
              <w:rPr>
                <w:rFonts w:hint="default" w:cs="Times New Roman"/>
                <w:color w:val="auto"/>
                <w:vertAlign w:val="superscript"/>
              </w:rPr>
              <w:t>3</w:t>
            </w:r>
            <w:r>
              <w:rPr>
                <w:rFonts w:hint="default" w:cs="Times New Roman"/>
                <w:color w:val="auto"/>
              </w:rPr>
              <w:t>/d（501m</w:t>
            </w:r>
            <w:r>
              <w:rPr>
                <w:rFonts w:hint="default" w:cs="Times New Roman"/>
                <w:color w:val="auto"/>
                <w:vertAlign w:val="superscript"/>
              </w:rPr>
              <w:t>3</w:t>
            </w:r>
            <w:r>
              <w:rPr>
                <w:rFonts w:hint="default" w:cs="Times New Roman"/>
                <w:color w:val="auto"/>
              </w:rPr>
              <w:t>/a）。</w:t>
            </w:r>
          </w:p>
          <w:p w14:paraId="1CBD5CF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2）食堂用水</w:t>
            </w:r>
          </w:p>
          <w:p w14:paraId="3A1E5BA4">
            <w:pPr>
              <w:keepNext w:val="0"/>
              <w:keepLines w:val="0"/>
              <w:suppressLineNumbers w:val="0"/>
              <w:wordWrap w:val="0"/>
              <w:spacing w:before="0" w:beforeAutospacing="0" w:after="0" w:afterAutospacing="0"/>
              <w:ind w:left="0" w:right="0" w:firstLine="480"/>
              <w:rPr>
                <w:rFonts w:hint="default" w:cs="Times New Roman"/>
                <w:color w:val="auto"/>
              </w:rPr>
            </w:pPr>
            <w:r>
              <w:rPr>
                <w:rFonts w:hint="default" w:cs="Times New Roman"/>
                <w:color w:val="auto"/>
              </w:rPr>
              <w:t>本项目劳动定员30人。根据《建筑给水排水设计标准》（GB50015-2019），食堂用水定额20-25L/人·次，本项目食堂用水定额按25L/人·次计，则食堂用水量为0.75m</w:t>
            </w:r>
            <w:r>
              <w:rPr>
                <w:rFonts w:hint="default" w:cs="Times New Roman"/>
                <w:color w:val="auto"/>
                <w:vertAlign w:val="superscript"/>
              </w:rPr>
              <w:t>3</w:t>
            </w:r>
            <w:r>
              <w:rPr>
                <w:rFonts w:hint="default" w:cs="Times New Roman"/>
                <w:color w:val="auto"/>
              </w:rPr>
              <w:t>/d（250.5m</w:t>
            </w:r>
            <w:r>
              <w:rPr>
                <w:rFonts w:hint="default" w:cs="Times New Roman"/>
                <w:color w:val="auto"/>
                <w:vertAlign w:val="superscript"/>
              </w:rPr>
              <w:t>3</w:t>
            </w:r>
            <w:r>
              <w:rPr>
                <w:rFonts w:hint="default" w:cs="Times New Roman"/>
                <w:color w:val="auto"/>
              </w:rPr>
              <w:t>/a）。</w:t>
            </w:r>
          </w:p>
          <w:p w14:paraId="5277B00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（2）生产用水</w:t>
            </w:r>
          </w:p>
          <w:p w14:paraId="2D86002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生产用水主要为软水制备用水、滚筒造粒用水、循环水系统用水、水膜除尘用水、雾炮机用水等。</w:t>
            </w:r>
          </w:p>
          <w:p w14:paraId="5360D2E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1）软水制备用水</w:t>
            </w:r>
          </w:p>
          <w:p w14:paraId="4928961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本项目软水使用工序主要滚筒造粒用水和循环水系统用水。项目软水制备效率约为80%。</w:t>
            </w:r>
          </w:p>
          <w:p w14:paraId="7FC8CB90">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滚筒造粒用水</w:t>
            </w:r>
          </w:p>
          <w:p w14:paraId="42AD0B5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滚筒造粒采用软水通过高压雾状水进入造粒机，根据业主提供的工艺资料，造粒机软水需求量为0.12m</w:t>
            </w:r>
            <w:r>
              <w:rPr>
                <w:rFonts w:hint="default" w:cs="Times New Roman"/>
                <w:color w:val="auto"/>
                <w:vertAlign w:val="superscript"/>
              </w:rPr>
              <w:t>3</w:t>
            </w:r>
            <w:r>
              <w:rPr>
                <w:rFonts w:hint="default" w:cs="Times New Roman"/>
                <w:color w:val="auto"/>
              </w:rPr>
              <w:t>/h，用水量约为2.88m</w:t>
            </w:r>
            <w:r>
              <w:rPr>
                <w:rFonts w:hint="default" w:cs="Times New Roman"/>
                <w:color w:val="auto"/>
                <w:vertAlign w:val="superscript"/>
              </w:rPr>
              <w:t>3</w:t>
            </w:r>
            <w:r>
              <w:rPr>
                <w:rFonts w:hint="default" w:cs="Times New Roman"/>
                <w:color w:val="auto"/>
              </w:rPr>
              <w:t>/d（961.92m</w:t>
            </w:r>
            <w:r>
              <w:rPr>
                <w:rFonts w:hint="default" w:cs="Times New Roman"/>
                <w:color w:val="auto"/>
                <w:vertAlign w:val="superscript"/>
              </w:rPr>
              <w:t>3</w:t>
            </w:r>
            <w:r>
              <w:rPr>
                <w:rFonts w:hint="default" w:cs="Times New Roman"/>
                <w:color w:val="auto"/>
              </w:rPr>
              <w:t>/a）。</w:t>
            </w:r>
          </w:p>
          <w:p w14:paraId="3A57DB8B">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循环水系统用水</w:t>
            </w:r>
          </w:p>
          <w:p w14:paraId="2D24FCF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厂区新建1套能力300m</w:t>
            </w:r>
            <w:r>
              <w:rPr>
                <w:rFonts w:hint="default" w:cs="Times New Roman"/>
                <w:color w:val="auto"/>
                <w:vertAlign w:val="superscript"/>
              </w:rPr>
              <w:t>3</w:t>
            </w:r>
            <w:r>
              <w:rPr>
                <w:rFonts w:hint="default" w:cs="Times New Roman"/>
                <w:color w:val="auto"/>
              </w:rPr>
              <w:t>/h的循环水系统，采用间接接触冷却，补水采用软水，配套1座211m</w:t>
            </w:r>
            <w:r>
              <w:rPr>
                <w:rFonts w:hint="default" w:cs="Times New Roman"/>
                <w:color w:val="auto"/>
                <w:vertAlign w:val="superscript"/>
              </w:rPr>
              <w:t>3</w:t>
            </w:r>
            <w:r>
              <w:rPr>
                <w:rFonts w:hint="default" w:cs="Times New Roman"/>
                <w:color w:val="auto"/>
              </w:rPr>
              <w:t>的循环冷却水池（1#循环水池）。参考《工业循环冷却水处理设计规范》（GB/T50050-2017），温差为6℃，蒸发损失的量为循环水量的1%。拟建项目循环水量为300m</w:t>
            </w:r>
            <w:r>
              <w:rPr>
                <w:rFonts w:hint="default" w:cs="Times New Roman"/>
                <w:color w:val="auto"/>
                <w:vertAlign w:val="superscript"/>
              </w:rPr>
              <w:t>3</w:t>
            </w:r>
            <w:r>
              <w:rPr>
                <w:rFonts w:hint="default" w:cs="Times New Roman"/>
                <w:color w:val="auto"/>
              </w:rPr>
              <w:t>/h（2404800m</w:t>
            </w:r>
            <w:r>
              <w:rPr>
                <w:rFonts w:hint="default" w:cs="Times New Roman"/>
                <w:color w:val="auto"/>
                <w:vertAlign w:val="superscript"/>
              </w:rPr>
              <w:t>3</w:t>
            </w:r>
            <w:r>
              <w:rPr>
                <w:rFonts w:hint="default" w:cs="Times New Roman"/>
                <w:color w:val="auto"/>
              </w:rPr>
              <w:t>/a），则蒸发损耗量为24048m</w:t>
            </w:r>
            <w:r>
              <w:rPr>
                <w:rFonts w:hint="default" w:cs="Times New Roman"/>
                <w:color w:val="auto"/>
                <w:vertAlign w:val="superscript"/>
              </w:rPr>
              <w:t>3</w:t>
            </w:r>
            <w:r>
              <w:rPr>
                <w:rFonts w:hint="default" w:cs="Times New Roman"/>
                <w:color w:val="auto"/>
              </w:rPr>
              <w:t>/a，则1#循环水池补充水量为24048m</w:t>
            </w:r>
            <w:r>
              <w:rPr>
                <w:rFonts w:hint="default" w:cs="Times New Roman"/>
                <w:color w:val="auto"/>
                <w:vertAlign w:val="superscript"/>
              </w:rPr>
              <w:t>3</w:t>
            </w:r>
            <w:r>
              <w:rPr>
                <w:rFonts w:hint="default" w:cs="Times New Roman"/>
                <w:color w:val="auto"/>
              </w:rPr>
              <w:t>/a。</w:t>
            </w:r>
          </w:p>
          <w:p w14:paraId="612F3F6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另工业级硫磺生产时采用湿法造粒工艺，其直接接触的冷却循环水采用换热器与厂区循环水系统间接换热后，直接接触硫磺的冷却水去2#循环水池循环使用，2#循环水池为1座390m</w:t>
            </w:r>
            <w:r>
              <w:rPr>
                <w:rFonts w:hint="default" w:cs="Times New Roman"/>
                <w:color w:val="auto"/>
                <w:vertAlign w:val="superscript"/>
              </w:rPr>
              <w:t>3</w:t>
            </w:r>
            <w:r>
              <w:rPr>
                <w:rFonts w:hint="default" w:cs="Times New Roman"/>
                <w:color w:val="auto"/>
              </w:rPr>
              <w:t>的循环冷却水池。根据业主提供的工艺资料，补水采用软水，2#循环水池补水量为2m</w:t>
            </w:r>
            <w:r>
              <w:rPr>
                <w:rFonts w:hint="default" w:cs="Times New Roman"/>
                <w:color w:val="auto"/>
                <w:vertAlign w:val="superscript"/>
              </w:rPr>
              <w:t>3</w:t>
            </w:r>
            <w:r>
              <w:rPr>
                <w:rFonts w:hint="default" w:cs="Times New Roman"/>
                <w:color w:val="auto"/>
              </w:rPr>
              <w:t>/h，用水量约为48</w:t>
            </w:r>
            <w:bookmarkStart w:id="75" w:name="OLE_LINK1"/>
            <w:r>
              <w:rPr>
                <w:rFonts w:hint="default" w:cs="Times New Roman"/>
                <w:color w:val="auto"/>
              </w:rPr>
              <w:t>m</w:t>
            </w:r>
            <w:r>
              <w:rPr>
                <w:rFonts w:hint="default" w:cs="Times New Roman"/>
                <w:color w:val="auto"/>
                <w:vertAlign w:val="superscript"/>
              </w:rPr>
              <w:t>3</w:t>
            </w:r>
            <w:r>
              <w:rPr>
                <w:rFonts w:hint="default" w:cs="Times New Roman"/>
                <w:color w:val="auto"/>
              </w:rPr>
              <w:t>/d（16032m</w:t>
            </w:r>
            <w:r>
              <w:rPr>
                <w:rFonts w:hint="default" w:cs="Times New Roman"/>
                <w:color w:val="auto"/>
                <w:vertAlign w:val="superscript"/>
              </w:rPr>
              <w:t>3</w:t>
            </w:r>
            <w:r>
              <w:rPr>
                <w:rFonts w:hint="default" w:cs="Times New Roman"/>
                <w:color w:val="auto"/>
              </w:rPr>
              <w:t>/a）</w:t>
            </w:r>
            <w:bookmarkEnd w:id="75"/>
            <w:r>
              <w:rPr>
                <w:rFonts w:hint="default" w:cs="Times New Roman"/>
                <w:color w:val="auto"/>
              </w:rPr>
              <w:t>。该循环水不排放，定期打捞底部沉淀做危险废物。</w:t>
            </w:r>
          </w:p>
          <w:p w14:paraId="3B8F45F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综上，软水需求量为153.6m</w:t>
            </w:r>
            <w:r>
              <w:rPr>
                <w:rFonts w:hint="default" w:cs="Times New Roman"/>
                <w:color w:val="auto"/>
                <w:vertAlign w:val="superscript"/>
              </w:rPr>
              <w:t>3</w:t>
            </w:r>
            <w:r>
              <w:rPr>
                <w:rFonts w:hint="default" w:cs="Times New Roman"/>
                <w:color w:val="auto"/>
              </w:rPr>
              <w:t>/d（51302.4m</w:t>
            </w:r>
            <w:r>
              <w:rPr>
                <w:rFonts w:hint="default" w:cs="Times New Roman"/>
                <w:color w:val="auto"/>
                <w:vertAlign w:val="superscript"/>
              </w:rPr>
              <w:t>3</w:t>
            </w:r>
            <w:r>
              <w:rPr>
                <w:rFonts w:hint="default" w:cs="Times New Roman"/>
                <w:color w:val="auto"/>
              </w:rPr>
              <w:t>/a）。</w:t>
            </w:r>
          </w:p>
          <w:p w14:paraId="73285A2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2）水膜除尘用水</w:t>
            </w:r>
          </w:p>
          <w:p w14:paraId="5B98576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项目废气处理系统需定期进行补水，本项目设置1套旋风水膜除尘器。其中水膜使用10%wt的氢氧化钠溶液，循环水塔总储水量为6m</w:t>
            </w:r>
            <w:r>
              <w:rPr>
                <w:rFonts w:hint="default" w:cs="Times New Roman"/>
                <w:color w:val="auto"/>
                <w:vertAlign w:val="superscript"/>
              </w:rPr>
              <w:t>3</w:t>
            </w:r>
            <w:r>
              <w:rPr>
                <w:rFonts w:hint="default" w:cs="Times New Roman"/>
                <w:color w:val="auto"/>
              </w:rPr>
              <w:t>，循环水量为4m</w:t>
            </w:r>
            <w:r>
              <w:rPr>
                <w:rFonts w:hint="default" w:cs="Times New Roman"/>
                <w:color w:val="auto"/>
                <w:vertAlign w:val="superscript"/>
              </w:rPr>
              <w:t>3</w:t>
            </w:r>
            <w:r>
              <w:rPr>
                <w:rFonts w:hint="default" w:cs="Times New Roman"/>
                <w:color w:val="auto"/>
              </w:rPr>
              <w:t>/h。水膜循环水塔水循环使用有一定的蒸发损失量，其补充量约占循环水量的2%，则水膜循环水塔蒸发补充用水量为1.92m</w:t>
            </w:r>
            <w:r>
              <w:rPr>
                <w:rFonts w:hint="default" w:cs="Times New Roman"/>
                <w:color w:val="auto"/>
                <w:vertAlign w:val="superscript"/>
              </w:rPr>
              <w:t>3</w:t>
            </w:r>
            <w:r>
              <w:rPr>
                <w:rFonts w:hint="default" w:cs="Times New Roman"/>
                <w:color w:val="auto"/>
              </w:rPr>
              <w:t>/d（641.28m</w:t>
            </w:r>
            <w:r>
              <w:rPr>
                <w:rFonts w:hint="default" w:cs="Times New Roman"/>
                <w:color w:val="auto"/>
                <w:vertAlign w:val="superscript"/>
              </w:rPr>
              <w:t>3</w:t>
            </w:r>
            <w:r>
              <w:rPr>
                <w:rFonts w:hint="default" w:cs="Times New Roman"/>
                <w:color w:val="auto"/>
              </w:rPr>
              <w:t>/a），其中0.6</w:t>
            </w:r>
            <w:bookmarkStart w:id="76" w:name="OLE_LINK17"/>
            <w:bookmarkStart w:id="77" w:name="OLE_LINK18"/>
            <w:r>
              <w:rPr>
                <w:rFonts w:hint="default" w:cs="Times New Roman"/>
                <w:color w:val="auto"/>
              </w:rPr>
              <w:t>m</w:t>
            </w:r>
            <w:r>
              <w:rPr>
                <w:rFonts w:hint="default" w:cs="Times New Roman"/>
                <w:color w:val="auto"/>
                <w:vertAlign w:val="superscript"/>
              </w:rPr>
              <w:t>3</w:t>
            </w:r>
            <w:r>
              <w:rPr>
                <w:rFonts w:hint="default" w:cs="Times New Roman"/>
                <w:color w:val="auto"/>
              </w:rPr>
              <w:t>/d</w:t>
            </w:r>
            <w:bookmarkEnd w:id="76"/>
            <w:bookmarkEnd w:id="77"/>
            <w:r>
              <w:rPr>
                <w:rFonts w:hint="default" w:cs="Times New Roman"/>
                <w:color w:val="auto"/>
              </w:rPr>
              <w:t>的32%氢氧化钠溶液和1.32m</w:t>
            </w:r>
            <w:r>
              <w:rPr>
                <w:rFonts w:hint="default" w:cs="Times New Roman"/>
                <w:color w:val="auto"/>
                <w:vertAlign w:val="superscript"/>
              </w:rPr>
              <w:t>3</w:t>
            </w:r>
            <w:r>
              <w:rPr>
                <w:rFonts w:hint="default" w:cs="Times New Roman"/>
                <w:color w:val="auto"/>
              </w:rPr>
              <w:t>/d的水。</w:t>
            </w:r>
          </w:p>
          <w:p w14:paraId="4C4AB7D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3）雾炮机用水</w:t>
            </w:r>
          </w:p>
          <w:p w14:paraId="032A2B6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项目料仓无组织粉尘采用雾炮机降尘处理，本项目设置1台雾炮机，雾炮机喷雾流量约为5m</w:t>
            </w:r>
            <w:r>
              <w:rPr>
                <w:rFonts w:hint="default" w:cs="Times New Roman"/>
                <w:color w:val="auto"/>
                <w:vertAlign w:val="superscript"/>
              </w:rPr>
              <w:t>3</w:t>
            </w:r>
            <w:r>
              <w:rPr>
                <w:rFonts w:hint="default" w:cs="Times New Roman"/>
                <w:color w:val="auto"/>
              </w:rPr>
              <w:t>/h，则雾炮机用水量为120m</w:t>
            </w:r>
            <w:r>
              <w:rPr>
                <w:rFonts w:hint="default" w:cs="Times New Roman"/>
                <w:color w:val="auto"/>
                <w:vertAlign w:val="superscript"/>
              </w:rPr>
              <w:t>3</w:t>
            </w:r>
            <w:r>
              <w:rPr>
                <w:rFonts w:hint="default" w:cs="Times New Roman"/>
                <w:color w:val="auto"/>
              </w:rPr>
              <w:t>/d（40080m</w:t>
            </w:r>
            <w:r>
              <w:rPr>
                <w:rFonts w:hint="default" w:cs="Times New Roman"/>
                <w:color w:val="auto"/>
                <w:vertAlign w:val="superscript"/>
              </w:rPr>
              <w:t>3</w:t>
            </w:r>
            <w:r>
              <w:rPr>
                <w:rFonts w:hint="default" w:cs="Times New Roman"/>
                <w:color w:val="auto"/>
              </w:rPr>
              <w:t>/a）。</w:t>
            </w:r>
          </w:p>
          <w:p w14:paraId="0052B29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综上，本项目共需新鲜水量为277.17m</w:t>
            </w:r>
            <w:r>
              <w:rPr>
                <w:rFonts w:hint="default" w:cs="Times New Roman"/>
                <w:color w:val="auto"/>
                <w:vertAlign w:val="superscript"/>
              </w:rPr>
              <w:t>3</w:t>
            </w:r>
            <w:r>
              <w:rPr>
                <w:rFonts w:hint="default" w:cs="Times New Roman"/>
                <w:color w:val="auto"/>
              </w:rPr>
              <w:t>/d。</w:t>
            </w:r>
          </w:p>
          <w:p w14:paraId="6CF15F2F">
            <w:pPr>
              <w:pStyle w:val="34"/>
              <w:keepNext w:val="0"/>
              <w:keepLines w:val="0"/>
              <w:suppressLineNumbers w:val="0"/>
              <w:spacing w:before="0" w:beforeAutospacing="0" w:after="0" w:afterAutospacing="0"/>
              <w:ind w:left="0" w:right="0"/>
              <w:rPr>
                <w:rFonts w:hint="default"/>
                <w:color w:val="auto"/>
              </w:rPr>
            </w:pPr>
            <w:r>
              <w:rPr>
                <w:rFonts w:hint="default"/>
                <w:color w:val="auto"/>
              </w:rPr>
              <w:t>项目用水量统计</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8"/>
              <w:gridCol w:w="829"/>
              <w:gridCol w:w="1779"/>
              <w:gridCol w:w="1120"/>
              <w:gridCol w:w="693"/>
              <w:gridCol w:w="826"/>
              <w:gridCol w:w="1106"/>
              <w:gridCol w:w="787"/>
            </w:tblGrid>
            <w:tr w14:paraId="657EB8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2131" w:type="pct"/>
                  <w:gridSpan w:val="3"/>
                  <w:vMerge w:val="restart"/>
                  <w:tcBorders>
                    <w:tl2br w:val="nil"/>
                    <w:tr2bl w:val="nil"/>
                  </w:tcBorders>
                  <w:shd w:val="clear" w:color="auto" w:fill="auto"/>
                  <w:vAlign w:val="center"/>
                </w:tcPr>
                <w:p w14:paraId="2BC20555">
                  <w:pPr>
                    <w:pStyle w:val="26"/>
                    <w:keepNext w:val="0"/>
                    <w:keepLines w:val="0"/>
                    <w:suppressLineNumbers w:val="0"/>
                    <w:spacing w:before="0" w:beforeAutospacing="0" w:after="0" w:afterAutospacing="0"/>
                    <w:ind w:left="0" w:right="0"/>
                    <w:rPr>
                      <w:rFonts w:hint="default"/>
                    </w:rPr>
                  </w:pPr>
                  <w:r>
                    <w:rPr>
                      <w:rFonts w:hint="default"/>
                    </w:rPr>
                    <w:t>用水环节</w:t>
                  </w:r>
                </w:p>
              </w:tc>
              <w:tc>
                <w:tcPr>
                  <w:tcW w:w="709" w:type="pct"/>
                  <w:vMerge w:val="restart"/>
                  <w:tcBorders>
                    <w:tl2br w:val="nil"/>
                    <w:tr2bl w:val="nil"/>
                  </w:tcBorders>
                  <w:shd w:val="clear" w:color="auto" w:fill="auto"/>
                  <w:vAlign w:val="center"/>
                </w:tcPr>
                <w:p w14:paraId="5C45AEB7">
                  <w:pPr>
                    <w:pStyle w:val="26"/>
                    <w:keepNext w:val="0"/>
                    <w:keepLines w:val="0"/>
                    <w:suppressLineNumbers w:val="0"/>
                    <w:spacing w:before="0" w:beforeAutospacing="0" w:after="0" w:afterAutospacing="0"/>
                    <w:ind w:left="0" w:right="0"/>
                    <w:rPr>
                      <w:rFonts w:hint="default"/>
                    </w:rPr>
                  </w:pPr>
                  <w:r>
                    <w:rPr>
                      <w:rFonts w:hint="default"/>
                    </w:rPr>
                    <w:t>用水定额</w:t>
                  </w:r>
                </w:p>
              </w:tc>
              <w:tc>
                <w:tcPr>
                  <w:tcW w:w="439" w:type="pct"/>
                  <w:vMerge w:val="restart"/>
                  <w:tcBorders>
                    <w:tl2br w:val="nil"/>
                    <w:tr2bl w:val="nil"/>
                  </w:tcBorders>
                  <w:shd w:val="clear" w:color="auto" w:fill="auto"/>
                  <w:vAlign w:val="center"/>
                </w:tcPr>
                <w:p w14:paraId="6F7FBF2C">
                  <w:pPr>
                    <w:pStyle w:val="26"/>
                    <w:keepNext w:val="0"/>
                    <w:keepLines w:val="0"/>
                    <w:suppressLineNumbers w:val="0"/>
                    <w:spacing w:before="0" w:beforeAutospacing="0" w:after="0" w:afterAutospacing="0"/>
                    <w:ind w:left="0" w:right="0"/>
                    <w:rPr>
                      <w:rFonts w:hint="default"/>
                    </w:rPr>
                  </w:pPr>
                  <w:r>
                    <w:rPr>
                      <w:rFonts w:hint="default"/>
                    </w:rPr>
                    <w:t>数量</w:t>
                  </w:r>
                </w:p>
              </w:tc>
              <w:tc>
                <w:tcPr>
                  <w:tcW w:w="1721" w:type="pct"/>
                  <w:gridSpan w:val="3"/>
                  <w:tcBorders>
                    <w:tl2br w:val="nil"/>
                    <w:tr2bl w:val="nil"/>
                  </w:tcBorders>
                  <w:shd w:val="clear" w:color="auto" w:fill="auto"/>
                  <w:vAlign w:val="center"/>
                </w:tcPr>
                <w:p w14:paraId="5584BB2E">
                  <w:pPr>
                    <w:pStyle w:val="26"/>
                    <w:keepNext w:val="0"/>
                    <w:keepLines w:val="0"/>
                    <w:suppressLineNumbers w:val="0"/>
                    <w:spacing w:before="0" w:beforeAutospacing="0" w:after="0" w:afterAutospacing="0"/>
                    <w:ind w:left="0" w:right="0"/>
                    <w:rPr>
                      <w:rFonts w:hint="default"/>
                    </w:rPr>
                  </w:pPr>
                  <w:r>
                    <w:rPr>
                      <w:rFonts w:hint="default"/>
                    </w:rPr>
                    <w:t>用水量（m</w:t>
                  </w:r>
                  <w:r>
                    <w:rPr>
                      <w:rFonts w:hint="default"/>
                      <w:vertAlign w:val="superscript"/>
                    </w:rPr>
                    <w:t>3</w:t>
                  </w:r>
                  <w:r>
                    <w:rPr>
                      <w:rFonts w:hint="default"/>
                    </w:rPr>
                    <w:t>/d）</w:t>
                  </w:r>
                </w:p>
              </w:tc>
            </w:tr>
            <w:tr w14:paraId="08962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2131" w:type="pct"/>
                  <w:gridSpan w:val="3"/>
                  <w:vMerge w:val="continue"/>
                  <w:tcBorders>
                    <w:tl2br w:val="nil"/>
                    <w:tr2bl w:val="nil"/>
                  </w:tcBorders>
                  <w:shd w:val="clear" w:color="auto" w:fill="auto"/>
                  <w:vAlign w:val="center"/>
                </w:tcPr>
                <w:p w14:paraId="6E288C8A">
                  <w:pPr>
                    <w:pStyle w:val="26"/>
                    <w:keepNext w:val="0"/>
                    <w:keepLines w:val="0"/>
                    <w:suppressLineNumbers w:val="0"/>
                    <w:spacing w:before="0" w:beforeAutospacing="0" w:after="0" w:afterAutospacing="0"/>
                    <w:ind w:left="0" w:right="0"/>
                    <w:rPr>
                      <w:rFonts w:hint="default"/>
                    </w:rPr>
                  </w:pPr>
                </w:p>
              </w:tc>
              <w:tc>
                <w:tcPr>
                  <w:tcW w:w="709" w:type="pct"/>
                  <w:vMerge w:val="continue"/>
                  <w:tcBorders>
                    <w:tl2br w:val="nil"/>
                    <w:tr2bl w:val="nil"/>
                  </w:tcBorders>
                  <w:shd w:val="clear" w:color="auto" w:fill="auto"/>
                  <w:vAlign w:val="center"/>
                </w:tcPr>
                <w:p w14:paraId="3C3EFA38">
                  <w:pPr>
                    <w:pStyle w:val="26"/>
                    <w:keepNext w:val="0"/>
                    <w:keepLines w:val="0"/>
                    <w:suppressLineNumbers w:val="0"/>
                    <w:spacing w:before="0" w:beforeAutospacing="0" w:after="0" w:afterAutospacing="0"/>
                    <w:ind w:left="0" w:right="0"/>
                    <w:rPr>
                      <w:rFonts w:hint="default"/>
                    </w:rPr>
                  </w:pPr>
                </w:p>
              </w:tc>
              <w:tc>
                <w:tcPr>
                  <w:tcW w:w="439" w:type="pct"/>
                  <w:vMerge w:val="continue"/>
                  <w:tcBorders>
                    <w:tl2br w:val="nil"/>
                    <w:tr2bl w:val="nil"/>
                  </w:tcBorders>
                  <w:shd w:val="clear" w:color="auto" w:fill="auto"/>
                  <w:vAlign w:val="center"/>
                </w:tcPr>
                <w:p w14:paraId="132BF6E9">
                  <w:pPr>
                    <w:pStyle w:val="26"/>
                    <w:keepNext w:val="0"/>
                    <w:keepLines w:val="0"/>
                    <w:suppressLineNumbers w:val="0"/>
                    <w:spacing w:before="0" w:beforeAutospacing="0" w:after="0" w:afterAutospacing="0"/>
                    <w:ind w:left="0" w:right="0"/>
                    <w:rPr>
                      <w:rFonts w:hint="default"/>
                    </w:rPr>
                  </w:pPr>
                </w:p>
              </w:tc>
              <w:tc>
                <w:tcPr>
                  <w:tcW w:w="523" w:type="pct"/>
                  <w:tcBorders>
                    <w:tl2br w:val="nil"/>
                    <w:tr2bl w:val="nil"/>
                  </w:tcBorders>
                  <w:shd w:val="clear" w:color="auto" w:fill="auto"/>
                  <w:vAlign w:val="center"/>
                </w:tcPr>
                <w:p w14:paraId="75701991">
                  <w:pPr>
                    <w:pStyle w:val="26"/>
                    <w:keepNext w:val="0"/>
                    <w:keepLines w:val="0"/>
                    <w:suppressLineNumbers w:val="0"/>
                    <w:spacing w:before="0" w:beforeAutospacing="0" w:after="0" w:afterAutospacing="0"/>
                    <w:ind w:left="0" w:right="0"/>
                    <w:rPr>
                      <w:rFonts w:hint="default"/>
                    </w:rPr>
                  </w:pPr>
                  <w:r>
                    <w:rPr>
                      <w:rFonts w:hint="default"/>
                    </w:rPr>
                    <w:t>新鲜水</w:t>
                  </w:r>
                </w:p>
              </w:tc>
              <w:tc>
                <w:tcPr>
                  <w:tcW w:w="700" w:type="pct"/>
                  <w:tcBorders>
                    <w:tl2br w:val="nil"/>
                    <w:tr2bl w:val="nil"/>
                  </w:tcBorders>
                  <w:shd w:val="clear" w:color="auto" w:fill="auto"/>
                  <w:vAlign w:val="center"/>
                </w:tcPr>
                <w:p w14:paraId="432CD46F">
                  <w:pPr>
                    <w:pStyle w:val="26"/>
                    <w:keepNext w:val="0"/>
                    <w:keepLines w:val="0"/>
                    <w:suppressLineNumbers w:val="0"/>
                    <w:spacing w:before="0" w:beforeAutospacing="0" w:after="0" w:afterAutospacing="0"/>
                    <w:ind w:left="0" w:right="0"/>
                    <w:rPr>
                      <w:rFonts w:hint="default"/>
                    </w:rPr>
                  </w:pPr>
                  <w:r>
                    <w:rPr>
                      <w:rFonts w:hint="default"/>
                    </w:rPr>
                    <w:t>软水</w:t>
                  </w:r>
                </w:p>
              </w:tc>
              <w:tc>
                <w:tcPr>
                  <w:tcW w:w="498" w:type="pct"/>
                  <w:tcBorders>
                    <w:tl2br w:val="nil"/>
                    <w:tr2bl w:val="nil"/>
                  </w:tcBorders>
                  <w:shd w:val="clear" w:color="auto" w:fill="auto"/>
                  <w:vAlign w:val="center"/>
                </w:tcPr>
                <w:p w14:paraId="1A8E7D97">
                  <w:pPr>
                    <w:pStyle w:val="26"/>
                    <w:keepNext w:val="0"/>
                    <w:keepLines w:val="0"/>
                    <w:suppressLineNumbers w:val="0"/>
                    <w:spacing w:before="0" w:beforeAutospacing="0" w:after="0" w:afterAutospacing="0"/>
                    <w:ind w:left="0" w:right="0"/>
                    <w:rPr>
                      <w:rFonts w:hint="default"/>
                    </w:rPr>
                  </w:pPr>
                  <w:r>
                    <w:rPr>
                      <w:rFonts w:hint="default"/>
                    </w:rPr>
                    <w:t>回用水</w:t>
                  </w:r>
                </w:p>
              </w:tc>
            </w:tr>
            <w:tr w14:paraId="00685A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480" w:type="pct"/>
                  <w:vMerge w:val="restart"/>
                  <w:tcBorders>
                    <w:tl2br w:val="nil"/>
                    <w:tr2bl w:val="nil"/>
                  </w:tcBorders>
                  <w:shd w:val="clear" w:color="auto" w:fill="auto"/>
                  <w:noWrap/>
                  <w:vAlign w:val="center"/>
                </w:tcPr>
                <w:p w14:paraId="58D06FB9">
                  <w:pPr>
                    <w:pStyle w:val="26"/>
                    <w:keepNext w:val="0"/>
                    <w:keepLines w:val="0"/>
                    <w:suppressLineNumbers w:val="0"/>
                    <w:spacing w:before="0" w:beforeAutospacing="0" w:after="0" w:afterAutospacing="0"/>
                    <w:ind w:left="0" w:right="0"/>
                    <w:rPr>
                      <w:rFonts w:hint="default"/>
                    </w:rPr>
                  </w:pPr>
                  <w:r>
                    <w:rPr>
                      <w:rFonts w:hint="default"/>
                    </w:rPr>
                    <w:t>生活</w:t>
                  </w:r>
                </w:p>
                <w:p w14:paraId="2E16631E">
                  <w:pPr>
                    <w:pStyle w:val="26"/>
                    <w:keepNext w:val="0"/>
                    <w:keepLines w:val="0"/>
                    <w:suppressLineNumbers w:val="0"/>
                    <w:spacing w:before="0" w:beforeAutospacing="0" w:after="0" w:afterAutospacing="0"/>
                    <w:ind w:left="0" w:right="0"/>
                    <w:rPr>
                      <w:rFonts w:hint="default"/>
                    </w:rPr>
                  </w:pPr>
                  <w:r>
                    <w:rPr>
                      <w:rFonts w:hint="default"/>
                    </w:rPr>
                    <w:t>用水</w:t>
                  </w:r>
                </w:p>
              </w:tc>
              <w:tc>
                <w:tcPr>
                  <w:tcW w:w="1651" w:type="pct"/>
                  <w:gridSpan w:val="2"/>
                  <w:tcBorders>
                    <w:tl2br w:val="nil"/>
                    <w:tr2bl w:val="nil"/>
                  </w:tcBorders>
                  <w:shd w:val="clear" w:color="auto" w:fill="auto"/>
                  <w:vAlign w:val="center"/>
                </w:tcPr>
                <w:p w14:paraId="28410AD6">
                  <w:pPr>
                    <w:pStyle w:val="26"/>
                    <w:keepNext w:val="0"/>
                    <w:keepLines w:val="0"/>
                    <w:suppressLineNumbers w:val="0"/>
                    <w:spacing w:before="0" w:beforeAutospacing="0" w:after="0" w:afterAutospacing="0"/>
                    <w:ind w:left="0" w:right="0"/>
                    <w:rPr>
                      <w:rFonts w:hint="default"/>
                    </w:rPr>
                  </w:pPr>
                  <w:r>
                    <w:rPr>
                      <w:rFonts w:hint="default"/>
                    </w:rPr>
                    <w:t>办公生活用水</w:t>
                  </w:r>
                </w:p>
              </w:tc>
              <w:tc>
                <w:tcPr>
                  <w:tcW w:w="709" w:type="pct"/>
                  <w:tcBorders>
                    <w:tl2br w:val="nil"/>
                    <w:tr2bl w:val="nil"/>
                  </w:tcBorders>
                  <w:shd w:val="clear" w:color="auto" w:fill="auto"/>
                  <w:vAlign w:val="center"/>
                </w:tcPr>
                <w:p w14:paraId="521F5688">
                  <w:pPr>
                    <w:pStyle w:val="26"/>
                    <w:keepNext w:val="0"/>
                    <w:keepLines w:val="0"/>
                    <w:suppressLineNumbers w:val="0"/>
                    <w:spacing w:before="0" w:beforeAutospacing="0" w:after="0" w:afterAutospacing="0"/>
                    <w:ind w:left="0" w:right="0"/>
                    <w:rPr>
                      <w:rFonts w:hint="default"/>
                    </w:rPr>
                  </w:pPr>
                  <w:r>
                    <w:rPr>
                      <w:rFonts w:hint="default"/>
                    </w:rPr>
                    <w:t>50L/人.d</w:t>
                  </w:r>
                </w:p>
              </w:tc>
              <w:tc>
                <w:tcPr>
                  <w:tcW w:w="439" w:type="pct"/>
                  <w:tcBorders>
                    <w:tl2br w:val="nil"/>
                    <w:tr2bl w:val="nil"/>
                  </w:tcBorders>
                  <w:shd w:val="clear" w:color="auto" w:fill="auto"/>
                  <w:vAlign w:val="center"/>
                </w:tcPr>
                <w:p w14:paraId="7B96F6BD">
                  <w:pPr>
                    <w:pStyle w:val="26"/>
                    <w:keepNext w:val="0"/>
                    <w:keepLines w:val="0"/>
                    <w:suppressLineNumbers w:val="0"/>
                    <w:spacing w:before="0" w:beforeAutospacing="0" w:after="0" w:afterAutospacing="0"/>
                    <w:ind w:left="0" w:right="0"/>
                    <w:rPr>
                      <w:rFonts w:hint="default"/>
                    </w:rPr>
                  </w:pPr>
                  <w:r>
                    <w:rPr>
                      <w:rFonts w:hint="default"/>
                    </w:rPr>
                    <w:t>30人</w:t>
                  </w:r>
                </w:p>
              </w:tc>
              <w:tc>
                <w:tcPr>
                  <w:tcW w:w="523" w:type="pct"/>
                  <w:tcBorders>
                    <w:tl2br w:val="nil"/>
                    <w:tr2bl w:val="nil"/>
                  </w:tcBorders>
                  <w:shd w:val="clear" w:color="auto" w:fill="auto"/>
                  <w:vAlign w:val="center"/>
                </w:tcPr>
                <w:p w14:paraId="2169753A">
                  <w:pPr>
                    <w:pStyle w:val="26"/>
                    <w:keepNext w:val="0"/>
                    <w:keepLines w:val="0"/>
                    <w:suppressLineNumbers w:val="0"/>
                    <w:spacing w:before="0" w:beforeAutospacing="0" w:after="0" w:afterAutospacing="0"/>
                    <w:ind w:left="0" w:right="0"/>
                    <w:rPr>
                      <w:rFonts w:hint="default"/>
                    </w:rPr>
                  </w:pPr>
                  <w:r>
                    <w:rPr>
                      <w:rFonts w:hint="default"/>
                    </w:rPr>
                    <w:t>1.5</w:t>
                  </w:r>
                </w:p>
              </w:tc>
              <w:tc>
                <w:tcPr>
                  <w:tcW w:w="700" w:type="pct"/>
                  <w:tcBorders>
                    <w:tl2br w:val="nil"/>
                    <w:tr2bl w:val="nil"/>
                  </w:tcBorders>
                  <w:shd w:val="clear" w:color="auto" w:fill="auto"/>
                  <w:vAlign w:val="center"/>
                </w:tcPr>
                <w:p w14:paraId="2E455B82">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44C14D10">
                  <w:pPr>
                    <w:pStyle w:val="26"/>
                    <w:keepNext w:val="0"/>
                    <w:keepLines w:val="0"/>
                    <w:suppressLineNumbers w:val="0"/>
                    <w:spacing w:before="0" w:beforeAutospacing="0" w:after="0" w:afterAutospacing="0"/>
                    <w:ind w:left="0" w:right="0"/>
                    <w:rPr>
                      <w:rFonts w:hint="default"/>
                    </w:rPr>
                  </w:pPr>
                  <w:r>
                    <w:rPr>
                      <w:rFonts w:hint="default"/>
                    </w:rPr>
                    <w:t>/</w:t>
                  </w:r>
                </w:p>
              </w:tc>
            </w:tr>
            <w:tr w14:paraId="23EAD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27EC02EA">
                  <w:pPr>
                    <w:pStyle w:val="26"/>
                    <w:keepNext w:val="0"/>
                    <w:keepLines w:val="0"/>
                    <w:suppressLineNumbers w:val="0"/>
                    <w:spacing w:before="0" w:beforeAutospacing="0" w:after="0" w:afterAutospacing="0"/>
                    <w:ind w:left="0" w:right="0"/>
                    <w:rPr>
                      <w:rFonts w:hint="default"/>
                    </w:rPr>
                  </w:pPr>
                </w:p>
              </w:tc>
              <w:tc>
                <w:tcPr>
                  <w:tcW w:w="1651" w:type="pct"/>
                  <w:gridSpan w:val="2"/>
                  <w:tcBorders>
                    <w:tl2br w:val="nil"/>
                    <w:tr2bl w:val="nil"/>
                  </w:tcBorders>
                  <w:shd w:val="clear" w:color="auto" w:fill="auto"/>
                  <w:vAlign w:val="center"/>
                </w:tcPr>
                <w:p w14:paraId="11A7B08E">
                  <w:pPr>
                    <w:pStyle w:val="26"/>
                    <w:keepNext w:val="0"/>
                    <w:keepLines w:val="0"/>
                    <w:suppressLineNumbers w:val="0"/>
                    <w:spacing w:before="0" w:beforeAutospacing="0" w:after="0" w:afterAutospacing="0"/>
                    <w:ind w:left="0" w:right="0"/>
                    <w:rPr>
                      <w:rFonts w:hint="default"/>
                    </w:rPr>
                  </w:pPr>
                  <w:r>
                    <w:rPr>
                      <w:rFonts w:hint="default"/>
                    </w:rPr>
                    <w:t>食堂用水</w:t>
                  </w:r>
                </w:p>
              </w:tc>
              <w:tc>
                <w:tcPr>
                  <w:tcW w:w="709" w:type="pct"/>
                  <w:tcBorders>
                    <w:tl2br w:val="nil"/>
                    <w:tr2bl w:val="nil"/>
                  </w:tcBorders>
                  <w:shd w:val="clear" w:color="auto" w:fill="auto"/>
                  <w:vAlign w:val="center"/>
                </w:tcPr>
                <w:p w14:paraId="234ED686">
                  <w:pPr>
                    <w:pStyle w:val="26"/>
                    <w:keepNext w:val="0"/>
                    <w:keepLines w:val="0"/>
                    <w:suppressLineNumbers w:val="0"/>
                    <w:spacing w:before="0" w:beforeAutospacing="0" w:after="0" w:afterAutospacing="0"/>
                    <w:ind w:left="0" w:right="0"/>
                    <w:rPr>
                      <w:rFonts w:hint="default"/>
                    </w:rPr>
                  </w:pPr>
                  <w:r>
                    <w:rPr>
                      <w:rFonts w:hint="default"/>
                    </w:rPr>
                    <w:t>25L/人.次</w:t>
                  </w:r>
                </w:p>
              </w:tc>
              <w:tc>
                <w:tcPr>
                  <w:tcW w:w="439" w:type="pct"/>
                  <w:tcBorders>
                    <w:tl2br w:val="nil"/>
                    <w:tr2bl w:val="nil"/>
                  </w:tcBorders>
                  <w:shd w:val="clear" w:color="auto" w:fill="auto"/>
                  <w:vAlign w:val="center"/>
                </w:tcPr>
                <w:p w14:paraId="0714F602">
                  <w:pPr>
                    <w:pStyle w:val="26"/>
                    <w:keepNext w:val="0"/>
                    <w:keepLines w:val="0"/>
                    <w:suppressLineNumbers w:val="0"/>
                    <w:spacing w:before="0" w:beforeAutospacing="0" w:after="0" w:afterAutospacing="0"/>
                    <w:ind w:left="0" w:right="0"/>
                    <w:rPr>
                      <w:rFonts w:hint="default"/>
                    </w:rPr>
                  </w:pPr>
                  <w:r>
                    <w:rPr>
                      <w:rFonts w:hint="default"/>
                    </w:rPr>
                    <w:t>30人</w:t>
                  </w:r>
                </w:p>
              </w:tc>
              <w:tc>
                <w:tcPr>
                  <w:tcW w:w="523" w:type="pct"/>
                  <w:tcBorders>
                    <w:tl2br w:val="nil"/>
                    <w:tr2bl w:val="nil"/>
                  </w:tcBorders>
                  <w:shd w:val="clear" w:color="auto" w:fill="auto"/>
                  <w:vAlign w:val="center"/>
                </w:tcPr>
                <w:p w14:paraId="5B9EF98E">
                  <w:pPr>
                    <w:pStyle w:val="26"/>
                    <w:keepNext w:val="0"/>
                    <w:keepLines w:val="0"/>
                    <w:suppressLineNumbers w:val="0"/>
                    <w:spacing w:before="0" w:beforeAutospacing="0" w:after="0" w:afterAutospacing="0"/>
                    <w:ind w:left="0" w:right="0"/>
                    <w:rPr>
                      <w:rFonts w:hint="default"/>
                    </w:rPr>
                  </w:pPr>
                  <w:r>
                    <w:rPr>
                      <w:rFonts w:hint="default"/>
                    </w:rPr>
                    <w:t>0.75</w:t>
                  </w:r>
                </w:p>
              </w:tc>
              <w:tc>
                <w:tcPr>
                  <w:tcW w:w="700" w:type="pct"/>
                  <w:tcBorders>
                    <w:tl2br w:val="nil"/>
                    <w:tr2bl w:val="nil"/>
                  </w:tcBorders>
                  <w:shd w:val="clear" w:color="auto" w:fill="auto"/>
                  <w:vAlign w:val="center"/>
                </w:tcPr>
                <w:p w14:paraId="7895F50D">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3FB54A9E">
                  <w:pPr>
                    <w:pStyle w:val="26"/>
                    <w:keepNext w:val="0"/>
                    <w:keepLines w:val="0"/>
                    <w:suppressLineNumbers w:val="0"/>
                    <w:spacing w:before="0" w:beforeAutospacing="0" w:after="0" w:afterAutospacing="0"/>
                    <w:ind w:left="0" w:right="0"/>
                    <w:rPr>
                      <w:rFonts w:hint="default"/>
                    </w:rPr>
                  </w:pPr>
                  <w:r>
                    <w:rPr>
                      <w:rFonts w:hint="default"/>
                    </w:rPr>
                    <w:t>/</w:t>
                  </w:r>
                </w:p>
              </w:tc>
            </w:tr>
            <w:tr w14:paraId="08D0E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restart"/>
                  <w:tcBorders>
                    <w:tl2br w:val="nil"/>
                    <w:tr2bl w:val="nil"/>
                  </w:tcBorders>
                  <w:shd w:val="clear" w:color="auto" w:fill="auto"/>
                  <w:noWrap/>
                  <w:vAlign w:val="center"/>
                </w:tcPr>
                <w:p w14:paraId="34C6CCF7">
                  <w:pPr>
                    <w:pStyle w:val="26"/>
                    <w:keepNext w:val="0"/>
                    <w:keepLines w:val="0"/>
                    <w:suppressLineNumbers w:val="0"/>
                    <w:spacing w:before="0" w:beforeAutospacing="0" w:after="0" w:afterAutospacing="0"/>
                    <w:ind w:left="0" w:right="0"/>
                    <w:rPr>
                      <w:rFonts w:hint="default"/>
                    </w:rPr>
                  </w:pPr>
                  <w:r>
                    <w:rPr>
                      <w:rFonts w:hint="default"/>
                    </w:rPr>
                    <w:t>生产</w:t>
                  </w:r>
                </w:p>
                <w:p w14:paraId="42D91EDA">
                  <w:pPr>
                    <w:pStyle w:val="26"/>
                    <w:keepNext w:val="0"/>
                    <w:keepLines w:val="0"/>
                    <w:suppressLineNumbers w:val="0"/>
                    <w:spacing w:before="0" w:beforeAutospacing="0" w:after="0" w:afterAutospacing="0"/>
                    <w:ind w:left="0" w:right="0"/>
                    <w:rPr>
                      <w:rFonts w:hint="default"/>
                    </w:rPr>
                  </w:pPr>
                  <w:r>
                    <w:rPr>
                      <w:rFonts w:hint="default"/>
                    </w:rPr>
                    <w:t>用水</w:t>
                  </w:r>
                </w:p>
              </w:tc>
              <w:tc>
                <w:tcPr>
                  <w:tcW w:w="1651" w:type="pct"/>
                  <w:gridSpan w:val="2"/>
                  <w:tcBorders>
                    <w:tl2br w:val="nil"/>
                    <w:tr2bl w:val="nil"/>
                  </w:tcBorders>
                  <w:shd w:val="clear" w:color="auto" w:fill="auto"/>
                  <w:vAlign w:val="center"/>
                </w:tcPr>
                <w:p w14:paraId="52F1E053">
                  <w:pPr>
                    <w:pStyle w:val="26"/>
                    <w:keepNext w:val="0"/>
                    <w:keepLines w:val="0"/>
                    <w:suppressLineNumbers w:val="0"/>
                    <w:spacing w:before="0" w:beforeAutospacing="0" w:after="0" w:afterAutospacing="0"/>
                    <w:ind w:left="0" w:right="0"/>
                    <w:rPr>
                      <w:rFonts w:hint="default"/>
                    </w:rPr>
                  </w:pPr>
                  <w:r>
                    <w:rPr>
                      <w:rFonts w:hint="default"/>
                    </w:rPr>
                    <w:t>软水制备</w:t>
                  </w:r>
                </w:p>
              </w:tc>
              <w:tc>
                <w:tcPr>
                  <w:tcW w:w="709" w:type="pct"/>
                  <w:tcBorders>
                    <w:tl2br w:val="nil"/>
                    <w:tr2bl w:val="nil"/>
                  </w:tcBorders>
                  <w:shd w:val="clear" w:color="auto" w:fill="auto"/>
                  <w:vAlign w:val="center"/>
                </w:tcPr>
                <w:p w14:paraId="62391F9E">
                  <w:pPr>
                    <w:pStyle w:val="26"/>
                    <w:keepNext w:val="0"/>
                    <w:keepLines w:val="0"/>
                    <w:suppressLineNumbers w:val="0"/>
                    <w:spacing w:before="0" w:beforeAutospacing="0" w:after="0" w:afterAutospacing="0"/>
                    <w:ind w:left="0" w:right="0"/>
                    <w:rPr>
                      <w:rFonts w:hint="default"/>
                    </w:rPr>
                  </w:pPr>
                  <w:r>
                    <w:rPr>
                      <w:rFonts w:hint="default"/>
                    </w:rPr>
                    <w:t>/</w:t>
                  </w:r>
                </w:p>
              </w:tc>
              <w:tc>
                <w:tcPr>
                  <w:tcW w:w="439" w:type="pct"/>
                  <w:tcBorders>
                    <w:tl2br w:val="nil"/>
                    <w:tr2bl w:val="nil"/>
                  </w:tcBorders>
                  <w:shd w:val="clear" w:color="auto" w:fill="auto"/>
                  <w:vAlign w:val="center"/>
                </w:tcPr>
                <w:p w14:paraId="292CD6FA">
                  <w:pPr>
                    <w:pStyle w:val="26"/>
                    <w:keepNext w:val="0"/>
                    <w:keepLines w:val="0"/>
                    <w:suppressLineNumbers w:val="0"/>
                    <w:spacing w:before="0" w:beforeAutospacing="0" w:after="0" w:afterAutospacing="0"/>
                    <w:ind w:left="0" w:right="0"/>
                    <w:rPr>
                      <w:rFonts w:hint="default"/>
                    </w:rPr>
                  </w:pPr>
                  <w:r>
                    <w:rPr>
                      <w:rFonts w:hint="default"/>
                    </w:rPr>
                    <w:t>/</w:t>
                  </w:r>
                </w:p>
              </w:tc>
              <w:tc>
                <w:tcPr>
                  <w:tcW w:w="523" w:type="pct"/>
                  <w:tcBorders>
                    <w:tl2br w:val="nil"/>
                    <w:tr2bl w:val="nil"/>
                  </w:tcBorders>
                  <w:shd w:val="clear" w:color="auto" w:fill="auto"/>
                  <w:vAlign w:val="center"/>
                </w:tcPr>
                <w:p w14:paraId="5FB1FE66">
                  <w:pPr>
                    <w:pStyle w:val="26"/>
                    <w:keepNext w:val="0"/>
                    <w:keepLines w:val="0"/>
                    <w:suppressLineNumbers w:val="0"/>
                    <w:spacing w:before="0" w:beforeAutospacing="0" w:after="0" w:afterAutospacing="0"/>
                    <w:ind w:left="0" w:right="0"/>
                    <w:rPr>
                      <w:rFonts w:hint="default"/>
                    </w:rPr>
                  </w:pPr>
                  <w:r>
                    <w:rPr>
                      <w:rFonts w:hint="default"/>
                    </w:rPr>
                    <w:t>153.6</w:t>
                  </w:r>
                </w:p>
              </w:tc>
              <w:tc>
                <w:tcPr>
                  <w:tcW w:w="700" w:type="pct"/>
                  <w:tcBorders>
                    <w:tl2br w:val="nil"/>
                    <w:tr2bl w:val="nil"/>
                  </w:tcBorders>
                  <w:shd w:val="clear" w:color="auto" w:fill="auto"/>
                  <w:vAlign w:val="center"/>
                </w:tcPr>
                <w:p w14:paraId="6A6DD233">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34AD9053">
                  <w:pPr>
                    <w:pStyle w:val="26"/>
                    <w:keepNext w:val="0"/>
                    <w:keepLines w:val="0"/>
                    <w:suppressLineNumbers w:val="0"/>
                    <w:spacing w:before="0" w:beforeAutospacing="0" w:after="0" w:afterAutospacing="0"/>
                    <w:ind w:left="0" w:right="0"/>
                    <w:rPr>
                      <w:rFonts w:hint="default"/>
                    </w:rPr>
                  </w:pPr>
                  <w:r>
                    <w:rPr>
                      <w:rFonts w:hint="default"/>
                    </w:rPr>
                    <w:t>/</w:t>
                  </w:r>
                </w:p>
              </w:tc>
            </w:tr>
            <w:tr w14:paraId="3FE2A2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0F164FB7">
                  <w:pPr>
                    <w:pStyle w:val="26"/>
                    <w:keepNext w:val="0"/>
                    <w:keepLines w:val="0"/>
                    <w:suppressLineNumbers w:val="0"/>
                    <w:spacing w:before="0" w:beforeAutospacing="0" w:after="0" w:afterAutospacing="0"/>
                    <w:ind w:left="0" w:right="0"/>
                    <w:rPr>
                      <w:rFonts w:hint="default"/>
                    </w:rPr>
                  </w:pPr>
                </w:p>
              </w:tc>
              <w:tc>
                <w:tcPr>
                  <w:tcW w:w="525" w:type="pct"/>
                  <w:vMerge w:val="restart"/>
                  <w:tcBorders>
                    <w:tl2br w:val="nil"/>
                    <w:tr2bl w:val="nil"/>
                  </w:tcBorders>
                  <w:shd w:val="clear" w:color="auto" w:fill="auto"/>
                  <w:vAlign w:val="center"/>
                </w:tcPr>
                <w:p w14:paraId="71DC9480">
                  <w:pPr>
                    <w:pStyle w:val="26"/>
                    <w:keepNext w:val="0"/>
                    <w:keepLines w:val="0"/>
                    <w:suppressLineNumbers w:val="0"/>
                    <w:spacing w:before="0" w:beforeAutospacing="0" w:after="0" w:afterAutospacing="0"/>
                    <w:ind w:left="0" w:right="0"/>
                    <w:rPr>
                      <w:rFonts w:hint="default"/>
                    </w:rPr>
                  </w:pPr>
                  <w:r>
                    <w:rPr>
                      <w:rFonts w:hint="default"/>
                    </w:rPr>
                    <w:t>软水</w:t>
                  </w:r>
                </w:p>
              </w:tc>
              <w:tc>
                <w:tcPr>
                  <w:tcW w:w="1126" w:type="pct"/>
                  <w:tcBorders>
                    <w:tl2br w:val="nil"/>
                    <w:tr2bl w:val="nil"/>
                  </w:tcBorders>
                  <w:shd w:val="clear" w:color="auto" w:fill="auto"/>
                  <w:vAlign w:val="center"/>
                </w:tcPr>
                <w:p w14:paraId="7DCA5BCC">
                  <w:pPr>
                    <w:pStyle w:val="26"/>
                    <w:keepNext w:val="0"/>
                    <w:keepLines w:val="0"/>
                    <w:suppressLineNumbers w:val="0"/>
                    <w:spacing w:before="0" w:beforeAutospacing="0" w:after="0" w:afterAutospacing="0"/>
                    <w:ind w:left="0" w:right="0"/>
                    <w:rPr>
                      <w:rFonts w:hint="default"/>
                    </w:rPr>
                  </w:pPr>
                  <w:r>
                    <w:rPr>
                      <w:rFonts w:hint="default"/>
                    </w:rPr>
                    <w:t>滚筒造粒用水</w:t>
                  </w:r>
                </w:p>
              </w:tc>
              <w:tc>
                <w:tcPr>
                  <w:tcW w:w="709" w:type="pct"/>
                  <w:tcBorders>
                    <w:tl2br w:val="nil"/>
                    <w:tr2bl w:val="nil"/>
                  </w:tcBorders>
                  <w:shd w:val="clear" w:color="auto" w:fill="auto"/>
                  <w:vAlign w:val="center"/>
                </w:tcPr>
                <w:p w14:paraId="0AE42C72">
                  <w:pPr>
                    <w:pStyle w:val="26"/>
                    <w:keepNext w:val="0"/>
                    <w:keepLines w:val="0"/>
                    <w:suppressLineNumbers w:val="0"/>
                    <w:spacing w:before="0" w:beforeAutospacing="0" w:after="0" w:afterAutospacing="0"/>
                    <w:ind w:left="0" w:right="0"/>
                    <w:rPr>
                      <w:rFonts w:hint="default"/>
                    </w:rPr>
                  </w:pPr>
                  <w:r>
                    <w:rPr>
                      <w:rFonts w:hint="default"/>
                    </w:rPr>
                    <w:t>0.12m</w:t>
                  </w:r>
                  <w:r>
                    <w:rPr>
                      <w:rFonts w:hint="default"/>
                      <w:vertAlign w:val="superscript"/>
                    </w:rPr>
                    <w:t>3</w:t>
                  </w:r>
                  <w:r>
                    <w:rPr>
                      <w:rFonts w:hint="default"/>
                    </w:rPr>
                    <w:t>/h</w:t>
                  </w:r>
                </w:p>
              </w:tc>
              <w:tc>
                <w:tcPr>
                  <w:tcW w:w="439" w:type="pct"/>
                  <w:tcBorders>
                    <w:tl2br w:val="nil"/>
                    <w:tr2bl w:val="nil"/>
                  </w:tcBorders>
                  <w:shd w:val="clear" w:color="auto" w:fill="auto"/>
                  <w:vAlign w:val="center"/>
                </w:tcPr>
                <w:p w14:paraId="1ADE3204">
                  <w:pPr>
                    <w:pStyle w:val="26"/>
                    <w:keepNext w:val="0"/>
                    <w:keepLines w:val="0"/>
                    <w:suppressLineNumbers w:val="0"/>
                    <w:spacing w:before="0" w:beforeAutospacing="0" w:after="0" w:afterAutospacing="0"/>
                    <w:ind w:left="0" w:right="0"/>
                    <w:rPr>
                      <w:rFonts w:hint="default"/>
                    </w:rPr>
                  </w:pPr>
                  <w:r>
                    <w:rPr>
                      <w:rFonts w:hint="default"/>
                    </w:rPr>
                    <w:t>/</w:t>
                  </w:r>
                </w:p>
              </w:tc>
              <w:tc>
                <w:tcPr>
                  <w:tcW w:w="523" w:type="pct"/>
                  <w:tcBorders>
                    <w:tl2br w:val="nil"/>
                    <w:tr2bl w:val="nil"/>
                  </w:tcBorders>
                  <w:shd w:val="clear" w:color="auto" w:fill="auto"/>
                  <w:vAlign w:val="center"/>
                </w:tcPr>
                <w:p w14:paraId="2C952232">
                  <w:pPr>
                    <w:pStyle w:val="26"/>
                    <w:keepNext w:val="0"/>
                    <w:keepLines w:val="0"/>
                    <w:suppressLineNumbers w:val="0"/>
                    <w:spacing w:before="0" w:beforeAutospacing="0" w:after="0" w:afterAutospacing="0"/>
                    <w:ind w:left="0" w:right="0"/>
                    <w:rPr>
                      <w:rFonts w:hint="default"/>
                    </w:rPr>
                  </w:pPr>
                  <w:r>
                    <w:rPr>
                      <w:rFonts w:hint="default"/>
                    </w:rPr>
                    <w:t>/</w:t>
                  </w:r>
                </w:p>
              </w:tc>
              <w:tc>
                <w:tcPr>
                  <w:tcW w:w="700" w:type="pct"/>
                  <w:tcBorders>
                    <w:tl2br w:val="nil"/>
                    <w:tr2bl w:val="nil"/>
                  </w:tcBorders>
                  <w:shd w:val="clear" w:color="auto" w:fill="auto"/>
                  <w:vAlign w:val="center"/>
                </w:tcPr>
                <w:p w14:paraId="7B7E533D">
                  <w:pPr>
                    <w:pStyle w:val="26"/>
                    <w:keepNext w:val="0"/>
                    <w:keepLines w:val="0"/>
                    <w:suppressLineNumbers w:val="0"/>
                    <w:spacing w:before="0" w:beforeAutospacing="0" w:after="0" w:afterAutospacing="0"/>
                    <w:ind w:left="0" w:right="0"/>
                    <w:rPr>
                      <w:rFonts w:hint="default"/>
                    </w:rPr>
                  </w:pPr>
                  <w:r>
                    <w:rPr>
                      <w:rFonts w:hint="default"/>
                    </w:rPr>
                    <w:t>2.88</w:t>
                  </w:r>
                </w:p>
              </w:tc>
              <w:tc>
                <w:tcPr>
                  <w:tcW w:w="498" w:type="pct"/>
                  <w:tcBorders>
                    <w:tl2br w:val="nil"/>
                    <w:tr2bl w:val="nil"/>
                  </w:tcBorders>
                  <w:shd w:val="clear" w:color="auto" w:fill="auto"/>
                  <w:vAlign w:val="center"/>
                </w:tcPr>
                <w:p w14:paraId="5C9D7CFB">
                  <w:pPr>
                    <w:pStyle w:val="26"/>
                    <w:keepNext w:val="0"/>
                    <w:keepLines w:val="0"/>
                    <w:suppressLineNumbers w:val="0"/>
                    <w:spacing w:before="0" w:beforeAutospacing="0" w:after="0" w:afterAutospacing="0"/>
                    <w:ind w:left="0" w:right="0"/>
                    <w:rPr>
                      <w:rFonts w:hint="default"/>
                    </w:rPr>
                  </w:pPr>
                  <w:r>
                    <w:rPr>
                      <w:rFonts w:hint="default"/>
                    </w:rPr>
                    <w:t>/</w:t>
                  </w:r>
                </w:p>
              </w:tc>
            </w:tr>
            <w:tr w14:paraId="5D4C9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480" w:type="pct"/>
                  <w:vMerge w:val="continue"/>
                  <w:tcBorders>
                    <w:tl2br w:val="nil"/>
                    <w:tr2bl w:val="nil"/>
                  </w:tcBorders>
                  <w:shd w:val="clear" w:color="auto" w:fill="auto"/>
                  <w:noWrap/>
                  <w:vAlign w:val="center"/>
                </w:tcPr>
                <w:p w14:paraId="2755A51F">
                  <w:pPr>
                    <w:pStyle w:val="26"/>
                    <w:keepNext w:val="0"/>
                    <w:keepLines w:val="0"/>
                    <w:suppressLineNumbers w:val="0"/>
                    <w:spacing w:before="0" w:beforeAutospacing="0" w:after="0" w:afterAutospacing="0"/>
                    <w:ind w:left="0" w:right="0"/>
                    <w:rPr>
                      <w:rFonts w:hint="default"/>
                    </w:rPr>
                  </w:pPr>
                </w:p>
              </w:tc>
              <w:tc>
                <w:tcPr>
                  <w:tcW w:w="525" w:type="pct"/>
                  <w:vMerge w:val="continue"/>
                  <w:tcBorders>
                    <w:tl2br w:val="nil"/>
                    <w:tr2bl w:val="nil"/>
                  </w:tcBorders>
                  <w:shd w:val="clear" w:color="auto" w:fill="auto"/>
                  <w:vAlign w:val="center"/>
                </w:tcPr>
                <w:p w14:paraId="4DA9647C">
                  <w:pPr>
                    <w:pStyle w:val="26"/>
                    <w:keepNext w:val="0"/>
                    <w:keepLines w:val="0"/>
                    <w:suppressLineNumbers w:val="0"/>
                    <w:spacing w:before="0" w:beforeAutospacing="0" w:after="0" w:afterAutospacing="0"/>
                    <w:ind w:left="0" w:right="0"/>
                    <w:rPr>
                      <w:rFonts w:hint="default"/>
                    </w:rPr>
                  </w:pPr>
                </w:p>
              </w:tc>
              <w:tc>
                <w:tcPr>
                  <w:tcW w:w="1126" w:type="pct"/>
                  <w:tcBorders>
                    <w:tl2br w:val="nil"/>
                    <w:tr2bl w:val="nil"/>
                  </w:tcBorders>
                  <w:shd w:val="clear" w:color="auto" w:fill="auto"/>
                  <w:vAlign w:val="center"/>
                </w:tcPr>
                <w:p w14:paraId="53E5A45E">
                  <w:pPr>
                    <w:pStyle w:val="26"/>
                    <w:keepNext w:val="0"/>
                    <w:keepLines w:val="0"/>
                    <w:suppressLineNumbers w:val="0"/>
                    <w:spacing w:before="0" w:beforeAutospacing="0" w:after="0" w:afterAutospacing="0"/>
                    <w:ind w:left="0" w:right="0"/>
                    <w:rPr>
                      <w:rFonts w:hint="default"/>
                    </w:rPr>
                  </w:pPr>
                  <w:r>
                    <w:rPr>
                      <w:rFonts w:hint="default"/>
                    </w:rPr>
                    <w:t>1#循环水池补水水</w:t>
                  </w:r>
                </w:p>
              </w:tc>
              <w:tc>
                <w:tcPr>
                  <w:tcW w:w="709" w:type="pct"/>
                  <w:tcBorders>
                    <w:tl2br w:val="nil"/>
                    <w:tr2bl w:val="nil"/>
                  </w:tcBorders>
                  <w:shd w:val="clear" w:color="auto" w:fill="auto"/>
                  <w:vAlign w:val="center"/>
                </w:tcPr>
                <w:p w14:paraId="1DA11BBE">
                  <w:pPr>
                    <w:pStyle w:val="26"/>
                    <w:keepNext w:val="0"/>
                    <w:keepLines w:val="0"/>
                    <w:suppressLineNumbers w:val="0"/>
                    <w:spacing w:before="0" w:beforeAutospacing="0" w:after="0" w:afterAutospacing="0"/>
                    <w:ind w:left="0" w:right="0"/>
                    <w:rPr>
                      <w:rFonts w:hint="default"/>
                    </w:rPr>
                  </w:pPr>
                  <w:r>
                    <w:rPr>
                      <w:rFonts w:hint="default"/>
                    </w:rPr>
                    <w:t>3m</w:t>
                  </w:r>
                  <w:r>
                    <w:rPr>
                      <w:rFonts w:hint="default"/>
                      <w:vertAlign w:val="superscript"/>
                    </w:rPr>
                    <w:t>3</w:t>
                  </w:r>
                  <w:r>
                    <w:rPr>
                      <w:rFonts w:hint="default"/>
                    </w:rPr>
                    <w:t>/h</w:t>
                  </w:r>
                </w:p>
              </w:tc>
              <w:tc>
                <w:tcPr>
                  <w:tcW w:w="439" w:type="pct"/>
                  <w:tcBorders>
                    <w:tl2br w:val="nil"/>
                    <w:tr2bl w:val="nil"/>
                  </w:tcBorders>
                  <w:shd w:val="clear" w:color="auto" w:fill="auto"/>
                  <w:vAlign w:val="center"/>
                </w:tcPr>
                <w:p w14:paraId="49EA5460">
                  <w:pPr>
                    <w:pStyle w:val="26"/>
                    <w:keepNext w:val="0"/>
                    <w:keepLines w:val="0"/>
                    <w:suppressLineNumbers w:val="0"/>
                    <w:spacing w:before="0" w:beforeAutospacing="0" w:after="0" w:afterAutospacing="0"/>
                    <w:ind w:left="0" w:right="0"/>
                    <w:rPr>
                      <w:rFonts w:hint="default"/>
                    </w:rPr>
                  </w:pPr>
                  <w:r>
                    <w:rPr>
                      <w:rFonts w:hint="default"/>
                    </w:rPr>
                    <w:t>1台</w:t>
                  </w:r>
                </w:p>
              </w:tc>
              <w:tc>
                <w:tcPr>
                  <w:tcW w:w="523" w:type="pct"/>
                  <w:tcBorders>
                    <w:tl2br w:val="nil"/>
                    <w:tr2bl w:val="nil"/>
                  </w:tcBorders>
                  <w:shd w:val="clear" w:color="auto" w:fill="auto"/>
                  <w:vAlign w:val="center"/>
                </w:tcPr>
                <w:p w14:paraId="02D09CCE">
                  <w:pPr>
                    <w:pStyle w:val="26"/>
                    <w:keepNext w:val="0"/>
                    <w:keepLines w:val="0"/>
                    <w:suppressLineNumbers w:val="0"/>
                    <w:spacing w:before="0" w:beforeAutospacing="0" w:after="0" w:afterAutospacing="0"/>
                    <w:ind w:left="0" w:right="0"/>
                    <w:rPr>
                      <w:rFonts w:hint="default"/>
                    </w:rPr>
                  </w:pPr>
                  <w:r>
                    <w:rPr>
                      <w:rFonts w:hint="default"/>
                    </w:rPr>
                    <w:t>/</w:t>
                  </w:r>
                </w:p>
              </w:tc>
              <w:tc>
                <w:tcPr>
                  <w:tcW w:w="700" w:type="pct"/>
                  <w:tcBorders>
                    <w:tl2br w:val="nil"/>
                    <w:tr2bl w:val="nil"/>
                  </w:tcBorders>
                  <w:shd w:val="clear" w:color="auto" w:fill="auto"/>
                  <w:vAlign w:val="center"/>
                </w:tcPr>
                <w:p w14:paraId="511CDEFF">
                  <w:pPr>
                    <w:pStyle w:val="26"/>
                    <w:keepNext w:val="0"/>
                    <w:keepLines w:val="0"/>
                    <w:suppressLineNumbers w:val="0"/>
                    <w:spacing w:before="0" w:beforeAutospacing="0" w:after="0" w:afterAutospacing="0"/>
                    <w:ind w:left="0" w:right="0"/>
                    <w:rPr>
                      <w:rFonts w:hint="default"/>
                    </w:rPr>
                  </w:pPr>
                  <w:r>
                    <w:rPr>
                      <w:rFonts w:hint="default"/>
                    </w:rPr>
                    <w:t>72</w:t>
                  </w:r>
                </w:p>
              </w:tc>
              <w:tc>
                <w:tcPr>
                  <w:tcW w:w="498" w:type="pct"/>
                  <w:tcBorders>
                    <w:tl2br w:val="nil"/>
                    <w:tr2bl w:val="nil"/>
                  </w:tcBorders>
                  <w:shd w:val="clear" w:color="auto" w:fill="auto"/>
                  <w:vAlign w:val="center"/>
                </w:tcPr>
                <w:p w14:paraId="2FEEB64A">
                  <w:pPr>
                    <w:pStyle w:val="26"/>
                    <w:keepNext w:val="0"/>
                    <w:keepLines w:val="0"/>
                    <w:suppressLineNumbers w:val="0"/>
                    <w:spacing w:before="0" w:beforeAutospacing="0" w:after="0" w:afterAutospacing="0"/>
                    <w:ind w:left="0" w:right="0"/>
                    <w:rPr>
                      <w:rFonts w:hint="default"/>
                    </w:rPr>
                  </w:pPr>
                  <w:r>
                    <w:rPr>
                      <w:rFonts w:hint="default"/>
                    </w:rPr>
                    <w:t>7200</w:t>
                  </w:r>
                </w:p>
              </w:tc>
            </w:tr>
            <w:tr w14:paraId="1A3F4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1112BA41">
                  <w:pPr>
                    <w:pStyle w:val="26"/>
                    <w:keepNext w:val="0"/>
                    <w:keepLines w:val="0"/>
                    <w:suppressLineNumbers w:val="0"/>
                    <w:spacing w:before="0" w:beforeAutospacing="0" w:after="0" w:afterAutospacing="0"/>
                    <w:ind w:left="0" w:right="0"/>
                    <w:rPr>
                      <w:rFonts w:hint="default"/>
                    </w:rPr>
                  </w:pPr>
                </w:p>
              </w:tc>
              <w:tc>
                <w:tcPr>
                  <w:tcW w:w="525" w:type="pct"/>
                  <w:vMerge w:val="continue"/>
                  <w:tcBorders>
                    <w:tl2br w:val="nil"/>
                    <w:tr2bl w:val="nil"/>
                  </w:tcBorders>
                  <w:shd w:val="clear" w:color="auto" w:fill="auto"/>
                  <w:vAlign w:val="center"/>
                </w:tcPr>
                <w:p w14:paraId="1EF6CBD3">
                  <w:pPr>
                    <w:pStyle w:val="26"/>
                    <w:keepNext w:val="0"/>
                    <w:keepLines w:val="0"/>
                    <w:suppressLineNumbers w:val="0"/>
                    <w:spacing w:before="0" w:beforeAutospacing="0" w:after="0" w:afterAutospacing="0"/>
                    <w:ind w:left="0" w:right="0"/>
                    <w:rPr>
                      <w:rFonts w:hint="default"/>
                    </w:rPr>
                  </w:pPr>
                </w:p>
              </w:tc>
              <w:tc>
                <w:tcPr>
                  <w:tcW w:w="1126" w:type="pct"/>
                  <w:tcBorders>
                    <w:tl2br w:val="nil"/>
                    <w:tr2bl w:val="nil"/>
                  </w:tcBorders>
                  <w:shd w:val="clear" w:color="auto" w:fill="auto"/>
                  <w:vAlign w:val="center"/>
                </w:tcPr>
                <w:p w14:paraId="0884D18C">
                  <w:pPr>
                    <w:pStyle w:val="26"/>
                    <w:keepNext w:val="0"/>
                    <w:keepLines w:val="0"/>
                    <w:suppressLineNumbers w:val="0"/>
                    <w:spacing w:before="0" w:beforeAutospacing="0" w:after="0" w:afterAutospacing="0"/>
                    <w:ind w:left="0" w:right="0"/>
                    <w:rPr>
                      <w:rFonts w:hint="default"/>
                    </w:rPr>
                  </w:pPr>
                  <w:r>
                    <w:rPr>
                      <w:rFonts w:hint="default"/>
                    </w:rPr>
                    <w:t>2#循环水池补水水</w:t>
                  </w:r>
                </w:p>
              </w:tc>
              <w:tc>
                <w:tcPr>
                  <w:tcW w:w="709" w:type="pct"/>
                  <w:tcBorders>
                    <w:tl2br w:val="nil"/>
                    <w:tr2bl w:val="nil"/>
                  </w:tcBorders>
                  <w:shd w:val="clear" w:color="auto" w:fill="auto"/>
                  <w:vAlign w:val="center"/>
                </w:tcPr>
                <w:p w14:paraId="2870EEA4">
                  <w:pPr>
                    <w:pStyle w:val="26"/>
                    <w:keepNext w:val="0"/>
                    <w:keepLines w:val="0"/>
                    <w:suppressLineNumbers w:val="0"/>
                    <w:spacing w:before="0" w:beforeAutospacing="0" w:after="0" w:afterAutospacing="0"/>
                    <w:ind w:left="0" w:right="0"/>
                    <w:rPr>
                      <w:rFonts w:hint="default"/>
                    </w:rPr>
                  </w:pPr>
                  <w:r>
                    <w:rPr>
                      <w:rFonts w:hint="default"/>
                    </w:rPr>
                    <w:t>2m</w:t>
                  </w:r>
                  <w:r>
                    <w:rPr>
                      <w:rFonts w:hint="default"/>
                      <w:vertAlign w:val="superscript"/>
                    </w:rPr>
                    <w:t>3</w:t>
                  </w:r>
                  <w:r>
                    <w:rPr>
                      <w:rFonts w:hint="default"/>
                    </w:rPr>
                    <w:t>/h</w:t>
                  </w:r>
                </w:p>
              </w:tc>
              <w:tc>
                <w:tcPr>
                  <w:tcW w:w="439" w:type="pct"/>
                  <w:tcBorders>
                    <w:tl2br w:val="nil"/>
                    <w:tr2bl w:val="nil"/>
                  </w:tcBorders>
                  <w:shd w:val="clear" w:color="auto" w:fill="auto"/>
                  <w:vAlign w:val="center"/>
                </w:tcPr>
                <w:p w14:paraId="33DA2C66">
                  <w:pPr>
                    <w:pStyle w:val="26"/>
                    <w:keepNext w:val="0"/>
                    <w:keepLines w:val="0"/>
                    <w:suppressLineNumbers w:val="0"/>
                    <w:spacing w:before="0" w:beforeAutospacing="0" w:after="0" w:afterAutospacing="0"/>
                    <w:ind w:left="0" w:right="0"/>
                    <w:rPr>
                      <w:rFonts w:hint="default"/>
                    </w:rPr>
                  </w:pPr>
                  <w:r>
                    <w:rPr>
                      <w:rFonts w:hint="default"/>
                    </w:rPr>
                    <w:t>/</w:t>
                  </w:r>
                </w:p>
              </w:tc>
              <w:tc>
                <w:tcPr>
                  <w:tcW w:w="523" w:type="pct"/>
                  <w:tcBorders>
                    <w:tl2br w:val="nil"/>
                    <w:tr2bl w:val="nil"/>
                  </w:tcBorders>
                  <w:shd w:val="clear" w:color="auto" w:fill="auto"/>
                  <w:vAlign w:val="center"/>
                </w:tcPr>
                <w:p w14:paraId="1AEF72EA">
                  <w:pPr>
                    <w:pStyle w:val="26"/>
                    <w:keepNext w:val="0"/>
                    <w:keepLines w:val="0"/>
                    <w:suppressLineNumbers w:val="0"/>
                    <w:spacing w:before="0" w:beforeAutospacing="0" w:after="0" w:afterAutospacing="0"/>
                    <w:ind w:left="0" w:right="0"/>
                    <w:rPr>
                      <w:rFonts w:hint="default"/>
                    </w:rPr>
                  </w:pPr>
                  <w:r>
                    <w:rPr>
                      <w:rFonts w:hint="default"/>
                    </w:rPr>
                    <w:t>/</w:t>
                  </w:r>
                </w:p>
              </w:tc>
              <w:tc>
                <w:tcPr>
                  <w:tcW w:w="700" w:type="pct"/>
                  <w:tcBorders>
                    <w:tl2br w:val="nil"/>
                    <w:tr2bl w:val="nil"/>
                  </w:tcBorders>
                  <w:shd w:val="clear" w:color="auto" w:fill="auto"/>
                  <w:vAlign w:val="center"/>
                </w:tcPr>
                <w:p w14:paraId="08611F00">
                  <w:pPr>
                    <w:pStyle w:val="26"/>
                    <w:keepNext w:val="0"/>
                    <w:keepLines w:val="0"/>
                    <w:suppressLineNumbers w:val="0"/>
                    <w:spacing w:before="0" w:beforeAutospacing="0" w:after="0" w:afterAutospacing="0"/>
                    <w:ind w:left="0" w:right="0"/>
                    <w:rPr>
                      <w:rFonts w:hint="default"/>
                    </w:rPr>
                  </w:pPr>
                  <w:r>
                    <w:rPr>
                      <w:rFonts w:hint="default"/>
                    </w:rPr>
                    <w:t>48</w:t>
                  </w:r>
                </w:p>
              </w:tc>
              <w:tc>
                <w:tcPr>
                  <w:tcW w:w="498" w:type="pct"/>
                  <w:tcBorders>
                    <w:tl2br w:val="nil"/>
                    <w:tr2bl w:val="nil"/>
                  </w:tcBorders>
                  <w:shd w:val="clear" w:color="auto" w:fill="auto"/>
                  <w:vAlign w:val="center"/>
                </w:tcPr>
                <w:p w14:paraId="3C9290D7">
                  <w:pPr>
                    <w:pStyle w:val="26"/>
                    <w:keepNext w:val="0"/>
                    <w:keepLines w:val="0"/>
                    <w:suppressLineNumbers w:val="0"/>
                    <w:spacing w:before="0" w:beforeAutospacing="0" w:after="0" w:afterAutospacing="0"/>
                    <w:ind w:left="0" w:right="0"/>
                    <w:rPr>
                      <w:rFonts w:hint="default"/>
                    </w:rPr>
                  </w:pPr>
                  <w:r>
                    <w:rPr>
                      <w:rFonts w:hint="default"/>
                    </w:rPr>
                    <w:t>4800</w:t>
                  </w:r>
                </w:p>
              </w:tc>
            </w:tr>
            <w:tr w14:paraId="5506BD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249C7363">
                  <w:pPr>
                    <w:pStyle w:val="26"/>
                    <w:keepNext w:val="0"/>
                    <w:keepLines w:val="0"/>
                    <w:suppressLineNumbers w:val="0"/>
                    <w:spacing w:before="0" w:beforeAutospacing="0" w:after="0" w:afterAutospacing="0"/>
                    <w:ind w:left="0" w:right="0"/>
                    <w:rPr>
                      <w:rFonts w:hint="default"/>
                    </w:rPr>
                  </w:pPr>
                </w:p>
              </w:tc>
              <w:tc>
                <w:tcPr>
                  <w:tcW w:w="1651" w:type="pct"/>
                  <w:gridSpan w:val="2"/>
                  <w:vMerge w:val="restart"/>
                  <w:tcBorders>
                    <w:tl2br w:val="nil"/>
                    <w:tr2bl w:val="nil"/>
                  </w:tcBorders>
                  <w:shd w:val="clear" w:color="auto" w:fill="auto"/>
                  <w:vAlign w:val="center"/>
                </w:tcPr>
                <w:p w14:paraId="6DC44BE7">
                  <w:pPr>
                    <w:pStyle w:val="26"/>
                    <w:keepNext w:val="0"/>
                    <w:keepLines w:val="0"/>
                    <w:suppressLineNumbers w:val="0"/>
                    <w:spacing w:before="0" w:beforeAutospacing="0" w:after="0" w:afterAutospacing="0"/>
                    <w:ind w:left="0" w:right="0"/>
                    <w:rPr>
                      <w:rFonts w:hint="default"/>
                    </w:rPr>
                  </w:pPr>
                  <w:r>
                    <w:rPr>
                      <w:rFonts w:hint="default"/>
                    </w:rPr>
                    <w:t>水膜循环水塔用水</w:t>
                  </w:r>
                </w:p>
              </w:tc>
              <w:tc>
                <w:tcPr>
                  <w:tcW w:w="709" w:type="pct"/>
                  <w:vMerge w:val="restart"/>
                  <w:tcBorders>
                    <w:tl2br w:val="nil"/>
                    <w:tr2bl w:val="nil"/>
                  </w:tcBorders>
                  <w:shd w:val="clear" w:color="auto" w:fill="auto"/>
                  <w:vAlign w:val="center"/>
                </w:tcPr>
                <w:p w14:paraId="1515227D">
                  <w:pPr>
                    <w:pStyle w:val="26"/>
                    <w:keepNext w:val="0"/>
                    <w:keepLines w:val="0"/>
                    <w:suppressLineNumbers w:val="0"/>
                    <w:spacing w:before="0" w:beforeAutospacing="0" w:after="0" w:afterAutospacing="0"/>
                    <w:ind w:left="0" w:right="0"/>
                    <w:rPr>
                      <w:rFonts w:hint="default"/>
                    </w:rPr>
                  </w:pPr>
                  <w:r>
                    <w:rPr>
                      <w:rFonts w:hint="default"/>
                    </w:rPr>
                    <w:t>1.92 m</w:t>
                  </w:r>
                  <w:r>
                    <w:rPr>
                      <w:rFonts w:hint="default"/>
                      <w:vertAlign w:val="superscript"/>
                    </w:rPr>
                    <w:t>3</w:t>
                  </w:r>
                  <w:r>
                    <w:rPr>
                      <w:rFonts w:hint="default"/>
                    </w:rPr>
                    <w:t>/d</w:t>
                  </w:r>
                </w:p>
              </w:tc>
              <w:tc>
                <w:tcPr>
                  <w:tcW w:w="439" w:type="pct"/>
                  <w:tcBorders>
                    <w:tl2br w:val="nil"/>
                    <w:tr2bl w:val="nil"/>
                  </w:tcBorders>
                  <w:shd w:val="clear" w:color="auto" w:fill="auto"/>
                  <w:vAlign w:val="center"/>
                </w:tcPr>
                <w:p w14:paraId="0546FAF5">
                  <w:pPr>
                    <w:pStyle w:val="26"/>
                    <w:keepNext w:val="0"/>
                    <w:keepLines w:val="0"/>
                    <w:suppressLineNumbers w:val="0"/>
                    <w:spacing w:before="0" w:beforeAutospacing="0" w:after="0" w:afterAutospacing="0"/>
                    <w:ind w:left="0" w:right="0"/>
                    <w:rPr>
                      <w:rFonts w:hint="default"/>
                    </w:rPr>
                  </w:pPr>
                  <w:r>
                    <w:rPr>
                      <w:rFonts w:hint="default"/>
                    </w:rPr>
                    <w:t>/</w:t>
                  </w:r>
                </w:p>
              </w:tc>
              <w:tc>
                <w:tcPr>
                  <w:tcW w:w="523" w:type="pct"/>
                  <w:tcBorders>
                    <w:tl2br w:val="nil"/>
                    <w:tr2bl w:val="nil"/>
                  </w:tcBorders>
                  <w:shd w:val="clear" w:color="auto" w:fill="auto"/>
                  <w:vAlign w:val="center"/>
                </w:tcPr>
                <w:p w14:paraId="769287C0">
                  <w:pPr>
                    <w:pStyle w:val="26"/>
                    <w:keepNext w:val="0"/>
                    <w:keepLines w:val="0"/>
                    <w:suppressLineNumbers w:val="0"/>
                    <w:spacing w:before="0" w:beforeAutospacing="0" w:after="0" w:afterAutospacing="0"/>
                    <w:ind w:left="0" w:right="0"/>
                    <w:rPr>
                      <w:rFonts w:hint="default"/>
                    </w:rPr>
                  </w:pPr>
                  <w:r>
                    <w:rPr>
                      <w:rFonts w:hint="default"/>
                    </w:rPr>
                    <w:t>1.32</w:t>
                  </w:r>
                </w:p>
              </w:tc>
              <w:tc>
                <w:tcPr>
                  <w:tcW w:w="700" w:type="pct"/>
                  <w:tcBorders>
                    <w:tl2br w:val="nil"/>
                    <w:tr2bl w:val="nil"/>
                  </w:tcBorders>
                  <w:shd w:val="clear" w:color="auto" w:fill="auto"/>
                  <w:vAlign w:val="center"/>
                </w:tcPr>
                <w:p w14:paraId="3B20AD8A">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158EB122">
                  <w:pPr>
                    <w:pStyle w:val="26"/>
                    <w:keepNext w:val="0"/>
                    <w:keepLines w:val="0"/>
                    <w:suppressLineNumbers w:val="0"/>
                    <w:spacing w:before="0" w:beforeAutospacing="0" w:after="0" w:afterAutospacing="0"/>
                    <w:ind w:left="0" w:right="0"/>
                    <w:rPr>
                      <w:rFonts w:hint="default"/>
                    </w:rPr>
                  </w:pPr>
                  <w:r>
                    <w:rPr>
                      <w:rFonts w:hint="default"/>
                    </w:rPr>
                    <w:t>/</w:t>
                  </w:r>
                </w:p>
              </w:tc>
            </w:tr>
            <w:tr w14:paraId="0A1EC9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292BE8F5">
                  <w:pPr>
                    <w:pStyle w:val="26"/>
                    <w:keepNext w:val="0"/>
                    <w:keepLines w:val="0"/>
                    <w:suppressLineNumbers w:val="0"/>
                    <w:spacing w:before="0" w:beforeAutospacing="0" w:after="0" w:afterAutospacing="0"/>
                    <w:ind w:left="0" w:right="0"/>
                    <w:rPr>
                      <w:rFonts w:hint="default"/>
                    </w:rPr>
                  </w:pPr>
                </w:p>
              </w:tc>
              <w:tc>
                <w:tcPr>
                  <w:tcW w:w="1651" w:type="pct"/>
                  <w:gridSpan w:val="2"/>
                  <w:vMerge w:val="continue"/>
                  <w:tcBorders>
                    <w:tl2br w:val="nil"/>
                    <w:tr2bl w:val="nil"/>
                  </w:tcBorders>
                  <w:shd w:val="clear" w:color="auto" w:fill="auto"/>
                  <w:vAlign w:val="center"/>
                </w:tcPr>
                <w:p w14:paraId="684C8405">
                  <w:pPr>
                    <w:pStyle w:val="26"/>
                    <w:keepNext w:val="0"/>
                    <w:keepLines w:val="0"/>
                    <w:suppressLineNumbers w:val="0"/>
                    <w:spacing w:before="0" w:beforeAutospacing="0" w:after="0" w:afterAutospacing="0"/>
                    <w:ind w:left="0" w:right="0"/>
                    <w:rPr>
                      <w:rFonts w:hint="default"/>
                    </w:rPr>
                  </w:pPr>
                </w:p>
              </w:tc>
              <w:tc>
                <w:tcPr>
                  <w:tcW w:w="709" w:type="pct"/>
                  <w:vMerge w:val="continue"/>
                  <w:tcBorders>
                    <w:tl2br w:val="nil"/>
                    <w:tr2bl w:val="nil"/>
                  </w:tcBorders>
                  <w:shd w:val="clear" w:color="auto" w:fill="auto"/>
                  <w:vAlign w:val="center"/>
                </w:tcPr>
                <w:p w14:paraId="1B155FDB">
                  <w:pPr>
                    <w:pStyle w:val="26"/>
                    <w:keepNext w:val="0"/>
                    <w:keepLines w:val="0"/>
                    <w:suppressLineNumbers w:val="0"/>
                    <w:spacing w:before="0" w:beforeAutospacing="0" w:after="0" w:afterAutospacing="0"/>
                    <w:ind w:left="0" w:right="0"/>
                    <w:rPr>
                      <w:rFonts w:hint="default"/>
                    </w:rPr>
                  </w:pPr>
                </w:p>
              </w:tc>
              <w:tc>
                <w:tcPr>
                  <w:tcW w:w="439" w:type="pct"/>
                  <w:tcBorders>
                    <w:tl2br w:val="nil"/>
                    <w:tr2bl w:val="nil"/>
                  </w:tcBorders>
                  <w:shd w:val="clear" w:color="auto" w:fill="auto"/>
                  <w:vAlign w:val="center"/>
                </w:tcPr>
                <w:p w14:paraId="70A98B11">
                  <w:pPr>
                    <w:pStyle w:val="26"/>
                    <w:keepNext w:val="0"/>
                    <w:keepLines w:val="0"/>
                    <w:suppressLineNumbers w:val="0"/>
                    <w:spacing w:before="0" w:beforeAutospacing="0" w:after="0" w:afterAutospacing="0"/>
                    <w:ind w:left="0" w:right="0"/>
                    <w:rPr>
                      <w:rFonts w:hint="default"/>
                    </w:rPr>
                  </w:pPr>
                  <w:r>
                    <w:rPr>
                      <w:rFonts w:hint="default"/>
                    </w:rPr>
                    <w:t>/</w:t>
                  </w:r>
                </w:p>
              </w:tc>
              <w:tc>
                <w:tcPr>
                  <w:tcW w:w="523" w:type="pct"/>
                  <w:tcBorders>
                    <w:tl2br w:val="nil"/>
                    <w:tr2bl w:val="nil"/>
                  </w:tcBorders>
                  <w:shd w:val="clear" w:color="auto" w:fill="auto"/>
                  <w:vAlign w:val="center"/>
                </w:tcPr>
                <w:p w14:paraId="6BF7E5DE">
                  <w:pPr>
                    <w:pStyle w:val="26"/>
                    <w:keepNext w:val="0"/>
                    <w:keepLines w:val="0"/>
                    <w:suppressLineNumbers w:val="0"/>
                    <w:spacing w:before="0" w:beforeAutospacing="0" w:after="0" w:afterAutospacing="0"/>
                    <w:ind w:left="0" w:right="0"/>
                    <w:rPr>
                      <w:rFonts w:hint="default"/>
                    </w:rPr>
                  </w:pPr>
                  <w:r>
                    <w:rPr>
                      <w:rFonts w:hint="default"/>
                    </w:rPr>
                    <w:t>0.6（碱液中的水）</w:t>
                  </w:r>
                </w:p>
              </w:tc>
              <w:tc>
                <w:tcPr>
                  <w:tcW w:w="700" w:type="pct"/>
                  <w:tcBorders>
                    <w:tl2br w:val="nil"/>
                    <w:tr2bl w:val="nil"/>
                  </w:tcBorders>
                  <w:shd w:val="clear" w:color="auto" w:fill="auto"/>
                  <w:vAlign w:val="center"/>
                </w:tcPr>
                <w:p w14:paraId="26BA5E18">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1423DB9A">
                  <w:pPr>
                    <w:pStyle w:val="26"/>
                    <w:keepNext w:val="0"/>
                    <w:keepLines w:val="0"/>
                    <w:suppressLineNumbers w:val="0"/>
                    <w:spacing w:before="0" w:beforeAutospacing="0" w:after="0" w:afterAutospacing="0"/>
                    <w:ind w:left="0" w:right="0"/>
                    <w:rPr>
                      <w:rFonts w:hint="default"/>
                    </w:rPr>
                  </w:pPr>
                  <w:r>
                    <w:rPr>
                      <w:rFonts w:hint="default"/>
                    </w:rPr>
                    <w:t>/</w:t>
                  </w:r>
                </w:p>
              </w:tc>
            </w:tr>
            <w:tr w14:paraId="51ADE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2" w:hRule="atLeast"/>
              </w:trPr>
              <w:tc>
                <w:tcPr>
                  <w:tcW w:w="480" w:type="pct"/>
                  <w:vMerge w:val="continue"/>
                  <w:tcBorders>
                    <w:tl2br w:val="nil"/>
                    <w:tr2bl w:val="nil"/>
                  </w:tcBorders>
                  <w:shd w:val="clear" w:color="auto" w:fill="auto"/>
                  <w:noWrap/>
                  <w:vAlign w:val="center"/>
                </w:tcPr>
                <w:p w14:paraId="44049F60">
                  <w:pPr>
                    <w:pStyle w:val="26"/>
                    <w:keepNext w:val="0"/>
                    <w:keepLines w:val="0"/>
                    <w:suppressLineNumbers w:val="0"/>
                    <w:spacing w:before="0" w:beforeAutospacing="0" w:after="0" w:afterAutospacing="0"/>
                    <w:ind w:left="0" w:right="0"/>
                    <w:rPr>
                      <w:rFonts w:hint="default"/>
                    </w:rPr>
                  </w:pPr>
                </w:p>
              </w:tc>
              <w:tc>
                <w:tcPr>
                  <w:tcW w:w="1651" w:type="pct"/>
                  <w:gridSpan w:val="2"/>
                  <w:tcBorders>
                    <w:tl2br w:val="nil"/>
                    <w:tr2bl w:val="nil"/>
                  </w:tcBorders>
                  <w:shd w:val="clear" w:color="auto" w:fill="auto"/>
                  <w:vAlign w:val="center"/>
                </w:tcPr>
                <w:p w14:paraId="64E4877F">
                  <w:pPr>
                    <w:pStyle w:val="26"/>
                    <w:keepNext w:val="0"/>
                    <w:keepLines w:val="0"/>
                    <w:suppressLineNumbers w:val="0"/>
                    <w:spacing w:before="0" w:beforeAutospacing="0" w:after="0" w:afterAutospacing="0"/>
                    <w:ind w:left="0" w:right="0"/>
                    <w:rPr>
                      <w:rFonts w:hint="default"/>
                    </w:rPr>
                  </w:pPr>
                  <w:r>
                    <w:rPr>
                      <w:rFonts w:hint="default"/>
                    </w:rPr>
                    <w:t>雾炮机用水</w:t>
                  </w:r>
                </w:p>
              </w:tc>
              <w:tc>
                <w:tcPr>
                  <w:tcW w:w="709" w:type="pct"/>
                  <w:tcBorders>
                    <w:tl2br w:val="nil"/>
                    <w:tr2bl w:val="nil"/>
                  </w:tcBorders>
                  <w:shd w:val="clear" w:color="auto" w:fill="auto"/>
                  <w:vAlign w:val="center"/>
                </w:tcPr>
                <w:p w14:paraId="59E0D9C8">
                  <w:pPr>
                    <w:pStyle w:val="26"/>
                    <w:keepNext w:val="0"/>
                    <w:keepLines w:val="0"/>
                    <w:suppressLineNumbers w:val="0"/>
                    <w:spacing w:before="0" w:beforeAutospacing="0" w:after="0" w:afterAutospacing="0"/>
                    <w:ind w:left="0" w:right="0"/>
                    <w:rPr>
                      <w:rFonts w:hint="default"/>
                    </w:rPr>
                  </w:pPr>
                  <w:r>
                    <w:rPr>
                      <w:rFonts w:hint="default"/>
                    </w:rPr>
                    <w:t>5m</w:t>
                  </w:r>
                  <w:r>
                    <w:rPr>
                      <w:rFonts w:hint="default"/>
                      <w:vertAlign w:val="superscript"/>
                    </w:rPr>
                    <w:t>3</w:t>
                  </w:r>
                  <w:r>
                    <w:rPr>
                      <w:rFonts w:hint="default"/>
                    </w:rPr>
                    <w:t>/h</w:t>
                  </w:r>
                </w:p>
              </w:tc>
              <w:tc>
                <w:tcPr>
                  <w:tcW w:w="439" w:type="pct"/>
                  <w:tcBorders>
                    <w:tl2br w:val="nil"/>
                    <w:tr2bl w:val="nil"/>
                  </w:tcBorders>
                  <w:shd w:val="clear" w:color="auto" w:fill="auto"/>
                  <w:vAlign w:val="center"/>
                </w:tcPr>
                <w:p w14:paraId="709B5528">
                  <w:pPr>
                    <w:pStyle w:val="26"/>
                    <w:keepNext w:val="0"/>
                    <w:keepLines w:val="0"/>
                    <w:suppressLineNumbers w:val="0"/>
                    <w:spacing w:before="0" w:beforeAutospacing="0" w:after="0" w:afterAutospacing="0"/>
                    <w:ind w:left="0" w:right="0"/>
                    <w:rPr>
                      <w:rFonts w:hint="default"/>
                    </w:rPr>
                  </w:pPr>
                  <w:r>
                    <w:rPr>
                      <w:rFonts w:hint="default"/>
                    </w:rPr>
                    <w:t>1台</w:t>
                  </w:r>
                </w:p>
              </w:tc>
              <w:tc>
                <w:tcPr>
                  <w:tcW w:w="523" w:type="pct"/>
                  <w:tcBorders>
                    <w:tl2br w:val="nil"/>
                    <w:tr2bl w:val="nil"/>
                  </w:tcBorders>
                  <w:shd w:val="clear" w:color="auto" w:fill="auto"/>
                  <w:vAlign w:val="center"/>
                </w:tcPr>
                <w:p w14:paraId="53D6A7E8">
                  <w:pPr>
                    <w:pStyle w:val="26"/>
                    <w:keepNext w:val="0"/>
                    <w:keepLines w:val="0"/>
                    <w:suppressLineNumbers w:val="0"/>
                    <w:spacing w:before="0" w:beforeAutospacing="0" w:after="0" w:afterAutospacing="0"/>
                    <w:ind w:left="0" w:right="0"/>
                    <w:rPr>
                      <w:rFonts w:hint="default"/>
                    </w:rPr>
                  </w:pPr>
                  <w:r>
                    <w:rPr>
                      <w:rFonts w:hint="default"/>
                    </w:rPr>
                    <w:t>120</w:t>
                  </w:r>
                </w:p>
              </w:tc>
              <w:tc>
                <w:tcPr>
                  <w:tcW w:w="700" w:type="pct"/>
                  <w:tcBorders>
                    <w:tl2br w:val="nil"/>
                    <w:tr2bl w:val="nil"/>
                  </w:tcBorders>
                  <w:shd w:val="clear" w:color="auto" w:fill="auto"/>
                  <w:vAlign w:val="center"/>
                </w:tcPr>
                <w:p w14:paraId="748FFCD5">
                  <w:pPr>
                    <w:pStyle w:val="26"/>
                    <w:keepNext w:val="0"/>
                    <w:keepLines w:val="0"/>
                    <w:suppressLineNumbers w:val="0"/>
                    <w:spacing w:before="0" w:beforeAutospacing="0" w:after="0" w:afterAutospacing="0"/>
                    <w:ind w:left="0" w:right="0"/>
                    <w:rPr>
                      <w:rFonts w:hint="default"/>
                    </w:rPr>
                  </w:pPr>
                  <w:r>
                    <w:rPr>
                      <w:rFonts w:hint="default"/>
                    </w:rPr>
                    <w:t>/</w:t>
                  </w:r>
                </w:p>
              </w:tc>
              <w:tc>
                <w:tcPr>
                  <w:tcW w:w="498" w:type="pct"/>
                  <w:tcBorders>
                    <w:tl2br w:val="nil"/>
                    <w:tr2bl w:val="nil"/>
                  </w:tcBorders>
                  <w:shd w:val="clear" w:color="auto" w:fill="auto"/>
                  <w:vAlign w:val="center"/>
                </w:tcPr>
                <w:p w14:paraId="53349582">
                  <w:pPr>
                    <w:pStyle w:val="26"/>
                    <w:keepNext w:val="0"/>
                    <w:keepLines w:val="0"/>
                    <w:suppressLineNumbers w:val="0"/>
                    <w:spacing w:before="0" w:beforeAutospacing="0" w:after="0" w:afterAutospacing="0"/>
                    <w:ind w:left="0" w:right="0"/>
                    <w:rPr>
                      <w:rFonts w:hint="default"/>
                    </w:rPr>
                  </w:pPr>
                  <w:r>
                    <w:rPr>
                      <w:rFonts w:hint="default"/>
                    </w:rPr>
                    <w:t>/</w:t>
                  </w:r>
                </w:p>
              </w:tc>
            </w:tr>
            <w:tr w14:paraId="0E80F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1" w:hRule="atLeast"/>
              </w:trPr>
              <w:tc>
                <w:tcPr>
                  <w:tcW w:w="3279" w:type="pct"/>
                  <w:gridSpan w:val="5"/>
                  <w:tcBorders>
                    <w:tl2br w:val="nil"/>
                    <w:tr2bl w:val="nil"/>
                  </w:tcBorders>
                  <w:shd w:val="clear" w:color="auto" w:fill="auto"/>
                  <w:noWrap/>
                  <w:vAlign w:val="center"/>
                </w:tcPr>
                <w:p w14:paraId="3207B1D6">
                  <w:pPr>
                    <w:pStyle w:val="26"/>
                    <w:keepNext w:val="0"/>
                    <w:keepLines w:val="0"/>
                    <w:suppressLineNumbers w:val="0"/>
                    <w:spacing w:before="0" w:beforeAutospacing="0" w:after="0" w:afterAutospacing="0"/>
                    <w:ind w:left="0" w:right="0"/>
                    <w:rPr>
                      <w:rFonts w:hint="default"/>
                    </w:rPr>
                  </w:pPr>
                  <w:r>
                    <w:rPr>
                      <w:rFonts w:hint="default"/>
                    </w:rPr>
                    <w:t>合计</w:t>
                  </w:r>
                </w:p>
              </w:tc>
              <w:tc>
                <w:tcPr>
                  <w:tcW w:w="523" w:type="pct"/>
                  <w:tcBorders>
                    <w:tl2br w:val="nil"/>
                    <w:tr2bl w:val="nil"/>
                  </w:tcBorders>
                  <w:shd w:val="clear" w:color="auto" w:fill="auto"/>
                  <w:vAlign w:val="bottom"/>
                </w:tcPr>
                <w:p w14:paraId="506207A8">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277.17</w:t>
                  </w:r>
                </w:p>
              </w:tc>
              <w:tc>
                <w:tcPr>
                  <w:tcW w:w="700" w:type="pct"/>
                  <w:tcBorders>
                    <w:tl2br w:val="nil"/>
                    <w:tr2bl w:val="nil"/>
                  </w:tcBorders>
                  <w:shd w:val="clear" w:color="auto" w:fill="auto"/>
                  <w:vAlign w:val="bottom"/>
                </w:tcPr>
                <w:p w14:paraId="46084218">
                  <w:pPr>
                    <w:pStyle w:val="28"/>
                    <w:keepNext w:val="0"/>
                    <w:keepLines w:val="0"/>
                    <w:suppressLineNumbers w:val="0"/>
                    <w:spacing w:before="0" w:beforeAutospacing="0" w:after="0" w:afterAutospacing="0"/>
                    <w:ind w:left="0" w:right="0"/>
                    <w:rPr>
                      <w:rFonts w:hint="default"/>
                      <w:color w:val="auto"/>
                    </w:rPr>
                  </w:pPr>
                  <w:r>
                    <w:rPr>
                      <w:rFonts w:hint="default"/>
                      <w:color w:val="auto"/>
                    </w:rPr>
                    <w:t>122.88</w:t>
                  </w:r>
                </w:p>
              </w:tc>
              <w:tc>
                <w:tcPr>
                  <w:tcW w:w="498" w:type="pct"/>
                  <w:tcBorders>
                    <w:tl2br w:val="nil"/>
                    <w:tr2bl w:val="nil"/>
                  </w:tcBorders>
                  <w:shd w:val="clear" w:color="auto" w:fill="auto"/>
                  <w:vAlign w:val="bottom"/>
                </w:tcPr>
                <w:p w14:paraId="0EE22AB1">
                  <w:pPr>
                    <w:pStyle w:val="28"/>
                    <w:keepNext w:val="0"/>
                    <w:keepLines w:val="0"/>
                    <w:suppressLineNumbers w:val="0"/>
                    <w:spacing w:before="0" w:beforeAutospacing="0" w:after="0" w:afterAutospacing="0"/>
                    <w:ind w:left="0" w:right="0"/>
                    <w:rPr>
                      <w:rFonts w:hint="default"/>
                      <w:color w:val="auto"/>
                    </w:rPr>
                  </w:pPr>
                  <w:r>
                    <w:rPr>
                      <w:rFonts w:hint="default"/>
                      <w:color w:val="auto"/>
                    </w:rPr>
                    <w:t>12000</w:t>
                  </w:r>
                </w:p>
              </w:tc>
            </w:tr>
          </w:tbl>
          <w:p w14:paraId="5DA307A3">
            <w:pPr>
              <w:pStyle w:val="34"/>
              <w:keepNext w:val="0"/>
              <w:keepLines w:val="0"/>
              <w:suppressLineNumbers w:val="0"/>
              <w:spacing w:before="0" w:beforeAutospacing="0" w:after="0" w:afterAutospacing="0"/>
              <w:ind w:left="0" w:right="0"/>
              <w:rPr>
                <w:rFonts w:hint="default"/>
                <w:color w:val="auto"/>
              </w:rPr>
            </w:pPr>
            <w:r>
              <w:rPr>
                <w:rFonts w:hint="default"/>
                <w:color w:val="auto"/>
              </w:rPr>
              <w:t>项目年用水量统计表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7"/>
              <w:gridCol w:w="951"/>
              <w:gridCol w:w="1569"/>
              <w:gridCol w:w="951"/>
              <w:gridCol w:w="777"/>
              <w:gridCol w:w="978"/>
              <w:gridCol w:w="978"/>
              <w:gridCol w:w="937"/>
            </w:tblGrid>
            <w:tr w14:paraId="68DBA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075" w:type="pct"/>
                  <w:gridSpan w:val="3"/>
                  <w:vMerge w:val="restart"/>
                  <w:tcBorders>
                    <w:tl2br w:val="nil"/>
                    <w:tr2bl w:val="nil"/>
                  </w:tcBorders>
                  <w:shd w:val="clear" w:color="auto" w:fill="auto"/>
                  <w:vAlign w:val="center"/>
                </w:tcPr>
                <w:p w14:paraId="6EF04DB1">
                  <w:pPr>
                    <w:pStyle w:val="26"/>
                    <w:keepNext w:val="0"/>
                    <w:keepLines w:val="0"/>
                    <w:suppressLineNumbers w:val="0"/>
                    <w:spacing w:before="0" w:beforeAutospacing="0" w:after="0" w:afterAutospacing="0"/>
                    <w:ind w:left="0" w:right="0"/>
                    <w:rPr>
                      <w:rFonts w:hint="default"/>
                    </w:rPr>
                  </w:pPr>
                  <w:r>
                    <w:rPr>
                      <w:rFonts w:hint="default"/>
                    </w:rPr>
                    <w:t>用水环节</w:t>
                  </w:r>
                </w:p>
              </w:tc>
              <w:tc>
                <w:tcPr>
                  <w:tcW w:w="602" w:type="pct"/>
                  <w:vMerge w:val="restart"/>
                  <w:tcBorders>
                    <w:tl2br w:val="nil"/>
                    <w:tr2bl w:val="nil"/>
                  </w:tcBorders>
                  <w:shd w:val="clear" w:color="auto" w:fill="auto"/>
                  <w:vAlign w:val="center"/>
                </w:tcPr>
                <w:p w14:paraId="775AE28C">
                  <w:pPr>
                    <w:pStyle w:val="26"/>
                    <w:keepNext w:val="0"/>
                    <w:keepLines w:val="0"/>
                    <w:suppressLineNumbers w:val="0"/>
                    <w:spacing w:before="0" w:beforeAutospacing="0" w:after="0" w:afterAutospacing="0"/>
                    <w:ind w:left="0" w:right="0"/>
                    <w:rPr>
                      <w:rFonts w:hint="default"/>
                    </w:rPr>
                  </w:pPr>
                  <w:r>
                    <w:rPr>
                      <w:rFonts w:hint="default"/>
                    </w:rPr>
                    <w:t>用水定额</w:t>
                  </w:r>
                </w:p>
              </w:tc>
              <w:tc>
                <w:tcPr>
                  <w:tcW w:w="492" w:type="pct"/>
                  <w:vMerge w:val="restart"/>
                  <w:tcBorders>
                    <w:tl2br w:val="nil"/>
                    <w:tr2bl w:val="nil"/>
                  </w:tcBorders>
                  <w:shd w:val="clear" w:color="auto" w:fill="auto"/>
                  <w:vAlign w:val="center"/>
                </w:tcPr>
                <w:p w14:paraId="63E9D617">
                  <w:pPr>
                    <w:pStyle w:val="26"/>
                    <w:keepNext w:val="0"/>
                    <w:keepLines w:val="0"/>
                    <w:suppressLineNumbers w:val="0"/>
                    <w:spacing w:before="0" w:beforeAutospacing="0" w:after="0" w:afterAutospacing="0"/>
                    <w:ind w:left="0" w:right="0"/>
                    <w:rPr>
                      <w:rFonts w:hint="default"/>
                    </w:rPr>
                  </w:pPr>
                  <w:r>
                    <w:rPr>
                      <w:rFonts w:hint="default"/>
                    </w:rPr>
                    <w:t>数量</w:t>
                  </w:r>
                </w:p>
              </w:tc>
              <w:tc>
                <w:tcPr>
                  <w:tcW w:w="1832" w:type="pct"/>
                  <w:gridSpan w:val="3"/>
                  <w:tcBorders>
                    <w:tl2br w:val="nil"/>
                    <w:tr2bl w:val="nil"/>
                  </w:tcBorders>
                  <w:shd w:val="clear" w:color="auto" w:fill="auto"/>
                  <w:vAlign w:val="center"/>
                </w:tcPr>
                <w:p w14:paraId="187E0948">
                  <w:pPr>
                    <w:pStyle w:val="26"/>
                    <w:keepNext w:val="0"/>
                    <w:keepLines w:val="0"/>
                    <w:suppressLineNumbers w:val="0"/>
                    <w:spacing w:before="0" w:beforeAutospacing="0" w:after="0" w:afterAutospacing="0"/>
                    <w:ind w:left="0" w:right="0"/>
                    <w:rPr>
                      <w:rFonts w:hint="default"/>
                    </w:rPr>
                  </w:pPr>
                  <w:r>
                    <w:rPr>
                      <w:rFonts w:hint="default"/>
                    </w:rPr>
                    <w:t>用水量（m</w:t>
                  </w:r>
                  <w:r>
                    <w:rPr>
                      <w:rFonts w:hint="default"/>
                      <w:vertAlign w:val="superscript"/>
                    </w:rPr>
                    <w:t>3</w:t>
                  </w:r>
                  <w:r>
                    <w:rPr>
                      <w:rFonts w:hint="default"/>
                    </w:rPr>
                    <w:t>/a）</w:t>
                  </w:r>
                </w:p>
              </w:tc>
            </w:tr>
            <w:tr w14:paraId="78903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075" w:type="pct"/>
                  <w:gridSpan w:val="3"/>
                  <w:vMerge w:val="continue"/>
                  <w:tcBorders>
                    <w:tl2br w:val="nil"/>
                    <w:tr2bl w:val="nil"/>
                  </w:tcBorders>
                  <w:shd w:val="clear" w:color="auto" w:fill="auto"/>
                  <w:vAlign w:val="center"/>
                </w:tcPr>
                <w:p w14:paraId="4BFD347F">
                  <w:pPr>
                    <w:pStyle w:val="26"/>
                    <w:keepNext w:val="0"/>
                    <w:keepLines w:val="0"/>
                    <w:suppressLineNumbers w:val="0"/>
                    <w:spacing w:before="0" w:beforeAutospacing="0" w:after="0" w:afterAutospacing="0"/>
                    <w:ind w:left="0" w:right="0"/>
                    <w:rPr>
                      <w:rFonts w:hint="default"/>
                    </w:rPr>
                  </w:pPr>
                </w:p>
              </w:tc>
              <w:tc>
                <w:tcPr>
                  <w:tcW w:w="602" w:type="pct"/>
                  <w:vMerge w:val="continue"/>
                  <w:tcBorders>
                    <w:tl2br w:val="nil"/>
                    <w:tr2bl w:val="nil"/>
                  </w:tcBorders>
                  <w:shd w:val="clear" w:color="auto" w:fill="auto"/>
                  <w:vAlign w:val="center"/>
                </w:tcPr>
                <w:p w14:paraId="57A0F190">
                  <w:pPr>
                    <w:pStyle w:val="26"/>
                    <w:keepNext w:val="0"/>
                    <w:keepLines w:val="0"/>
                    <w:suppressLineNumbers w:val="0"/>
                    <w:spacing w:before="0" w:beforeAutospacing="0" w:after="0" w:afterAutospacing="0"/>
                    <w:ind w:left="0" w:right="0"/>
                    <w:rPr>
                      <w:rFonts w:hint="default"/>
                    </w:rPr>
                  </w:pPr>
                </w:p>
              </w:tc>
              <w:tc>
                <w:tcPr>
                  <w:tcW w:w="492" w:type="pct"/>
                  <w:vMerge w:val="continue"/>
                  <w:tcBorders>
                    <w:tl2br w:val="nil"/>
                    <w:tr2bl w:val="nil"/>
                  </w:tcBorders>
                  <w:shd w:val="clear" w:color="auto" w:fill="auto"/>
                  <w:vAlign w:val="center"/>
                </w:tcPr>
                <w:p w14:paraId="22B0B4EC">
                  <w:pPr>
                    <w:pStyle w:val="26"/>
                    <w:keepNext w:val="0"/>
                    <w:keepLines w:val="0"/>
                    <w:suppressLineNumbers w:val="0"/>
                    <w:spacing w:before="0" w:beforeAutospacing="0" w:after="0" w:afterAutospacing="0"/>
                    <w:ind w:left="0" w:right="0"/>
                    <w:rPr>
                      <w:rFonts w:hint="default"/>
                    </w:rPr>
                  </w:pPr>
                </w:p>
              </w:tc>
              <w:tc>
                <w:tcPr>
                  <w:tcW w:w="619" w:type="pct"/>
                  <w:tcBorders>
                    <w:tl2br w:val="nil"/>
                    <w:tr2bl w:val="nil"/>
                  </w:tcBorders>
                  <w:shd w:val="clear" w:color="auto" w:fill="auto"/>
                  <w:vAlign w:val="center"/>
                </w:tcPr>
                <w:p w14:paraId="3BD4D524">
                  <w:pPr>
                    <w:pStyle w:val="26"/>
                    <w:keepNext w:val="0"/>
                    <w:keepLines w:val="0"/>
                    <w:suppressLineNumbers w:val="0"/>
                    <w:spacing w:before="0" w:beforeAutospacing="0" w:after="0" w:afterAutospacing="0"/>
                    <w:ind w:left="0" w:right="0"/>
                    <w:rPr>
                      <w:rFonts w:hint="default"/>
                    </w:rPr>
                  </w:pPr>
                  <w:r>
                    <w:rPr>
                      <w:rFonts w:hint="default"/>
                    </w:rPr>
                    <w:t>新鲜水</w:t>
                  </w:r>
                </w:p>
              </w:tc>
              <w:tc>
                <w:tcPr>
                  <w:tcW w:w="619" w:type="pct"/>
                  <w:tcBorders>
                    <w:tl2br w:val="nil"/>
                    <w:tr2bl w:val="nil"/>
                  </w:tcBorders>
                  <w:shd w:val="clear" w:color="auto" w:fill="auto"/>
                  <w:vAlign w:val="center"/>
                </w:tcPr>
                <w:p w14:paraId="12D6F915">
                  <w:pPr>
                    <w:pStyle w:val="26"/>
                    <w:keepNext w:val="0"/>
                    <w:keepLines w:val="0"/>
                    <w:suppressLineNumbers w:val="0"/>
                    <w:spacing w:before="0" w:beforeAutospacing="0" w:after="0" w:afterAutospacing="0"/>
                    <w:ind w:left="0" w:right="0"/>
                    <w:rPr>
                      <w:rFonts w:hint="default"/>
                    </w:rPr>
                  </w:pPr>
                  <w:r>
                    <w:rPr>
                      <w:rFonts w:hint="default"/>
                    </w:rPr>
                    <w:t>软水</w:t>
                  </w:r>
                </w:p>
              </w:tc>
              <w:tc>
                <w:tcPr>
                  <w:tcW w:w="594" w:type="pct"/>
                  <w:tcBorders>
                    <w:tl2br w:val="nil"/>
                    <w:tr2bl w:val="nil"/>
                  </w:tcBorders>
                  <w:shd w:val="clear" w:color="auto" w:fill="auto"/>
                  <w:vAlign w:val="center"/>
                </w:tcPr>
                <w:p w14:paraId="3484DDBA">
                  <w:pPr>
                    <w:pStyle w:val="26"/>
                    <w:keepNext w:val="0"/>
                    <w:keepLines w:val="0"/>
                    <w:suppressLineNumbers w:val="0"/>
                    <w:spacing w:before="0" w:beforeAutospacing="0" w:after="0" w:afterAutospacing="0"/>
                    <w:ind w:left="0" w:right="0"/>
                    <w:rPr>
                      <w:rFonts w:hint="default"/>
                    </w:rPr>
                  </w:pPr>
                  <w:r>
                    <w:rPr>
                      <w:rFonts w:hint="default"/>
                    </w:rPr>
                    <w:t>回用水</w:t>
                  </w:r>
                </w:p>
              </w:tc>
            </w:tr>
            <w:tr w14:paraId="13407C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restart"/>
                  <w:tcBorders>
                    <w:tl2br w:val="nil"/>
                    <w:tr2bl w:val="nil"/>
                  </w:tcBorders>
                  <w:shd w:val="clear" w:color="auto" w:fill="auto"/>
                  <w:noWrap/>
                  <w:vAlign w:val="center"/>
                </w:tcPr>
                <w:p w14:paraId="1D5E66B3">
                  <w:pPr>
                    <w:pStyle w:val="26"/>
                    <w:keepNext w:val="0"/>
                    <w:keepLines w:val="0"/>
                    <w:suppressLineNumbers w:val="0"/>
                    <w:spacing w:before="0" w:beforeAutospacing="0" w:after="0" w:afterAutospacing="0"/>
                    <w:ind w:left="0" w:right="0"/>
                    <w:rPr>
                      <w:rFonts w:hint="default"/>
                    </w:rPr>
                  </w:pPr>
                  <w:r>
                    <w:rPr>
                      <w:rFonts w:hint="default"/>
                    </w:rPr>
                    <w:t>生活</w:t>
                  </w:r>
                </w:p>
                <w:p w14:paraId="14E89135">
                  <w:pPr>
                    <w:pStyle w:val="26"/>
                    <w:keepNext w:val="0"/>
                    <w:keepLines w:val="0"/>
                    <w:suppressLineNumbers w:val="0"/>
                    <w:spacing w:before="0" w:beforeAutospacing="0" w:after="0" w:afterAutospacing="0"/>
                    <w:ind w:left="0" w:right="0"/>
                    <w:rPr>
                      <w:rFonts w:hint="default"/>
                    </w:rPr>
                  </w:pPr>
                  <w:r>
                    <w:rPr>
                      <w:rFonts w:hint="default"/>
                    </w:rPr>
                    <w:t>用水</w:t>
                  </w:r>
                </w:p>
              </w:tc>
              <w:tc>
                <w:tcPr>
                  <w:tcW w:w="1594" w:type="pct"/>
                  <w:gridSpan w:val="2"/>
                  <w:tcBorders>
                    <w:tl2br w:val="nil"/>
                    <w:tr2bl w:val="nil"/>
                  </w:tcBorders>
                  <w:shd w:val="clear" w:color="auto" w:fill="auto"/>
                  <w:vAlign w:val="center"/>
                </w:tcPr>
                <w:p w14:paraId="1FDDEAD6">
                  <w:pPr>
                    <w:pStyle w:val="26"/>
                    <w:keepNext w:val="0"/>
                    <w:keepLines w:val="0"/>
                    <w:suppressLineNumbers w:val="0"/>
                    <w:spacing w:before="0" w:beforeAutospacing="0" w:after="0" w:afterAutospacing="0"/>
                    <w:ind w:left="0" w:right="0"/>
                    <w:rPr>
                      <w:rFonts w:hint="default"/>
                    </w:rPr>
                  </w:pPr>
                  <w:r>
                    <w:rPr>
                      <w:rFonts w:hint="default"/>
                    </w:rPr>
                    <w:t>办公生活用水</w:t>
                  </w:r>
                </w:p>
              </w:tc>
              <w:tc>
                <w:tcPr>
                  <w:tcW w:w="602" w:type="pct"/>
                  <w:tcBorders>
                    <w:tl2br w:val="nil"/>
                    <w:tr2bl w:val="nil"/>
                  </w:tcBorders>
                  <w:shd w:val="clear" w:color="auto" w:fill="auto"/>
                  <w:vAlign w:val="center"/>
                </w:tcPr>
                <w:p w14:paraId="0C742FCC">
                  <w:pPr>
                    <w:pStyle w:val="26"/>
                    <w:keepNext w:val="0"/>
                    <w:keepLines w:val="0"/>
                    <w:suppressLineNumbers w:val="0"/>
                    <w:spacing w:before="0" w:beforeAutospacing="0" w:after="0" w:afterAutospacing="0"/>
                    <w:ind w:left="0" w:right="0"/>
                    <w:rPr>
                      <w:rFonts w:hint="default"/>
                    </w:rPr>
                  </w:pPr>
                  <w:r>
                    <w:rPr>
                      <w:rFonts w:hint="default"/>
                    </w:rPr>
                    <w:t>50L/人.d</w:t>
                  </w:r>
                </w:p>
              </w:tc>
              <w:tc>
                <w:tcPr>
                  <w:tcW w:w="492" w:type="pct"/>
                  <w:tcBorders>
                    <w:tl2br w:val="nil"/>
                    <w:tr2bl w:val="nil"/>
                  </w:tcBorders>
                  <w:shd w:val="clear" w:color="auto" w:fill="auto"/>
                  <w:vAlign w:val="center"/>
                </w:tcPr>
                <w:p w14:paraId="1938A511">
                  <w:pPr>
                    <w:pStyle w:val="26"/>
                    <w:keepNext w:val="0"/>
                    <w:keepLines w:val="0"/>
                    <w:suppressLineNumbers w:val="0"/>
                    <w:spacing w:before="0" w:beforeAutospacing="0" w:after="0" w:afterAutospacing="0"/>
                    <w:ind w:left="0" w:right="0"/>
                    <w:rPr>
                      <w:rFonts w:hint="default"/>
                    </w:rPr>
                  </w:pPr>
                  <w:r>
                    <w:rPr>
                      <w:rFonts w:hint="default"/>
                    </w:rPr>
                    <w:t>30人</w:t>
                  </w:r>
                </w:p>
              </w:tc>
              <w:tc>
                <w:tcPr>
                  <w:tcW w:w="619" w:type="pct"/>
                  <w:tcBorders>
                    <w:tl2br w:val="nil"/>
                    <w:tr2bl w:val="nil"/>
                  </w:tcBorders>
                  <w:shd w:val="clear" w:color="auto" w:fill="auto"/>
                  <w:vAlign w:val="center"/>
                </w:tcPr>
                <w:p w14:paraId="4DF4A312">
                  <w:pPr>
                    <w:pStyle w:val="26"/>
                    <w:keepNext w:val="0"/>
                    <w:keepLines w:val="0"/>
                    <w:suppressLineNumbers w:val="0"/>
                    <w:spacing w:before="0" w:beforeAutospacing="0" w:after="0" w:afterAutospacing="0"/>
                    <w:ind w:left="0" w:right="0"/>
                    <w:rPr>
                      <w:rFonts w:hint="default"/>
                    </w:rPr>
                  </w:pPr>
                  <w:r>
                    <w:rPr>
                      <w:rFonts w:hint="default"/>
                    </w:rPr>
                    <w:t>501</w:t>
                  </w:r>
                </w:p>
              </w:tc>
              <w:tc>
                <w:tcPr>
                  <w:tcW w:w="619" w:type="pct"/>
                  <w:tcBorders>
                    <w:tl2br w:val="nil"/>
                    <w:tr2bl w:val="nil"/>
                  </w:tcBorders>
                  <w:shd w:val="clear" w:color="auto" w:fill="auto"/>
                  <w:vAlign w:val="center"/>
                </w:tcPr>
                <w:p w14:paraId="3B7E056E">
                  <w:pPr>
                    <w:pStyle w:val="26"/>
                    <w:keepNext w:val="0"/>
                    <w:keepLines w:val="0"/>
                    <w:suppressLineNumbers w:val="0"/>
                    <w:spacing w:before="0" w:beforeAutospacing="0" w:after="0" w:afterAutospacing="0"/>
                    <w:ind w:left="0" w:right="0"/>
                    <w:rPr>
                      <w:rFonts w:hint="default"/>
                    </w:rPr>
                  </w:pPr>
                  <w:r>
                    <w:rPr>
                      <w:rFonts w:hint="default"/>
                    </w:rPr>
                    <w:t>/</w:t>
                  </w:r>
                </w:p>
              </w:tc>
              <w:tc>
                <w:tcPr>
                  <w:tcW w:w="594" w:type="pct"/>
                  <w:tcBorders>
                    <w:tl2br w:val="nil"/>
                    <w:tr2bl w:val="nil"/>
                  </w:tcBorders>
                  <w:shd w:val="clear" w:color="auto" w:fill="auto"/>
                  <w:vAlign w:val="center"/>
                </w:tcPr>
                <w:p w14:paraId="4422B059">
                  <w:pPr>
                    <w:pStyle w:val="26"/>
                    <w:keepNext w:val="0"/>
                    <w:keepLines w:val="0"/>
                    <w:suppressLineNumbers w:val="0"/>
                    <w:spacing w:before="0" w:beforeAutospacing="0" w:after="0" w:afterAutospacing="0"/>
                    <w:ind w:left="0" w:right="0"/>
                    <w:rPr>
                      <w:rFonts w:hint="default"/>
                    </w:rPr>
                  </w:pPr>
                  <w:r>
                    <w:rPr>
                      <w:rFonts w:hint="default"/>
                    </w:rPr>
                    <w:t>/</w:t>
                  </w:r>
                </w:p>
              </w:tc>
            </w:tr>
            <w:tr w14:paraId="2F5FD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0" w:type="pct"/>
                  <w:vMerge w:val="continue"/>
                  <w:tcBorders>
                    <w:tl2br w:val="nil"/>
                    <w:tr2bl w:val="nil"/>
                  </w:tcBorders>
                  <w:shd w:val="clear" w:color="auto" w:fill="auto"/>
                  <w:noWrap/>
                  <w:vAlign w:val="center"/>
                </w:tcPr>
                <w:p w14:paraId="0F1C6129">
                  <w:pPr>
                    <w:pStyle w:val="26"/>
                    <w:keepNext w:val="0"/>
                    <w:keepLines w:val="0"/>
                    <w:suppressLineNumbers w:val="0"/>
                    <w:spacing w:before="0" w:beforeAutospacing="0" w:after="0" w:afterAutospacing="0"/>
                    <w:ind w:left="0" w:right="0"/>
                    <w:rPr>
                      <w:rFonts w:hint="default"/>
                    </w:rPr>
                  </w:pPr>
                </w:p>
              </w:tc>
              <w:tc>
                <w:tcPr>
                  <w:tcW w:w="1594" w:type="pct"/>
                  <w:gridSpan w:val="2"/>
                  <w:tcBorders>
                    <w:tl2br w:val="nil"/>
                    <w:tr2bl w:val="nil"/>
                  </w:tcBorders>
                  <w:shd w:val="clear" w:color="auto" w:fill="auto"/>
                  <w:vAlign w:val="center"/>
                </w:tcPr>
                <w:p w14:paraId="4BF32561">
                  <w:pPr>
                    <w:pStyle w:val="26"/>
                    <w:keepNext w:val="0"/>
                    <w:keepLines w:val="0"/>
                    <w:suppressLineNumbers w:val="0"/>
                    <w:spacing w:before="0" w:beforeAutospacing="0" w:after="0" w:afterAutospacing="0"/>
                    <w:ind w:left="0" w:right="0"/>
                    <w:rPr>
                      <w:rFonts w:hint="default"/>
                    </w:rPr>
                  </w:pPr>
                  <w:r>
                    <w:rPr>
                      <w:rFonts w:hint="default"/>
                    </w:rPr>
                    <w:t>食堂用水</w:t>
                  </w:r>
                </w:p>
              </w:tc>
              <w:tc>
                <w:tcPr>
                  <w:tcW w:w="602" w:type="pct"/>
                  <w:tcBorders>
                    <w:tl2br w:val="nil"/>
                    <w:tr2bl w:val="nil"/>
                  </w:tcBorders>
                  <w:shd w:val="clear" w:color="auto" w:fill="auto"/>
                  <w:vAlign w:val="center"/>
                </w:tcPr>
                <w:p w14:paraId="2B4439D3">
                  <w:pPr>
                    <w:pStyle w:val="26"/>
                    <w:keepNext w:val="0"/>
                    <w:keepLines w:val="0"/>
                    <w:suppressLineNumbers w:val="0"/>
                    <w:spacing w:before="0" w:beforeAutospacing="0" w:after="0" w:afterAutospacing="0"/>
                    <w:ind w:left="0" w:right="0"/>
                    <w:rPr>
                      <w:rFonts w:hint="default"/>
                    </w:rPr>
                  </w:pPr>
                  <w:r>
                    <w:rPr>
                      <w:rFonts w:hint="default"/>
                    </w:rPr>
                    <w:t>25L/人.次</w:t>
                  </w:r>
                </w:p>
              </w:tc>
              <w:tc>
                <w:tcPr>
                  <w:tcW w:w="492" w:type="pct"/>
                  <w:tcBorders>
                    <w:tl2br w:val="nil"/>
                    <w:tr2bl w:val="nil"/>
                  </w:tcBorders>
                  <w:shd w:val="clear" w:color="auto" w:fill="auto"/>
                  <w:vAlign w:val="center"/>
                </w:tcPr>
                <w:p w14:paraId="17DF2369">
                  <w:pPr>
                    <w:pStyle w:val="26"/>
                    <w:keepNext w:val="0"/>
                    <w:keepLines w:val="0"/>
                    <w:suppressLineNumbers w:val="0"/>
                    <w:spacing w:before="0" w:beforeAutospacing="0" w:after="0" w:afterAutospacing="0"/>
                    <w:ind w:left="0" w:right="0"/>
                    <w:rPr>
                      <w:rFonts w:hint="default"/>
                    </w:rPr>
                  </w:pPr>
                  <w:r>
                    <w:rPr>
                      <w:rFonts w:hint="default"/>
                    </w:rPr>
                    <w:t>30人</w:t>
                  </w:r>
                </w:p>
              </w:tc>
              <w:tc>
                <w:tcPr>
                  <w:tcW w:w="619" w:type="pct"/>
                  <w:tcBorders>
                    <w:tl2br w:val="nil"/>
                    <w:tr2bl w:val="nil"/>
                  </w:tcBorders>
                  <w:shd w:val="clear" w:color="auto" w:fill="auto"/>
                  <w:vAlign w:val="center"/>
                </w:tcPr>
                <w:p w14:paraId="6BDA38C9">
                  <w:pPr>
                    <w:pStyle w:val="26"/>
                    <w:keepNext w:val="0"/>
                    <w:keepLines w:val="0"/>
                    <w:suppressLineNumbers w:val="0"/>
                    <w:spacing w:before="0" w:beforeAutospacing="0" w:after="0" w:afterAutospacing="0"/>
                    <w:ind w:left="0" w:right="0"/>
                    <w:rPr>
                      <w:rFonts w:hint="default"/>
                    </w:rPr>
                  </w:pPr>
                  <w:r>
                    <w:rPr>
                      <w:rFonts w:hint="default"/>
                    </w:rPr>
                    <w:t>250.5</w:t>
                  </w:r>
                </w:p>
              </w:tc>
              <w:tc>
                <w:tcPr>
                  <w:tcW w:w="619" w:type="pct"/>
                  <w:tcBorders>
                    <w:tl2br w:val="nil"/>
                    <w:tr2bl w:val="nil"/>
                  </w:tcBorders>
                  <w:shd w:val="clear" w:color="auto" w:fill="auto"/>
                  <w:vAlign w:val="center"/>
                </w:tcPr>
                <w:p w14:paraId="1CC74F47">
                  <w:pPr>
                    <w:pStyle w:val="26"/>
                    <w:keepNext w:val="0"/>
                    <w:keepLines w:val="0"/>
                    <w:suppressLineNumbers w:val="0"/>
                    <w:spacing w:before="0" w:beforeAutospacing="0" w:after="0" w:afterAutospacing="0"/>
                    <w:ind w:left="0" w:right="0"/>
                    <w:rPr>
                      <w:rFonts w:hint="default"/>
                    </w:rPr>
                  </w:pPr>
                  <w:r>
                    <w:rPr>
                      <w:rFonts w:hint="default"/>
                    </w:rPr>
                    <w:t>/</w:t>
                  </w:r>
                </w:p>
              </w:tc>
              <w:tc>
                <w:tcPr>
                  <w:tcW w:w="594" w:type="pct"/>
                  <w:tcBorders>
                    <w:tl2br w:val="nil"/>
                    <w:tr2bl w:val="nil"/>
                  </w:tcBorders>
                  <w:shd w:val="clear" w:color="auto" w:fill="auto"/>
                  <w:vAlign w:val="center"/>
                </w:tcPr>
                <w:p w14:paraId="6DDAFF76">
                  <w:pPr>
                    <w:pStyle w:val="26"/>
                    <w:keepNext w:val="0"/>
                    <w:keepLines w:val="0"/>
                    <w:suppressLineNumbers w:val="0"/>
                    <w:spacing w:before="0" w:beforeAutospacing="0" w:after="0" w:afterAutospacing="0"/>
                    <w:ind w:left="0" w:right="0"/>
                    <w:rPr>
                      <w:rFonts w:hint="default"/>
                    </w:rPr>
                  </w:pPr>
                  <w:r>
                    <w:rPr>
                      <w:rFonts w:hint="default"/>
                    </w:rPr>
                    <w:t>/</w:t>
                  </w:r>
                </w:p>
              </w:tc>
            </w:tr>
            <w:tr w14:paraId="361AA7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restart"/>
                  <w:tcBorders>
                    <w:tl2br w:val="nil"/>
                    <w:tr2bl w:val="nil"/>
                  </w:tcBorders>
                  <w:shd w:val="clear" w:color="auto" w:fill="auto"/>
                  <w:noWrap/>
                  <w:vAlign w:val="center"/>
                </w:tcPr>
                <w:p w14:paraId="1169539B">
                  <w:pPr>
                    <w:pStyle w:val="26"/>
                    <w:keepNext w:val="0"/>
                    <w:keepLines w:val="0"/>
                    <w:suppressLineNumbers w:val="0"/>
                    <w:spacing w:before="0" w:beforeAutospacing="0" w:after="0" w:afterAutospacing="0"/>
                    <w:ind w:left="0" w:right="0"/>
                    <w:rPr>
                      <w:rFonts w:hint="default"/>
                    </w:rPr>
                  </w:pPr>
                  <w:r>
                    <w:rPr>
                      <w:rFonts w:hint="default"/>
                    </w:rPr>
                    <w:t>生产</w:t>
                  </w:r>
                </w:p>
                <w:p w14:paraId="1AE67E34">
                  <w:pPr>
                    <w:pStyle w:val="26"/>
                    <w:keepNext w:val="0"/>
                    <w:keepLines w:val="0"/>
                    <w:suppressLineNumbers w:val="0"/>
                    <w:spacing w:before="0" w:beforeAutospacing="0" w:after="0" w:afterAutospacing="0"/>
                    <w:ind w:left="0" w:right="0"/>
                    <w:rPr>
                      <w:rFonts w:hint="default"/>
                    </w:rPr>
                  </w:pPr>
                  <w:r>
                    <w:rPr>
                      <w:rFonts w:hint="default"/>
                    </w:rPr>
                    <w:t>用水</w:t>
                  </w:r>
                </w:p>
              </w:tc>
              <w:tc>
                <w:tcPr>
                  <w:tcW w:w="1594" w:type="pct"/>
                  <w:gridSpan w:val="2"/>
                  <w:tcBorders>
                    <w:tl2br w:val="nil"/>
                    <w:tr2bl w:val="nil"/>
                  </w:tcBorders>
                  <w:shd w:val="clear" w:color="auto" w:fill="auto"/>
                  <w:vAlign w:val="center"/>
                </w:tcPr>
                <w:p w14:paraId="3FE70014">
                  <w:pPr>
                    <w:pStyle w:val="26"/>
                    <w:keepNext w:val="0"/>
                    <w:keepLines w:val="0"/>
                    <w:suppressLineNumbers w:val="0"/>
                    <w:spacing w:before="0" w:beforeAutospacing="0" w:after="0" w:afterAutospacing="0"/>
                    <w:ind w:left="0" w:right="0"/>
                    <w:rPr>
                      <w:rFonts w:hint="default"/>
                    </w:rPr>
                  </w:pPr>
                  <w:r>
                    <w:rPr>
                      <w:rFonts w:hint="default"/>
                    </w:rPr>
                    <w:t>软水制备</w:t>
                  </w:r>
                </w:p>
              </w:tc>
              <w:tc>
                <w:tcPr>
                  <w:tcW w:w="602" w:type="pct"/>
                  <w:tcBorders>
                    <w:tl2br w:val="nil"/>
                    <w:tr2bl w:val="nil"/>
                  </w:tcBorders>
                  <w:shd w:val="clear" w:color="auto" w:fill="auto"/>
                  <w:vAlign w:val="center"/>
                </w:tcPr>
                <w:p w14:paraId="28B2DB8E">
                  <w:pPr>
                    <w:pStyle w:val="26"/>
                    <w:keepNext w:val="0"/>
                    <w:keepLines w:val="0"/>
                    <w:suppressLineNumbers w:val="0"/>
                    <w:spacing w:before="0" w:beforeAutospacing="0" w:after="0" w:afterAutospacing="0"/>
                    <w:ind w:left="0" w:right="0"/>
                    <w:rPr>
                      <w:rFonts w:hint="default"/>
                    </w:rPr>
                  </w:pPr>
                  <w:r>
                    <w:rPr>
                      <w:rFonts w:hint="default"/>
                    </w:rPr>
                    <w:t>/</w:t>
                  </w:r>
                </w:p>
              </w:tc>
              <w:tc>
                <w:tcPr>
                  <w:tcW w:w="492" w:type="pct"/>
                  <w:tcBorders>
                    <w:tl2br w:val="nil"/>
                    <w:tr2bl w:val="nil"/>
                  </w:tcBorders>
                  <w:shd w:val="clear" w:color="auto" w:fill="auto"/>
                  <w:vAlign w:val="center"/>
                </w:tcPr>
                <w:p w14:paraId="24146C33">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2D45D2F0">
                  <w:pPr>
                    <w:pStyle w:val="26"/>
                    <w:keepNext w:val="0"/>
                    <w:keepLines w:val="0"/>
                    <w:suppressLineNumbers w:val="0"/>
                    <w:spacing w:before="0" w:beforeAutospacing="0" w:after="0" w:afterAutospacing="0"/>
                    <w:ind w:left="0" w:right="0"/>
                    <w:rPr>
                      <w:rFonts w:hint="default"/>
                    </w:rPr>
                  </w:pPr>
                  <w:r>
                    <w:rPr>
                      <w:rFonts w:hint="default"/>
                    </w:rPr>
                    <w:t>51302.4</w:t>
                  </w:r>
                </w:p>
              </w:tc>
              <w:tc>
                <w:tcPr>
                  <w:tcW w:w="619" w:type="pct"/>
                  <w:tcBorders>
                    <w:tl2br w:val="nil"/>
                    <w:tr2bl w:val="nil"/>
                  </w:tcBorders>
                  <w:shd w:val="clear" w:color="auto" w:fill="auto"/>
                  <w:vAlign w:val="center"/>
                </w:tcPr>
                <w:p w14:paraId="231FDE49">
                  <w:pPr>
                    <w:pStyle w:val="26"/>
                    <w:keepNext w:val="0"/>
                    <w:keepLines w:val="0"/>
                    <w:suppressLineNumbers w:val="0"/>
                    <w:spacing w:before="0" w:beforeAutospacing="0" w:after="0" w:afterAutospacing="0"/>
                    <w:ind w:left="0" w:right="0"/>
                    <w:rPr>
                      <w:rFonts w:hint="default"/>
                    </w:rPr>
                  </w:pPr>
                  <w:r>
                    <w:rPr>
                      <w:rFonts w:hint="default"/>
                    </w:rPr>
                    <w:t>/</w:t>
                  </w:r>
                </w:p>
              </w:tc>
              <w:tc>
                <w:tcPr>
                  <w:tcW w:w="594" w:type="pct"/>
                  <w:tcBorders>
                    <w:tl2br w:val="nil"/>
                    <w:tr2bl w:val="nil"/>
                  </w:tcBorders>
                  <w:shd w:val="clear" w:color="auto" w:fill="auto"/>
                  <w:vAlign w:val="center"/>
                </w:tcPr>
                <w:p w14:paraId="40BDBCB6">
                  <w:pPr>
                    <w:pStyle w:val="26"/>
                    <w:keepNext w:val="0"/>
                    <w:keepLines w:val="0"/>
                    <w:suppressLineNumbers w:val="0"/>
                    <w:spacing w:before="0" w:beforeAutospacing="0" w:after="0" w:afterAutospacing="0"/>
                    <w:ind w:left="0" w:right="0"/>
                    <w:rPr>
                      <w:rFonts w:hint="default"/>
                    </w:rPr>
                  </w:pPr>
                  <w:r>
                    <w:rPr>
                      <w:rFonts w:hint="default"/>
                    </w:rPr>
                    <w:t>/</w:t>
                  </w:r>
                </w:p>
              </w:tc>
            </w:tr>
            <w:tr w14:paraId="62ACD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480" w:type="pct"/>
                  <w:vMerge w:val="continue"/>
                  <w:tcBorders>
                    <w:tl2br w:val="nil"/>
                    <w:tr2bl w:val="nil"/>
                  </w:tcBorders>
                  <w:shd w:val="clear" w:color="auto" w:fill="auto"/>
                  <w:noWrap/>
                  <w:vAlign w:val="center"/>
                </w:tcPr>
                <w:p w14:paraId="60B1EF4E">
                  <w:pPr>
                    <w:pStyle w:val="26"/>
                    <w:keepNext w:val="0"/>
                    <w:keepLines w:val="0"/>
                    <w:suppressLineNumbers w:val="0"/>
                    <w:spacing w:before="0" w:beforeAutospacing="0" w:after="0" w:afterAutospacing="0"/>
                    <w:ind w:left="0" w:right="0"/>
                    <w:rPr>
                      <w:rFonts w:hint="default"/>
                    </w:rPr>
                  </w:pPr>
                </w:p>
              </w:tc>
              <w:tc>
                <w:tcPr>
                  <w:tcW w:w="602" w:type="pct"/>
                  <w:vMerge w:val="restart"/>
                  <w:tcBorders>
                    <w:tl2br w:val="nil"/>
                    <w:tr2bl w:val="nil"/>
                  </w:tcBorders>
                  <w:shd w:val="clear" w:color="auto" w:fill="auto"/>
                  <w:vAlign w:val="center"/>
                </w:tcPr>
                <w:p w14:paraId="7A4B756D">
                  <w:pPr>
                    <w:pStyle w:val="26"/>
                    <w:keepNext w:val="0"/>
                    <w:keepLines w:val="0"/>
                    <w:suppressLineNumbers w:val="0"/>
                    <w:spacing w:before="0" w:beforeAutospacing="0" w:after="0" w:afterAutospacing="0"/>
                    <w:ind w:left="0" w:right="0"/>
                    <w:rPr>
                      <w:rFonts w:hint="default"/>
                    </w:rPr>
                  </w:pPr>
                  <w:r>
                    <w:rPr>
                      <w:rFonts w:hint="default"/>
                    </w:rPr>
                    <w:t>软水</w:t>
                  </w:r>
                </w:p>
              </w:tc>
              <w:tc>
                <w:tcPr>
                  <w:tcW w:w="992" w:type="pct"/>
                  <w:tcBorders>
                    <w:tl2br w:val="nil"/>
                    <w:tr2bl w:val="nil"/>
                  </w:tcBorders>
                  <w:shd w:val="clear" w:color="auto" w:fill="auto"/>
                  <w:vAlign w:val="center"/>
                </w:tcPr>
                <w:p w14:paraId="4AE6B22C">
                  <w:pPr>
                    <w:pStyle w:val="26"/>
                    <w:keepNext w:val="0"/>
                    <w:keepLines w:val="0"/>
                    <w:suppressLineNumbers w:val="0"/>
                    <w:spacing w:before="0" w:beforeAutospacing="0" w:after="0" w:afterAutospacing="0"/>
                    <w:ind w:left="0" w:right="0"/>
                    <w:rPr>
                      <w:rFonts w:hint="default"/>
                    </w:rPr>
                  </w:pPr>
                  <w:r>
                    <w:rPr>
                      <w:rFonts w:hint="default"/>
                    </w:rPr>
                    <w:t>滚筒造粒用水</w:t>
                  </w:r>
                </w:p>
              </w:tc>
              <w:tc>
                <w:tcPr>
                  <w:tcW w:w="602" w:type="pct"/>
                  <w:tcBorders>
                    <w:tl2br w:val="nil"/>
                    <w:tr2bl w:val="nil"/>
                  </w:tcBorders>
                  <w:shd w:val="clear" w:color="auto" w:fill="auto"/>
                  <w:vAlign w:val="center"/>
                </w:tcPr>
                <w:p w14:paraId="0883A310">
                  <w:pPr>
                    <w:pStyle w:val="26"/>
                    <w:keepNext w:val="0"/>
                    <w:keepLines w:val="0"/>
                    <w:suppressLineNumbers w:val="0"/>
                    <w:spacing w:before="0" w:beforeAutospacing="0" w:after="0" w:afterAutospacing="0"/>
                    <w:ind w:left="0" w:right="0"/>
                    <w:rPr>
                      <w:rFonts w:hint="default"/>
                    </w:rPr>
                  </w:pPr>
                  <w:r>
                    <w:rPr>
                      <w:rFonts w:hint="default"/>
                    </w:rPr>
                    <w:t>0.12m</w:t>
                  </w:r>
                  <w:r>
                    <w:rPr>
                      <w:rFonts w:hint="default"/>
                      <w:vertAlign w:val="superscript"/>
                    </w:rPr>
                    <w:t>3</w:t>
                  </w:r>
                  <w:r>
                    <w:rPr>
                      <w:rFonts w:hint="default"/>
                    </w:rPr>
                    <w:t>/h</w:t>
                  </w:r>
                </w:p>
              </w:tc>
              <w:tc>
                <w:tcPr>
                  <w:tcW w:w="492" w:type="pct"/>
                  <w:tcBorders>
                    <w:tl2br w:val="nil"/>
                    <w:tr2bl w:val="nil"/>
                  </w:tcBorders>
                  <w:shd w:val="clear" w:color="auto" w:fill="auto"/>
                  <w:vAlign w:val="center"/>
                </w:tcPr>
                <w:p w14:paraId="35ABB0C5">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77473628">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6D69A516">
                  <w:pPr>
                    <w:pStyle w:val="26"/>
                    <w:keepNext w:val="0"/>
                    <w:keepLines w:val="0"/>
                    <w:suppressLineNumbers w:val="0"/>
                    <w:spacing w:before="0" w:beforeAutospacing="0" w:after="0" w:afterAutospacing="0"/>
                    <w:ind w:left="0" w:right="0"/>
                    <w:rPr>
                      <w:rFonts w:hint="default"/>
                    </w:rPr>
                  </w:pPr>
                  <w:r>
                    <w:rPr>
                      <w:rFonts w:hint="default"/>
                    </w:rPr>
                    <w:t>961.92</w:t>
                  </w:r>
                </w:p>
              </w:tc>
              <w:tc>
                <w:tcPr>
                  <w:tcW w:w="594" w:type="pct"/>
                  <w:tcBorders>
                    <w:tl2br w:val="nil"/>
                    <w:tr2bl w:val="nil"/>
                  </w:tcBorders>
                  <w:shd w:val="clear" w:color="auto" w:fill="auto"/>
                  <w:vAlign w:val="center"/>
                </w:tcPr>
                <w:p w14:paraId="471EDCBB">
                  <w:pPr>
                    <w:pStyle w:val="26"/>
                    <w:keepNext w:val="0"/>
                    <w:keepLines w:val="0"/>
                    <w:suppressLineNumbers w:val="0"/>
                    <w:spacing w:before="0" w:beforeAutospacing="0" w:after="0" w:afterAutospacing="0"/>
                    <w:ind w:left="0" w:right="0"/>
                    <w:rPr>
                      <w:rFonts w:hint="default"/>
                    </w:rPr>
                  </w:pPr>
                  <w:r>
                    <w:rPr>
                      <w:rFonts w:hint="default"/>
                    </w:rPr>
                    <w:t>/</w:t>
                  </w:r>
                </w:p>
              </w:tc>
            </w:tr>
            <w:tr w14:paraId="2149C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continue"/>
                  <w:tcBorders>
                    <w:tl2br w:val="nil"/>
                    <w:tr2bl w:val="nil"/>
                  </w:tcBorders>
                  <w:shd w:val="clear" w:color="auto" w:fill="auto"/>
                  <w:noWrap/>
                  <w:vAlign w:val="center"/>
                </w:tcPr>
                <w:p w14:paraId="6CAB6241">
                  <w:pPr>
                    <w:pStyle w:val="26"/>
                    <w:keepNext w:val="0"/>
                    <w:keepLines w:val="0"/>
                    <w:suppressLineNumbers w:val="0"/>
                    <w:spacing w:before="0" w:beforeAutospacing="0" w:after="0" w:afterAutospacing="0"/>
                    <w:ind w:left="0" w:right="0"/>
                    <w:rPr>
                      <w:rFonts w:hint="default"/>
                    </w:rPr>
                  </w:pPr>
                </w:p>
              </w:tc>
              <w:tc>
                <w:tcPr>
                  <w:tcW w:w="602" w:type="pct"/>
                  <w:vMerge w:val="continue"/>
                  <w:tcBorders>
                    <w:tl2br w:val="nil"/>
                    <w:tr2bl w:val="nil"/>
                  </w:tcBorders>
                  <w:shd w:val="clear" w:color="auto" w:fill="auto"/>
                  <w:vAlign w:val="center"/>
                </w:tcPr>
                <w:p w14:paraId="357BB21B">
                  <w:pPr>
                    <w:pStyle w:val="26"/>
                    <w:keepNext w:val="0"/>
                    <w:keepLines w:val="0"/>
                    <w:suppressLineNumbers w:val="0"/>
                    <w:spacing w:before="0" w:beforeAutospacing="0" w:after="0" w:afterAutospacing="0"/>
                    <w:ind w:left="0" w:right="0"/>
                    <w:rPr>
                      <w:rFonts w:hint="default"/>
                    </w:rPr>
                  </w:pPr>
                </w:p>
              </w:tc>
              <w:tc>
                <w:tcPr>
                  <w:tcW w:w="992" w:type="pct"/>
                  <w:tcBorders>
                    <w:tl2br w:val="nil"/>
                    <w:tr2bl w:val="nil"/>
                  </w:tcBorders>
                  <w:shd w:val="clear" w:color="auto" w:fill="auto"/>
                  <w:vAlign w:val="center"/>
                </w:tcPr>
                <w:p w14:paraId="6CE8C7E3">
                  <w:pPr>
                    <w:pStyle w:val="26"/>
                    <w:keepNext w:val="0"/>
                    <w:keepLines w:val="0"/>
                    <w:suppressLineNumbers w:val="0"/>
                    <w:spacing w:before="0" w:beforeAutospacing="0" w:after="0" w:afterAutospacing="0"/>
                    <w:ind w:left="0" w:right="0"/>
                    <w:rPr>
                      <w:rFonts w:hint="default"/>
                    </w:rPr>
                  </w:pPr>
                  <w:r>
                    <w:rPr>
                      <w:rFonts w:hint="default"/>
                    </w:rPr>
                    <w:t>1#循环水池补水水</w:t>
                  </w:r>
                </w:p>
              </w:tc>
              <w:tc>
                <w:tcPr>
                  <w:tcW w:w="602" w:type="pct"/>
                  <w:tcBorders>
                    <w:tl2br w:val="nil"/>
                    <w:tr2bl w:val="nil"/>
                  </w:tcBorders>
                  <w:shd w:val="clear" w:color="auto" w:fill="auto"/>
                  <w:vAlign w:val="center"/>
                </w:tcPr>
                <w:p w14:paraId="449602F0">
                  <w:pPr>
                    <w:pStyle w:val="26"/>
                    <w:keepNext w:val="0"/>
                    <w:keepLines w:val="0"/>
                    <w:suppressLineNumbers w:val="0"/>
                    <w:spacing w:before="0" w:beforeAutospacing="0" w:after="0" w:afterAutospacing="0"/>
                    <w:ind w:left="0" w:right="0"/>
                    <w:rPr>
                      <w:rFonts w:hint="default"/>
                    </w:rPr>
                  </w:pPr>
                  <w:r>
                    <w:rPr>
                      <w:rFonts w:hint="default"/>
                    </w:rPr>
                    <w:t>3m</w:t>
                  </w:r>
                  <w:r>
                    <w:rPr>
                      <w:rFonts w:hint="default"/>
                      <w:vertAlign w:val="superscript"/>
                    </w:rPr>
                    <w:t>3</w:t>
                  </w:r>
                  <w:r>
                    <w:rPr>
                      <w:rFonts w:hint="default"/>
                    </w:rPr>
                    <w:t>/h</w:t>
                  </w:r>
                </w:p>
              </w:tc>
              <w:tc>
                <w:tcPr>
                  <w:tcW w:w="492" w:type="pct"/>
                  <w:tcBorders>
                    <w:tl2br w:val="nil"/>
                    <w:tr2bl w:val="nil"/>
                  </w:tcBorders>
                  <w:shd w:val="clear" w:color="auto" w:fill="auto"/>
                  <w:vAlign w:val="center"/>
                </w:tcPr>
                <w:p w14:paraId="5D4BAF1E">
                  <w:pPr>
                    <w:pStyle w:val="26"/>
                    <w:keepNext w:val="0"/>
                    <w:keepLines w:val="0"/>
                    <w:suppressLineNumbers w:val="0"/>
                    <w:spacing w:before="0" w:beforeAutospacing="0" w:after="0" w:afterAutospacing="0"/>
                    <w:ind w:left="0" w:right="0"/>
                    <w:rPr>
                      <w:rFonts w:hint="default"/>
                    </w:rPr>
                  </w:pPr>
                  <w:r>
                    <w:rPr>
                      <w:rFonts w:hint="default"/>
                    </w:rPr>
                    <w:t>1台</w:t>
                  </w:r>
                </w:p>
              </w:tc>
              <w:tc>
                <w:tcPr>
                  <w:tcW w:w="619" w:type="pct"/>
                  <w:tcBorders>
                    <w:tl2br w:val="nil"/>
                    <w:tr2bl w:val="nil"/>
                  </w:tcBorders>
                  <w:shd w:val="clear" w:color="auto" w:fill="auto"/>
                  <w:vAlign w:val="center"/>
                </w:tcPr>
                <w:p w14:paraId="7EC5A21B">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3E023E71">
                  <w:pPr>
                    <w:pStyle w:val="26"/>
                    <w:keepNext w:val="0"/>
                    <w:keepLines w:val="0"/>
                    <w:suppressLineNumbers w:val="0"/>
                    <w:spacing w:before="0" w:beforeAutospacing="0" w:after="0" w:afterAutospacing="0"/>
                    <w:ind w:left="0" w:right="0"/>
                    <w:rPr>
                      <w:rFonts w:hint="default"/>
                    </w:rPr>
                  </w:pPr>
                  <w:r>
                    <w:rPr>
                      <w:rFonts w:hint="default"/>
                    </w:rPr>
                    <w:t>24048</w:t>
                  </w:r>
                </w:p>
              </w:tc>
              <w:tc>
                <w:tcPr>
                  <w:tcW w:w="594" w:type="pct"/>
                  <w:tcBorders>
                    <w:tl2br w:val="nil"/>
                    <w:tr2bl w:val="nil"/>
                  </w:tcBorders>
                  <w:shd w:val="clear" w:color="auto" w:fill="auto"/>
                  <w:vAlign w:val="center"/>
                </w:tcPr>
                <w:p w14:paraId="295079DE">
                  <w:pPr>
                    <w:pStyle w:val="26"/>
                    <w:keepNext w:val="0"/>
                    <w:keepLines w:val="0"/>
                    <w:suppressLineNumbers w:val="0"/>
                    <w:spacing w:before="0" w:beforeAutospacing="0" w:after="0" w:afterAutospacing="0"/>
                    <w:ind w:left="0" w:right="0"/>
                    <w:rPr>
                      <w:rFonts w:hint="default"/>
                    </w:rPr>
                  </w:pPr>
                  <w:r>
                    <w:rPr>
                      <w:rFonts w:hint="default"/>
                    </w:rPr>
                    <w:t>2404800</w:t>
                  </w:r>
                </w:p>
              </w:tc>
            </w:tr>
            <w:tr w14:paraId="71E5B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continue"/>
                  <w:tcBorders>
                    <w:tl2br w:val="nil"/>
                    <w:tr2bl w:val="nil"/>
                  </w:tcBorders>
                  <w:shd w:val="clear" w:color="auto" w:fill="auto"/>
                  <w:noWrap/>
                  <w:vAlign w:val="center"/>
                </w:tcPr>
                <w:p w14:paraId="4E8D58F1">
                  <w:pPr>
                    <w:pStyle w:val="26"/>
                    <w:keepNext w:val="0"/>
                    <w:keepLines w:val="0"/>
                    <w:suppressLineNumbers w:val="0"/>
                    <w:spacing w:before="0" w:beforeAutospacing="0" w:after="0" w:afterAutospacing="0"/>
                    <w:ind w:left="0" w:right="0"/>
                    <w:rPr>
                      <w:rFonts w:hint="default"/>
                    </w:rPr>
                  </w:pPr>
                </w:p>
              </w:tc>
              <w:tc>
                <w:tcPr>
                  <w:tcW w:w="602" w:type="pct"/>
                  <w:vMerge w:val="continue"/>
                  <w:tcBorders>
                    <w:tl2br w:val="nil"/>
                    <w:tr2bl w:val="nil"/>
                  </w:tcBorders>
                  <w:shd w:val="clear" w:color="auto" w:fill="auto"/>
                  <w:vAlign w:val="center"/>
                </w:tcPr>
                <w:p w14:paraId="38A1612C">
                  <w:pPr>
                    <w:pStyle w:val="26"/>
                    <w:keepNext w:val="0"/>
                    <w:keepLines w:val="0"/>
                    <w:suppressLineNumbers w:val="0"/>
                    <w:spacing w:before="0" w:beforeAutospacing="0" w:after="0" w:afterAutospacing="0"/>
                    <w:ind w:left="0" w:right="0"/>
                    <w:rPr>
                      <w:rFonts w:hint="default"/>
                    </w:rPr>
                  </w:pPr>
                </w:p>
              </w:tc>
              <w:tc>
                <w:tcPr>
                  <w:tcW w:w="992" w:type="pct"/>
                  <w:tcBorders>
                    <w:tl2br w:val="nil"/>
                    <w:tr2bl w:val="nil"/>
                  </w:tcBorders>
                  <w:shd w:val="clear" w:color="auto" w:fill="auto"/>
                  <w:vAlign w:val="center"/>
                </w:tcPr>
                <w:p w14:paraId="06447633">
                  <w:pPr>
                    <w:pStyle w:val="26"/>
                    <w:keepNext w:val="0"/>
                    <w:keepLines w:val="0"/>
                    <w:suppressLineNumbers w:val="0"/>
                    <w:spacing w:before="0" w:beforeAutospacing="0" w:after="0" w:afterAutospacing="0"/>
                    <w:ind w:left="0" w:right="0"/>
                    <w:rPr>
                      <w:rFonts w:hint="default"/>
                    </w:rPr>
                  </w:pPr>
                  <w:r>
                    <w:rPr>
                      <w:rFonts w:hint="default"/>
                    </w:rPr>
                    <w:t>2#循环水池补水水</w:t>
                  </w:r>
                </w:p>
              </w:tc>
              <w:tc>
                <w:tcPr>
                  <w:tcW w:w="602" w:type="pct"/>
                  <w:tcBorders>
                    <w:tl2br w:val="nil"/>
                    <w:tr2bl w:val="nil"/>
                  </w:tcBorders>
                  <w:shd w:val="clear" w:color="auto" w:fill="auto"/>
                  <w:vAlign w:val="center"/>
                </w:tcPr>
                <w:p w14:paraId="09CDF592">
                  <w:pPr>
                    <w:pStyle w:val="26"/>
                    <w:keepNext w:val="0"/>
                    <w:keepLines w:val="0"/>
                    <w:suppressLineNumbers w:val="0"/>
                    <w:spacing w:before="0" w:beforeAutospacing="0" w:after="0" w:afterAutospacing="0"/>
                    <w:ind w:left="0" w:right="0"/>
                    <w:rPr>
                      <w:rFonts w:hint="default"/>
                    </w:rPr>
                  </w:pPr>
                  <w:r>
                    <w:rPr>
                      <w:rFonts w:hint="default"/>
                    </w:rPr>
                    <w:t>2m</w:t>
                  </w:r>
                  <w:r>
                    <w:rPr>
                      <w:rFonts w:hint="default"/>
                      <w:vertAlign w:val="superscript"/>
                    </w:rPr>
                    <w:t>3</w:t>
                  </w:r>
                  <w:r>
                    <w:rPr>
                      <w:rFonts w:hint="default"/>
                    </w:rPr>
                    <w:t>/h</w:t>
                  </w:r>
                </w:p>
              </w:tc>
              <w:tc>
                <w:tcPr>
                  <w:tcW w:w="492" w:type="pct"/>
                  <w:tcBorders>
                    <w:tl2br w:val="nil"/>
                    <w:tr2bl w:val="nil"/>
                  </w:tcBorders>
                  <w:shd w:val="clear" w:color="auto" w:fill="auto"/>
                  <w:vAlign w:val="center"/>
                </w:tcPr>
                <w:p w14:paraId="1FFB2D05">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3A800C89">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08866378">
                  <w:pPr>
                    <w:pStyle w:val="26"/>
                    <w:keepNext w:val="0"/>
                    <w:keepLines w:val="0"/>
                    <w:suppressLineNumbers w:val="0"/>
                    <w:spacing w:before="0" w:beforeAutospacing="0" w:after="0" w:afterAutospacing="0"/>
                    <w:ind w:left="0" w:right="0"/>
                    <w:rPr>
                      <w:rFonts w:hint="default"/>
                    </w:rPr>
                  </w:pPr>
                  <w:r>
                    <w:rPr>
                      <w:rFonts w:hint="default"/>
                    </w:rPr>
                    <w:t>16032</w:t>
                  </w:r>
                </w:p>
              </w:tc>
              <w:tc>
                <w:tcPr>
                  <w:tcW w:w="594" w:type="pct"/>
                  <w:tcBorders>
                    <w:tl2br w:val="nil"/>
                    <w:tr2bl w:val="nil"/>
                  </w:tcBorders>
                  <w:shd w:val="clear" w:color="auto" w:fill="auto"/>
                  <w:vAlign w:val="center"/>
                </w:tcPr>
                <w:p w14:paraId="3AFB4A54">
                  <w:pPr>
                    <w:pStyle w:val="26"/>
                    <w:keepNext w:val="0"/>
                    <w:keepLines w:val="0"/>
                    <w:suppressLineNumbers w:val="0"/>
                    <w:spacing w:before="0" w:beforeAutospacing="0" w:after="0" w:afterAutospacing="0"/>
                    <w:ind w:left="0" w:right="0"/>
                    <w:rPr>
                      <w:rFonts w:hint="default"/>
                    </w:rPr>
                  </w:pPr>
                  <w:r>
                    <w:rPr>
                      <w:rFonts w:hint="default"/>
                    </w:rPr>
                    <w:t>1603200</w:t>
                  </w:r>
                </w:p>
              </w:tc>
            </w:tr>
            <w:tr w14:paraId="024BAB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continue"/>
                  <w:tcBorders>
                    <w:tl2br w:val="nil"/>
                    <w:tr2bl w:val="nil"/>
                  </w:tcBorders>
                  <w:shd w:val="clear" w:color="auto" w:fill="auto"/>
                  <w:noWrap/>
                  <w:vAlign w:val="center"/>
                </w:tcPr>
                <w:p w14:paraId="05474921">
                  <w:pPr>
                    <w:pStyle w:val="26"/>
                    <w:keepNext w:val="0"/>
                    <w:keepLines w:val="0"/>
                    <w:suppressLineNumbers w:val="0"/>
                    <w:spacing w:before="0" w:beforeAutospacing="0" w:after="0" w:afterAutospacing="0"/>
                    <w:ind w:left="0" w:right="0"/>
                    <w:rPr>
                      <w:rFonts w:hint="default"/>
                    </w:rPr>
                  </w:pPr>
                </w:p>
              </w:tc>
              <w:tc>
                <w:tcPr>
                  <w:tcW w:w="1594" w:type="pct"/>
                  <w:gridSpan w:val="2"/>
                  <w:vMerge w:val="restart"/>
                  <w:tcBorders>
                    <w:tl2br w:val="nil"/>
                    <w:tr2bl w:val="nil"/>
                  </w:tcBorders>
                  <w:shd w:val="clear" w:color="auto" w:fill="auto"/>
                  <w:vAlign w:val="center"/>
                </w:tcPr>
                <w:p w14:paraId="3FC07298">
                  <w:pPr>
                    <w:pStyle w:val="26"/>
                    <w:keepNext w:val="0"/>
                    <w:keepLines w:val="0"/>
                    <w:suppressLineNumbers w:val="0"/>
                    <w:spacing w:before="0" w:beforeAutospacing="0" w:after="0" w:afterAutospacing="0"/>
                    <w:ind w:left="0" w:right="0"/>
                    <w:rPr>
                      <w:rFonts w:hint="default"/>
                    </w:rPr>
                  </w:pPr>
                  <w:r>
                    <w:rPr>
                      <w:rFonts w:hint="default"/>
                    </w:rPr>
                    <w:t>水膜循环水塔用水</w:t>
                  </w:r>
                </w:p>
              </w:tc>
              <w:tc>
                <w:tcPr>
                  <w:tcW w:w="602" w:type="pct"/>
                  <w:vMerge w:val="restart"/>
                  <w:tcBorders>
                    <w:tl2br w:val="nil"/>
                    <w:tr2bl w:val="nil"/>
                  </w:tcBorders>
                  <w:shd w:val="clear" w:color="auto" w:fill="auto"/>
                  <w:vAlign w:val="center"/>
                </w:tcPr>
                <w:p w14:paraId="0CDC134F">
                  <w:pPr>
                    <w:pStyle w:val="26"/>
                    <w:keepNext w:val="0"/>
                    <w:keepLines w:val="0"/>
                    <w:suppressLineNumbers w:val="0"/>
                    <w:spacing w:before="0" w:beforeAutospacing="0" w:after="0" w:afterAutospacing="0"/>
                    <w:ind w:left="0" w:right="0"/>
                    <w:rPr>
                      <w:rFonts w:hint="default"/>
                    </w:rPr>
                  </w:pPr>
                  <w:r>
                    <w:rPr>
                      <w:rFonts w:hint="default"/>
                    </w:rPr>
                    <w:t>1.92 m</w:t>
                  </w:r>
                  <w:r>
                    <w:rPr>
                      <w:rFonts w:hint="default"/>
                      <w:vertAlign w:val="superscript"/>
                    </w:rPr>
                    <w:t>3</w:t>
                  </w:r>
                  <w:r>
                    <w:rPr>
                      <w:rFonts w:hint="default"/>
                    </w:rPr>
                    <w:t>/d</w:t>
                  </w:r>
                </w:p>
              </w:tc>
              <w:tc>
                <w:tcPr>
                  <w:tcW w:w="492" w:type="pct"/>
                  <w:tcBorders>
                    <w:tl2br w:val="nil"/>
                    <w:tr2bl w:val="nil"/>
                  </w:tcBorders>
                  <w:shd w:val="clear" w:color="auto" w:fill="auto"/>
                  <w:vAlign w:val="center"/>
                </w:tcPr>
                <w:p w14:paraId="5A00FD28">
                  <w:pPr>
                    <w:pStyle w:val="26"/>
                    <w:keepNext w:val="0"/>
                    <w:keepLines w:val="0"/>
                    <w:suppressLineNumbers w:val="0"/>
                    <w:spacing w:before="0" w:beforeAutospacing="0" w:after="0" w:afterAutospacing="0"/>
                    <w:ind w:left="0" w:right="0"/>
                    <w:rPr>
                      <w:rFonts w:hint="default"/>
                    </w:rPr>
                  </w:pPr>
                  <w:r>
                    <w:rPr>
                      <w:rFonts w:hint="default"/>
                    </w:rPr>
                    <w:t>/</w:t>
                  </w:r>
                </w:p>
              </w:tc>
              <w:tc>
                <w:tcPr>
                  <w:tcW w:w="619" w:type="pct"/>
                  <w:tcBorders>
                    <w:tl2br w:val="nil"/>
                    <w:tr2bl w:val="nil"/>
                  </w:tcBorders>
                  <w:shd w:val="clear" w:color="auto" w:fill="auto"/>
                  <w:vAlign w:val="center"/>
                </w:tcPr>
                <w:p w14:paraId="6FBCC695">
                  <w:pPr>
                    <w:pStyle w:val="26"/>
                    <w:keepNext w:val="0"/>
                    <w:keepLines w:val="0"/>
                    <w:suppressLineNumbers w:val="0"/>
                    <w:spacing w:before="0" w:beforeAutospacing="0" w:after="0" w:afterAutospacing="0"/>
                    <w:ind w:left="0" w:right="0"/>
                    <w:rPr>
                      <w:rFonts w:hint="default"/>
                    </w:rPr>
                  </w:pPr>
                  <w:r>
                    <w:rPr>
                      <w:rFonts w:hint="default"/>
                    </w:rPr>
                    <w:t>440.88</w:t>
                  </w:r>
                </w:p>
              </w:tc>
              <w:tc>
                <w:tcPr>
                  <w:tcW w:w="619" w:type="pct"/>
                  <w:tcBorders>
                    <w:tl2br w:val="nil"/>
                    <w:tr2bl w:val="nil"/>
                  </w:tcBorders>
                  <w:shd w:val="clear" w:color="auto" w:fill="auto"/>
                  <w:vAlign w:val="center"/>
                </w:tcPr>
                <w:p w14:paraId="62658271">
                  <w:pPr>
                    <w:pStyle w:val="26"/>
                    <w:keepNext w:val="0"/>
                    <w:keepLines w:val="0"/>
                    <w:suppressLineNumbers w:val="0"/>
                    <w:spacing w:before="0" w:beforeAutospacing="0" w:after="0" w:afterAutospacing="0"/>
                    <w:ind w:left="0" w:right="0"/>
                    <w:rPr>
                      <w:rFonts w:hint="default"/>
                    </w:rPr>
                  </w:pPr>
                  <w:r>
                    <w:rPr>
                      <w:rFonts w:hint="default"/>
                    </w:rPr>
                    <w:t>/</w:t>
                  </w:r>
                </w:p>
              </w:tc>
              <w:tc>
                <w:tcPr>
                  <w:tcW w:w="594" w:type="pct"/>
                  <w:tcBorders>
                    <w:tl2br w:val="nil"/>
                    <w:tr2bl w:val="nil"/>
                  </w:tcBorders>
                  <w:shd w:val="clear" w:color="auto" w:fill="auto"/>
                  <w:vAlign w:val="center"/>
                </w:tcPr>
                <w:p w14:paraId="2ED108D5">
                  <w:pPr>
                    <w:pStyle w:val="26"/>
                    <w:keepNext w:val="0"/>
                    <w:keepLines w:val="0"/>
                    <w:suppressLineNumbers w:val="0"/>
                    <w:spacing w:before="0" w:beforeAutospacing="0" w:after="0" w:afterAutospacing="0"/>
                    <w:ind w:left="0" w:right="0"/>
                    <w:rPr>
                      <w:rFonts w:hint="default"/>
                    </w:rPr>
                  </w:pPr>
                  <w:r>
                    <w:rPr>
                      <w:rFonts w:hint="default"/>
                    </w:rPr>
                    <w:t>/</w:t>
                  </w:r>
                </w:p>
              </w:tc>
            </w:tr>
            <w:tr w14:paraId="3BDD6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continue"/>
                  <w:tcBorders>
                    <w:tl2br w:val="nil"/>
                    <w:tr2bl w:val="nil"/>
                  </w:tcBorders>
                  <w:shd w:val="clear" w:color="auto" w:fill="auto"/>
                  <w:noWrap/>
                  <w:vAlign w:val="center"/>
                </w:tcPr>
                <w:p w14:paraId="51C62EE7">
                  <w:pPr>
                    <w:pStyle w:val="26"/>
                    <w:keepNext w:val="0"/>
                    <w:keepLines w:val="0"/>
                    <w:suppressLineNumbers w:val="0"/>
                    <w:spacing w:before="0" w:beforeAutospacing="0" w:after="0" w:afterAutospacing="0"/>
                    <w:ind w:left="0" w:right="0"/>
                    <w:rPr>
                      <w:rFonts w:hint="default"/>
                    </w:rPr>
                  </w:pPr>
                </w:p>
              </w:tc>
              <w:tc>
                <w:tcPr>
                  <w:tcW w:w="1594" w:type="pct"/>
                  <w:gridSpan w:val="2"/>
                  <w:vMerge w:val="continue"/>
                  <w:tcBorders>
                    <w:tl2br w:val="nil"/>
                    <w:tr2bl w:val="nil"/>
                  </w:tcBorders>
                  <w:shd w:val="clear" w:color="auto" w:fill="auto"/>
                  <w:vAlign w:val="center"/>
                </w:tcPr>
                <w:p w14:paraId="78466EA1">
                  <w:pPr>
                    <w:pStyle w:val="28"/>
                    <w:keepNext w:val="0"/>
                    <w:keepLines w:val="0"/>
                    <w:suppressLineNumbers w:val="0"/>
                    <w:spacing w:before="0" w:beforeAutospacing="0" w:after="0" w:afterAutospacing="0"/>
                    <w:ind w:left="0" w:right="0"/>
                    <w:rPr>
                      <w:rFonts w:hint="default"/>
                      <w:color w:val="auto"/>
                    </w:rPr>
                  </w:pPr>
                </w:p>
              </w:tc>
              <w:tc>
                <w:tcPr>
                  <w:tcW w:w="602" w:type="pct"/>
                  <w:vMerge w:val="continue"/>
                  <w:tcBorders>
                    <w:tl2br w:val="nil"/>
                    <w:tr2bl w:val="nil"/>
                  </w:tcBorders>
                  <w:shd w:val="clear" w:color="auto" w:fill="auto"/>
                  <w:vAlign w:val="center"/>
                </w:tcPr>
                <w:p w14:paraId="49919416">
                  <w:pPr>
                    <w:pStyle w:val="28"/>
                    <w:keepNext w:val="0"/>
                    <w:keepLines w:val="0"/>
                    <w:suppressLineNumbers w:val="0"/>
                    <w:spacing w:before="0" w:beforeAutospacing="0" w:after="0" w:afterAutospacing="0"/>
                    <w:ind w:left="0" w:right="0"/>
                    <w:rPr>
                      <w:rFonts w:hint="default"/>
                      <w:color w:val="auto"/>
                    </w:rPr>
                  </w:pPr>
                </w:p>
              </w:tc>
              <w:tc>
                <w:tcPr>
                  <w:tcW w:w="492" w:type="pct"/>
                  <w:tcBorders>
                    <w:tl2br w:val="nil"/>
                    <w:tr2bl w:val="nil"/>
                  </w:tcBorders>
                  <w:shd w:val="clear" w:color="auto" w:fill="auto"/>
                  <w:vAlign w:val="center"/>
                </w:tcPr>
                <w:p w14:paraId="73767DF6">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619" w:type="pct"/>
                  <w:tcBorders>
                    <w:tl2br w:val="nil"/>
                    <w:tr2bl w:val="nil"/>
                  </w:tcBorders>
                  <w:shd w:val="clear" w:color="auto" w:fill="auto"/>
                  <w:vAlign w:val="center"/>
                </w:tcPr>
                <w:p w14:paraId="535F2255">
                  <w:pPr>
                    <w:pStyle w:val="26"/>
                    <w:keepNext w:val="0"/>
                    <w:keepLines w:val="0"/>
                    <w:suppressLineNumbers w:val="0"/>
                    <w:spacing w:before="0" w:beforeAutospacing="0" w:after="0" w:afterAutospacing="0"/>
                    <w:ind w:left="0" w:right="0"/>
                    <w:rPr>
                      <w:rFonts w:hint="default"/>
                    </w:rPr>
                  </w:pPr>
                  <w:r>
                    <w:rPr>
                      <w:rFonts w:hint="default"/>
                    </w:rPr>
                    <w:t>200.4（碱液中的水）</w:t>
                  </w:r>
                </w:p>
              </w:tc>
              <w:tc>
                <w:tcPr>
                  <w:tcW w:w="619" w:type="pct"/>
                  <w:tcBorders>
                    <w:tl2br w:val="nil"/>
                    <w:tr2bl w:val="nil"/>
                  </w:tcBorders>
                  <w:shd w:val="clear" w:color="auto" w:fill="auto"/>
                  <w:vAlign w:val="center"/>
                </w:tcPr>
                <w:p w14:paraId="49B4E9F1">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594" w:type="pct"/>
                  <w:tcBorders>
                    <w:tl2br w:val="nil"/>
                    <w:tr2bl w:val="nil"/>
                  </w:tcBorders>
                  <w:shd w:val="clear" w:color="auto" w:fill="auto"/>
                  <w:vAlign w:val="center"/>
                </w:tcPr>
                <w:p w14:paraId="1080CAEB">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r>
            <w:tr w14:paraId="06F4C1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0" w:type="pct"/>
                  <w:vMerge w:val="continue"/>
                  <w:tcBorders>
                    <w:tl2br w:val="nil"/>
                    <w:tr2bl w:val="nil"/>
                  </w:tcBorders>
                  <w:shd w:val="clear" w:color="auto" w:fill="auto"/>
                  <w:noWrap/>
                  <w:vAlign w:val="center"/>
                </w:tcPr>
                <w:p w14:paraId="02EC3C2B">
                  <w:pPr>
                    <w:pStyle w:val="26"/>
                    <w:keepNext w:val="0"/>
                    <w:keepLines w:val="0"/>
                    <w:suppressLineNumbers w:val="0"/>
                    <w:spacing w:before="0" w:beforeAutospacing="0" w:after="0" w:afterAutospacing="0"/>
                    <w:ind w:left="0" w:right="0"/>
                    <w:rPr>
                      <w:rFonts w:hint="default"/>
                    </w:rPr>
                  </w:pPr>
                </w:p>
              </w:tc>
              <w:tc>
                <w:tcPr>
                  <w:tcW w:w="1594" w:type="pct"/>
                  <w:gridSpan w:val="2"/>
                  <w:tcBorders>
                    <w:tl2br w:val="nil"/>
                    <w:tr2bl w:val="nil"/>
                  </w:tcBorders>
                  <w:shd w:val="clear" w:color="auto" w:fill="auto"/>
                  <w:vAlign w:val="center"/>
                </w:tcPr>
                <w:p w14:paraId="18F98EA0">
                  <w:pPr>
                    <w:pStyle w:val="26"/>
                    <w:keepNext w:val="0"/>
                    <w:keepLines w:val="0"/>
                    <w:suppressLineNumbers w:val="0"/>
                    <w:spacing w:before="0" w:beforeAutospacing="0" w:after="0" w:afterAutospacing="0"/>
                    <w:ind w:left="0" w:right="0"/>
                    <w:rPr>
                      <w:rFonts w:hint="default"/>
                    </w:rPr>
                  </w:pPr>
                  <w:r>
                    <w:rPr>
                      <w:rFonts w:hint="default"/>
                    </w:rPr>
                    <w:t>雾炮机用水</w:t>
                  </w:r>
                </w:p>
              </w:tc>
              <w:tc>
                <w:tcPr>
                  <w:tcW w:w="602" w:type="pct"/>
                  <w:tcBorders>
                    <w:tl2br w:val="nil"/>
                    <w:tr2bl w:val="nil"/>
                  </w:tcBorders>
                  <w:shd w:val="clear" w:color="auto" w:fill="auto"/>
                  <w:vAlign w:val="center"/>
                </w:tcPr>
                <w:p w14:paraId="01C82D50">
                  <w:pPr>
                    <w:pStyle w:val="26"/>
                    <w:keepNext w:val="0"/>
                    <w:keepLines w:val="0"/>
                    <w:suppressLineNumbers w:val="0"/>
                    <w:spacing w:before="0" w:beforeAutospacing="0" w:after="0" w:afterAutospacing="0"/>
                    <w:ind w:left="0" w:right="0"/>
                    <w:rPr>
                      <w:rFonts w:hint="default"/>
                    </w:rPr>
                  </w:pPr>
                  <w:r>
                    <w:rPr>
                      <w:rFonts w:hint="default"/>
                    </w:rPr>
                    <w:t>5m</w:t>
                  </w:r>
                  <w:r>
                    <w:rPr>
                      <w:rFonts w:hint="default"/>
                      <w:vertAlign w:val="superscript"/>
                    </w:rPr>
                    <w:t>3</w:t>
                  </w:r>
                  <w:r>
                    <w:rPr>
                      <w:rFonts w:hint="default"/>
                    </w:rPr>
                    <w:t>/h</w:t>
                  </w:r>
                </w:p>
              </w:tc>
              <w:tc>
                <w:tcPr>
                  <w:tcW w:w="492" w:type="pct"/>
                  <w:tcBorders>
                    <w:tl2br w:val="nil"/>
                    <w:tr2bl w:val="nil"/>
                  </w:tcBorders>
                  <w:shd w:val="clear" w:color="auto" w:fill="auto"/>
                  <w:vAlign w:val="center"/>
                </w:tcPr>
                <w:p w14:paraId="17BBBE82">
                  <w:pPr>
                    <w:pStyle w:val="26"/>
                    <w:keepNext w:val="0"/>
                    <w:keepLines w:val="0"/>
                    <w:suppressLineNumbers w:val="0"/>
                    <w:spacing w:before="0" w:beforeAutospacing="0" w:after="0" w:afterAutospacing="0"/>
                    <w:ind w:left="0" w:right="0"/>
                    <w:rPr>
                      <w:rFonts w:hint="default"/>
                    </w:rPr>
                  </w:pPr>
                  <w:r>
                    <w:rPr>
                      <w:rFonts w:hint="default"/>
                    </w:rPr>
                    <w:t>1台</w:t>
                  </w:r>
                </w:p>
              </w:tc>
              <w:tc>
                <w:tcPr>
                  <w:tcW w:w="619" w:type="pct"/>
                  <w:tcBorders>
                    <w:tl2br w:val="nil"/>
                    <w:tr2bl w:val="nil"/>
                  </w:tcBorders>
                  <w:shd w:val="clear" w:color="auto" w:fill="auto"/>
                  <w:vAlign w:val="center"/>
                </w:tcPr>
                <w:p w14:paraId="538DEA63">
                  <w:pPr>
                    <w:pStyle w:val="26"/>
                    <w:keepNext w:val="0"/>
                    <w:keepLines w:val="0"/>
                    <w:suppressLineNumbers w:val="0"/>
                    <w:spacing w:before="0" w:beforeAutospacing="0" w:after="0" w:afterAutospacing="0"/>
                    <w:ind w:left="0" w:right="0"/>
                    <w:rPr>
                      <w:rFonts w:hint="default"/>
                    </w:rPr>
                  </w:pPr>
                  <w:r>
                    <w:rPr>
                      <w:rFonts w:hint="default"/>
                    </w:rPr>
                    <w:t>40080</w:t>
                  </w:r>
                </w:p>
              </w:tc>
              <w:tc>
                <w:tcPr>
                  <w:tcW w:w="619" w:type="pct"/>
                  <w:tcBorders>
                    <w:tl2br w:val="nil"/>
                    <w:tr2bl w:val="nil"/>
                  </w:tcBorders>
                  <w:shd w:val="clear" w:color="auto" w:fill="auto"/>
                  <w:vAlign w:val="center"/>
                </w:tcPr>
                <w:p w14:paraId="609F3B05">
                  <w:pPr>
                    <w:pStyle w:val="26"/>
                    <w:keepNext w:val="0"/>
                    <w:keepLines w:val="0"/>
                    <w:suppressLineNumbers w:val="0"/>
                    <w:spacing w:before="0" w:beforeAutospacing="0" w:after="0" w:afterAutospacing="0"/>
                    <w:ind w:left="0" w:right="0"/>
                    <w:rPr>
                      <w:rFonts w:hint="default"/>
                    </w:rPr>
                  </w:pPr>
                  <w:r>
                    <w:rPr>
                      <w:rFonts w:hint="default"/>
                    </w:rPr>
                    <w:t>/</w:t>
                  </w:r>
                </w:p>
              </w:tc>
              <w:tc>
                <w:tcPr>
                  <w:tcW w:w="594" w:type="pct"/>
                  <w:tcBorders>
                    <w:tl2br w:val="nil"/>
                    <w:tr2bl w:val="nil"/>
                  </w:tcBorders>
                  <w:shd w:val="clear" w:color="auto" w:fill="auto"/>
                  <w:vAlign w:val="center"/>
                </w:tcPr>
                <w:p w14:paraId="09B742D1">
                  <w:pPr>
                    <w:pStyle w:val="26"/>
                    <w:keepNext w:val="0"/>
                    <w:keepLines w:val="0"/>
                    <w:suppressLineNumbers w:val="0"/>
                    <w:spacing w:before="0" w:beforeAutospacing="0" w:after="0" w:afterAutospacing="0"/>
                    <w:ind w:left="0" w:right="0"/>
                    <w:rPr>
                      <w:rFonts w:hint="default"/>
                    </w:rPr>
                  </w:pPr>
                  <w:r>
                    <w:rPr>
                      <w:rFonts w:hint="default"/>
                    </w:rPr>
                    <w:t>/</w:t>
                  </w:r>
                </w:p>
              </w:tc>
            </w:tr>
            <w:tr w14:paraId="7ED24A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168" w:type="pct"/>
                  <w:gridSpan w:val="5"/>
                  <w:tcBorders>
                    <w:tl2br w:val="nil"/>
                    <w:tr2bl w:val="nil"/>
                  </w:tcBorders>
                  <w:shd w:val="clear" w:color="auto" w:fill="auto"/>
                  <w:noWrap/>
                  <w:vAlign w:val="center"/>
                </w:tcPr>
                <w:p w14:paraId="23BD946D">
                  <w:pPr>
                    <w:pStyle w:val="26"/>
                    <w:keepNext w:val="0"/>
                    <w:keepLines w:val="0"/>
                    <w:suppressLineNumbers w:val="0"/>
                    <w:spacing w:before="0" w:beforeAutospacing="0" w:after="0" w:afterAutospacing="0"/>
                    <w:ind w:left="0" w:right="0"/>
                    <w:rPr>
                      <w:rFonts w:hint="default"/>
                    </w:rPr>
                  </w:pPr>
                  <w:r>
                    <w:rPr>
                      <w:rFonts w:hint="default"/>
                    </w:rPr>
                    <w:t>合计</w:t>
                  </w:r>
                </w:p>
              </w:tc>
              <w:tc>
                <w:tcPr>
                  <w:tcW w:w="619" w:type="pct"/>
                  <w:tcBorders>
                    <w:tl2br w:val="nil"/>
                    <w:tr2bl w:val="nil"/>
                  </w:tcBorders>
                  <w:shd w:val="clear" w:color="auto" w:fill="auto"/>
                  <w:vAlign w:val="center"/>
                </w:tcPr>
                <w:p w14:paraId="74E58312">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92574.78</w:t>
                  </w:r>
                </w:p>
              </w:tc>
              <w:tc>
                <w:tcPr>
                  <w:tcW w:w="619" w:type="pct"/>
                  <w:tcBorders>
                    <w:tl2br w:val="nil"/>
                    <w:tr2bl w:val="nil"/>
                  </w:tcBorders>
                  <w:shd w:val="clear" w:color="auto" w:fill="auto"/>
                  <w:vAlign w:val="center"/>
                </w:tcPr>
                <w:p w14:paraId="47F37595">
                  <w:pPr>
                    <w:pStyle w:val="28"/>
                    <w:keepNext w:val="0"/>
                    <w:keepLines w:val="0"/>
                    <w:suppressLineNumbers w:val="0"/>
                    <w:spacing w:before="0" w:beforeAutospacing="0" w:after="0" w:afterAutospacing="0"/>
                    <w:ind w:left="0" w:right="0"/>
                    <w:rPr>
                      <w:rFonts w:hint="default"/>
                      <w:color w:val="auto"/>
                    </w:rPr>
                  </w:pPr>
                  <w:r>
                    <w:rPr>
                      <w:rFonts w:hint="default"/>
                      <w:color w:val="auto"/>
                    </w:rPr>
                    <w:t>41041.92</w:t>
                  </w:r>
                </w:p>
              </w:tc>
              <w:tc>
                <w:tcPr>
                  <w:tcW w:w="594" w:type="pct"/>
                  <w:tcBorders>
                    <w:tl2br w:val="nil"/>
                    <w:tr2bl w:val="nil"/>
                  </w:tcBorders>
                  <w:shd w:val="clear" w:color="auto" w:fill="auto"/>
                  <w:vAlign w:val="bottom"/>
                </w:tcPr>
                <w:p w14:paraId="1F7BC253">
                  <w:pPr>
                    <w:pStyle w:val="28"/>
                    <w:keepNext w:val="0"/>
                    <w:keepLines w:val="0"/>
                    <w:suppressLineNumbers w:val="0"/>
                    <w:spacing w:before="0" w:beforeAutospacing="0" w:after="0" w:afterAutospacing="0"/>
                    <w:ind w:left="0" w:right="0"/>
                    <w:rPr>
                      <w:rFonts w:hint="default"/>
                      <w:color w:val="auto"/>
                    </w:rPr>
                  </w:pPr>
                  <w:r>
                    <w:rPr>
                      <w:rFonts w:hint="default"/>
                      <w:color w:val="auto"/>
                    </w:rPr>
                    <w:t>4008000</w:t>
                  </w:r>
                </w:p>
              </w:tc>
            </w:tr>
          </w:tbl>
          <w:p w14:paraId="066E6E2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3、排水</w:t>
            </w:r>
          </w:p>
          <w:p w14:paraId="6C5A27C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本项目厂区实行“雨污分流”，雨水经雨水管道收集后进入市政雨水管网；食堂废水经隔油池处理后同软水制备废水以及办公生活污水一并进入预处理池（化粪池）处理达</w:t>
            </w:r>
            <w:r>
              <w:rPr>
                <w:rFonts w:hint="eastAsia" w:cs="Times New Roman"/>
                <w:color w:val="auto"/>
              </w:rPr>
              <w:t>《四川省化工园区水污染物排放标准》（DB51/3202-2024）表1标准</w:t>
            </w:r>
            <w:r>
              <w:rPr>
                <w:rFonts w:hint="default" w:cs="Times New Roman"/>
                <w:color w:val="auto"/>
              </w:rPr>
              <w:t>后排入园区污水管网。</w:t>
            </w:r>
          </w:p>
          <w:p w14:paraId="443DC272">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2.1.9水平衡</w:t>
            </w:r>
          </w:p>
          <w:p w14:paraId="6549C393">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object>
                <v:shape id="_x0000_i1025" o:spt="75" type="#_x0000_t75" style="height:364.35pt;width:383.45pt;" o:ole="t" filled="f" o:preferrelative="t" stroked="f" coordsize="21600,21600">
                  <v:path/>
                  <v:fill on="f" focussize="0,0"/>
                  <v:stroke on="f" joinstyle="miter"/>
                  <v:imagedata r:id="rId22" o:title=""/>
                  <o:lock v:ext="edit" aspectratio="t"/>
                  <w10:wrap type="none"/>
                  <w10:anchorlock/>
                </v:shape>
                <o:OLEObject Type="Embed" ProgID="Visio.Drawing.11" ShapeID="_x0000_i1025" DrawAspect="Content" ObjectID="_1468075725" r:id="rId21">
                  <o:LockedField>false</o:LockedField>
                </o:OLEObject>
              </w:object>
            </w:r>
          </w:p>
          <w:p w14:paraId="778B743D">
            <w:pPr>
              <w:pStyle w:val="34"/>
              <w:keepNext w:val="0"/>
              <w:keepLines w:val="0"/>
              <w:suppressLineNumbers w:val="0"/>
              <w:spacing w:before="0" w:beforeAutospacing="0" w:after="0" w:afterAutospacing="0"/>
              <w:ind w:left="0" w:right="0"/>
              <w:rPr>
                <w:rFonts w:hint="default"/>
                <w:color w:val="auto"/>
              </w:rPr>
            </w:pPr>
            <w:r>
              <w:rPr>
                <w:rFonts w:hint="default"/>
                <w:color w:val="auto"/>
              </w:rPr>
              <w:t>本项目水平衡图   单位：（m</w:t>
            </w:r>
            <w:r>
              <w:rPr>
                <w:rFonts w:hint="default"/>
                <w:color w:val="auto"/>
                <w:vertAlign w:val="superscript"/>
              </w:rPr>
              <w:t>3</w:t>
            </w:r>
            <w:r>
              <w:rPr>
                <w:rFonts w:hint="default"/>
                <w:color w:val="auto"/>
              </w:rPr>
              <w:t>/d）</w:t>
            </w:r>
          </w:p>
          <w:p w14:paraId="5EDB4398">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2.1.10物料平衡</w:t>
            </w:r>
          </w:p>
          <w:p w14:paraId="0350C12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根据建设单位提供资料，由于硫磺产品含量有细微差别，本次评价物料衡算按产污量最大（最不利于环境）的情况来进行物料衡算，即按工业级硫磺原料最大可产50%的食品级硫磺来核算，本项目物料平衡如下所示：</w:t>
            </w:r>
          </w:p>
          <w:p w14:paraId="3ABEE7CB">
            <w:pPr>
              <w:pStyle w:val="34"/>
              <w:keepNext w:val="0"/>
              <w:keepLines w:val="0"/>
              <w:suppressLineNumbers w:val="0"/>
              <w:spacing w:before="0" w:beforeAutospacing="0" w:after="0" w:afterAutospacing="0"/>
              <w:ind w:left="0" w:right="0"/>
              <w:rPr>
                <w:rFonts w:hint="default"/>
                <w:color w:val="auto"/>
              </w:rPr>
            </w:pPr>
            <w:r>
              <w:rPr>
                <w:rFonts w:hint="default"/>
                <w:color w:val="auto"/>
              </w:rPr>
              <w:t>本项目硫磺生产物料平衡图    单位：t/a</w:t>
            </w:r>
          </w:p>
          <w:tbl>
            <w:tblPr>
              <w:tblStyle w:val="18"/>
              <w:tblW w:w="7824" w:type="dxa"/>
              <w:tblInd w:w="9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9"/>
              <w:gridCol w:w="1343"/>
              <w:gridCol w:w="1104"/>
              <w:gridCol w:w="959"/>
              <w:gridCol w:w="1697"/>
              <w:gridCol w:w="1643"/>
            </w:tblGrid>
            <w:tr w14:paraId="152C1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vMerge w:val="restart"/>
                  <w:tcBorders>
                    <w:tl2br w:val="nil"/>
                    <w:tr2bl w:val="nil"/>
                  </w:tcBorders>
                  <w:shd w:val="clear" w:color="auto" w:fill="auto"/>
                  <w:vAlign w:val="center"/>
                </w:tcPr>
                <w:p w14:paraId="7903B49C">
                  <w:pPr>
                    <w:pStyle w:val="28"/>
                    <w:keepNext w:val="0"/>
                    <w:keepLines w:val="0"/>
                    <w:suppressLineNumbers w:val="0"/>
                    <w:spacing w:before="0" w:beforeAutospacing="0" w:after="0" w:afterAutospacing="0"/>
                    <w:ind w:left="0" w:right="0"/>
                    <w:rPr>
                      <w:rFonts w:hint="default"/>
                      <w:color w:val="auto"/>
                    </w:rPr>
                  </w:pPr>
                  <w:bookmarkStart w:id="78" w:name="_Hlk202774735"/>
                  <w:r>
                    <w:rPr>
                      <w:rFonts w:hint="default"/>
                      <w:color w:val="auto"/>
                    </w:rPr>
                    <w:t>序号</w:t>
                  </w:r>
                </w:p>
              </w:tc>
              <w:tc>
                <w:tcPr>
                  <w:tcW w:w="2453" w:type="dxa"/>
                  <w:gridSpan w:val="2"/>
                  <w:tcBorders>
                    <w:tl2br w:val="nil"/>
                    <w:tr2bl w:val="nil"/>
                  </w:tcBorders>
                  <w:shd w:val="clear" w:color="auto" w:fill="auto"/>
                  <w:vAlign w:val="center"/>
                </w:tcPr>
                <w:p w14:paraId="4B59ECD8">
                  <w:pPr>
                    <w:pStyle w:val="28"/>
                    <w:keepNext w:val="0"/>
                    <w:keepLines w:val="0"/>
                    <w:suppressLineNumbers w:val="0"/>
                    <w:spacing w:before="0" w:beforeAutospacing="0" w:after="0" w:afterAutospacing="0"/>
                    <w:ind w:left="0" w:right="0"/>
                    <w:rPr>
                      <w:rFonts w:hint="default"/>
                      <w:color w:val="auto"/>
                    </w:rPr>
                  </w:pPr>
                  <w:r>
                    <w:rPr>
                      <w:rFonts w:hint="default"/>
                      <w:color w:val="auto"/>
                    </w:rPr>
                    <w:t>投入</w:t>
                  </w:r>
                </w:p>
              </w:tc>
              <w:tc>
                <w:tcPr>
                  <w:tcW w:w="4309" w:type="dxa"/>
                  <w:gridSpan w:val="3"/>
                  <w:tcBorders>
                    <w:tl2br w:val="nil"/>
                    <w:tr2bl w:val="nil"/>
                  </w:tcBorders>
                  <w:shd w:val="clear" w:color="auto" w:fill="auto"/>
                  <w:vAlign w:val="center"/>
                </w:tcPr>
                <w:p w14:paraId="32A1B1D0">
                  <w:pPr>
                    <w:pStyle w:val="28"/>
                    <w:keepNext w:val="0"/>
                    <w:keepLines w:val="0"/>
                    <w:suppressLineNumbers w:val="0"/>
                    <w:spacing w:before="0" w:beforeAutospacing="0" w:after="0" w:afterAutospacing="0"/>
                    <w:ind w:left="0" w:right="0"/>
                    <w:rPr>
                      <w:rFonts w:hint="default"/>
                      <w:color w:val="auto"/>
                    </w:rPr>
                  </w:pPr>
                  <w:r>
                    <w:rPr>
                      <w:rFonts w:hint="default"/>
                      <w:color w:val="auto"/>
                    </w:rPr>
                    <w:t>产出</w:t>
                  </w:r>
                </w:p>
              </w:tc>
            </w:tr>
            <w:tr w14:paraId="107FF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vMerge w:val="continue"/>
                  <w:tcBorders>
                    <w:tl2br w:val="nil"/>
                    <w:tr2bl w:val="nil"/>
                  </w:tcBorders>
                  <w:shd w:val="clear" w:color="auto" w:fill="auto"/>
                  <w:vAlign w:val="center"/>
                </w:tcPr>
                <w:p w14:paraId="30BDF43C">
                  <w:pPr>
                    <w:pStyle w:val="28"/>
                    <w:keepNext w:val="0"/>
                    <w:keepLines w:val="0"/>
                    <w:suppressLineNumbers w:val="0"/>
                    <w:spacing w:before="0" w:beforeAutospacing="0" w:after="0" w:afterAutospacing="0"/>
                    <w:ind w:left="0" w:right="0"/>
                    <w:rPr>
                      <w:rFonts w:hint="default"/>
                      <w:color w:val="auto"/>
                    </w:rPr>
                  </w:pPr>
                </w:p>
              </w:tc>
              <w:tc>
                <w:tcPr>
                  <w:tcW w:w="1346" w:type="dxa"/>
                  <w:tcBorders>
                    <w:tl2br w:val="nil"/>
                    <w:tr2bl w:val="nil"/>
                  </w:tcBorders>
                  <w:shd w:val="clear" w:color="auto" w:fill="auto"/>
                  <w:vAlign w:val="center"/>
                </w:tcPr>
                <w:p w14:paraId="7EE47D70">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1107" w:type="dxa"/>
                  <w:tcBorders>
                    <w:tl2br w:val="nil"/>
                    <w:tr2bl w:val="nil"/>
                  </w:tcBorders>
                  <w:shd w:val="clear" w:color="auto" w:fill="auto"/>
                  <w:vAlign w:val="center"/>
                </w:tcPr>
                <w:p w14:paraId="00D3B4DA">
                  <w:pPr>
                    <w:pStyle w:val="28"/>
                    <w:keepNext w:val="0"/>
                    <w:keepLines w:val="0"/>
                    <w:suppressLineNumbers w:val="0"/>
                    <w:spacing w:before="0" w:beforeAutospacing="0" w:after="0" w:afterAutospacing="0"/>
                    <w:ind w:left="0" w:right="0"/>
                    <w:rPr>
                      <w:rFonts w:hint="default"/>
                      <w:color w:val="auto"/>
                    </w:rPr>
                  </w:pPr>
                  <w:r>
                    <w:rPr>
                      <w:rFonts w:hint="default"/>
                      <w:color w:val="auto"/>
                    </w:rPr>
                    <w:t>投入量</w:t>
                  </w:r>
                </w:p>
              </w:tc>
              <w:tc>
                <w:tcPr>
                  <w:tcW w:w="2662" w:type="dxa"/>
                  <w:gridSpan w:val="2"/>
                  <w:tcBorders>
                    <w:tl2br w:val="nil"/>
                    <w:tr2bl w:val="nil"/>
                  </w:tcBorders>
                  <w:shd w:val="clear" w:color="auto" w:fill="auto"/>
                  <w:vAlign w:val="center"/>
                </w:tcPr>
                <w:p w14:paraId="04E64104">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1647" w:type="dxa"/>
                  <w:tcBorders>
                    <w:tl2br w:val="nil"/>
                    <w:tr2bl w:val="nil"/>
                  </w:tcBorders>
                  <w:shd w:val="clear" w:color="auto" w:fill="auto"/>
                  <w:vAlign w:val="center"/>
                </w:tcPr>
                <w:p w14:paraId="4A5AA907">
                  <w:pPr>
                    <w:pStyle w:val="28"/>
                    <w:keepNext w:val="0"/>
                    <w:keepLines w:val="0"/>
                    <w:suppressLineNumbers w:val="0"/>
                    <w:spacing w:before="0" w:beforeAutospacing="0" w:after="0" w:afterAutospacing="0"/>
                    <w:ind w:left="0" w:right="0"/>
                    <w:rPr>
                      <w:rFonts w:hint="default"/>
                      <w:color w:val="auto"/>
                    </w:rPr>
                  </w:pPr>
                  <w:r>
                    <w:rPr>
                      <w:rFonts w:hint="default"/>
                      <w:color w:val="auto"/>
                    </w:rPr>
                    <w:t>产出量</w:t>
                  </w:r>
                </w:p>
              </w:tc>
            </w:tr>
            <w:tr w14:paraId="4120A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4486EF60">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1346" w:type="dxa"/>
                  <w:tcBorders>
                    <w:tl2br w:val="nil"/>
                    <w:tr2bl w:val="nil"/>
                  </w:tcBorders>
                  <w:shd w:val="clear" w:color="auto" w:fill="auto"/>
                  <w:noWrap/>
                  <w:vAlign w:val="center"/>
                </w:tcPr>
                <w:p w14:paraId="251E2F8C">
                  <w:pPr>
                    <w:pStyle w:val="28"/>
                    <w:keepNext w:val="0"/>
                    <w:keepLines w:val="0"/>
                    <w:suppressLineNumbers w:val="0"/>
                    <w:spacing w:before="0" w:beforeAutospacing="0" w:after="0" w:afterAutospacing="0"/>
                    <w:ind w:left="0" w:right="0"/>
                    <w:rPr>
                      <w:rFonts w:hint="default"/>
                      <w:color w:val="auto"/>
                    </w:rPr>
                  </w:pPr>
                  <w:r>
                    <w:rPr>
                      <w:rFonts w:hint="default"/>
                      <w:color w:val="auto"/>
                    </w:rPr>
                    <w:t>工业级液硫</w:t>
                  </w:r>
                </w:p>
              </w:tc>
              <w:tc>
                <w:tcPr>
                  <w:tcW w:w="1107" w:type="dxa"/>
                  <w:tcBorders>
                    <w:tl2br w:val="nil"/>
                    <w:tr2bl w:val="nil"/>
                  </w:tcBorders>
                  <w:shd w:val="clear" w:color="auto" w:fill="auto"/>
                  <w:noWrap/>
                  <w:vAlign w:val="center"/>
                </w:tcPr>
                <w:p w14:paraId="6BD783CE">
                  <w:pPr>
                    <w:pStyle w:val="28"/>
                    <w:keepNext w:val="0"/>
                    <w:keepLines w:val="0"/>
                    <w:suppressLineNumbers w:val="0"/>
                    <w:spacing w:before="0" w:beforeAutospacing="0" w:after="0" w:afterAutospacing="0"/>
                    <w:ind w:left="0" w:right="0"/>
                    <w:rPr>
                      <w:rFonts w:hint="default"/>
                      <w:color w:val="auto"/>
                    </w:rPr>
                  </w:pPr>
                  <w:r>
                    <w:rPr>
                      <w:rFonts w:hint="default"/>
                      <w:color w:val="auto"/>
                    </w:rPr>
                    <w:t>100220</w:t>
                  </w:r>
                </w:p>
              </w:tc>
              <w:tc>
                <w:tcPr>
                  <w:tcW w:w="2662" w:type="dxa"/>
                  <w:gridSpan w:val="2"/>
                  <w:tcBorders>
                    <w:tl2br w:val="nil"/>
                    <w:tr2bl w:val="nil"/>
                  </w:tcBorders>
                  <w:shd w:val="clear" w:color="auto" w:fill="auto"/>
                  <w:noWrap/>
                  <w:vAlign w:val="center"/>
                </w:tcPr>
                <w:p w14:paraId="32B081E6">
                  <w:pPr>
                    <w:pStyle w:val="28"/>
                    <w:keepNext w:val="0"/>
                    <w:keepLines w:val="0"/>
                    <w:suppressLineNumbers w:val="0"/>
                    <w:spacing w:before="0" w:beforeAutospacing="0" w:after="0" w:afterAutospacing="0"/>
                    <w:ind w:left="0" w:right="0"/>
                    <w:rPr>
                      <w:rFonts w:hint="default"/>
                      <w:color w:val="auto"/>
                    </w:rPr>
                  </w:pPr>
                  <w:r>
                    <w:rPr>
                      <w:rFonts w:hint="default"/>
                      <w:color w:val="auto"/>
                    </w:rPr>
                    <w:t>食品级硫磺产品（或食品级硫磺、橡胶用硫磺粉、农药用硫磺粉、土壤改良硫磺粉）</w:t>
                  </w:r>
                </w:p>
              </w:tc>
              <w:tc>
                <w:tcPr>
                  <w:tcW w:w="1647" w:type="dxa"/>
                  <w:tcBorders>
                    <w:tl2br w:val="nil"/>
                    <w:tr2bl w:val="nil"/>
                  </w:tcBorders>
                  <w:shd w:val="clear" w:color="auto" w:fill="auto"/>
                  <w:noWrap/>
                  <w:vAlign w:val="center"/>
                </w:tcPr>
                <w:p w14:paraId="6FE59ADD">
                  <w:pPr>
                    <w:pStyle w:val="28"/>
                    <w:keepNext w:val="0"/>
                    <w:keepLines w:val="0"/>
                    <w:suppressLineNumbers w:val="0"/>
                    <w:spacing w:before="0" w:beforeAutospacing="0" w:after="0" w:afterAutospacing="0"/>
                    <w:ind w:left="0" w:right="0"/>
                    <w:rPr>
                      <w:rFonts w:hint="default"/>
                      <w:color w:val="auto"/>
                    </w:rPr>
                  </w:pPr>
                  <w:r>
                    <w:rPr>
                      <w:rFonts w:hint="default"/>
                      <w:color w:val="auto"/>
                    </w:rPr>
                    <w:t>50000</w:t>
                  </w:r>
                </w:p>
              </w:tc>
            </w:tr>
            <w:tr w14:paraId="22C77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40A10A91">
                  <w:pPr>
                    <w:pStyle w:val="28"/>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346" w:type="dxa"/>
                  <w:tcBorders>
                    <w:tl2br w:val="nil"/>
                    <w:tr2bl w:val="nil"/>
                  </w:tcBorders>
                  <w:shd w:val="clear" w:color="auto" w:fill="auto"/>
                  <w:noWrap/>
                  <w:vAlign w:val="center"/>
                </w:tcPr>
                <w:p w14:paraId="45514F15">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624AFE44">
                  <w:pPr>
                    <w:pStyle w:val="28"/>
                    <w:keepNext w:val="0"/>
                    <w:keepLines w:val="0"/>
                    <w:suppressLineNumbers w:val="0"/>
                    <w:spacing w:before="0" w:beforeAutospacing="0" w:after="0" w:afterAutospacing="0"/>
                    <w:ind w:left="0" w:right="0"/>
                    <w:rPr>
                      <w:rFonts w:hint="default"/>
                      <w:color w:val="auto"/>
                    </w:rPr>
                  </w:pPr>
                </w:p>
              </w:tc>
              <w:tc>
                <w:tcPr>
                  <w:tcW w:w="2662" w:type="dxa"/>
                  <w:gridSpan w:val="2"/>
                  <w:tcBorders>
                    <w:tl2br w:val="nil"/>
                    <w:tr2bl w:val="nil"/>
                  </w:tcBorders>
                  <w:shd w:val="clear" w:color="auto" w:fill="auto"/>
                  <w:noWrap/>
                  <w:vAlign w:val="center"/>
                </w:tcPr>
                <w:p w14:paraId="2EF0EB36">
                  <w:pPr>
                    <w:pStyle w:val="28"/>
                    <w:keepNext w:val="0"/>
                    <w:keepLines w:val="0"/>
                    <w:suppressLineNumbers w:val="0"/>
                    <w:spacing w:before="0" w:beforeAutospacing="0" w:after="0" w:afterAutospacing="0"/>
                    <w:ind w:left="0" w:right="0"/>
                    <w:rPr>
                      <w:rFonts w:hint="default"/>
                      <w:color w:val="auto"/>
                    </w:rPr>
                  </w:pPr>
                  <w:r>
                    <w:rPr>
                      <w:rFonts w:hint="default"/>
                      <w:color w:val="auto"/>
                    </w:rPr>
                    <w:t>工业级硫磺产品（或硫自养填料、沥青混凝土添加剂）</w:t>
                  </w:r>
                </w:p>
              </w:tc>
              <w:tc>
                <w:tcPr>
                  <w:tcW w:w="1647" w:type="dxa"/>
                  <w:tcBorders>
                    <w:tl2br w:val="nil"/>
                    <w:tr2bl w:val="nil"/>
                  </w:tcBorders>
                  <w:shd w:val="clear" w:color="auto" w:fill="auto"/>
                  <w:noWrap/>
                  <w:vAlign w:val="center"/>
                </w:tcPr>
                <w:p w14:paraId="72A8144A">
                  <w:pPr>
                    <w:pStyle w:val="28"/>
                    <w:keepNext w:val="0"/>
                    <w:keepLines w:val="0"/>
                    <w:suppressLineNumbers w:val="0"/>
                    <w:spacing w:before="0" w:beforeAutospacing="0" w:after="0" w:afterAutospacing="0"/>
                    <w:ind w:left="0" w:right="0"/>
                    <w:rPr>
                      <w:rFonts w:hint="default"/>
                      <w:color w:val="auto"/>
                    </w:rPr>
                  </w:pPr>
                  <w:r>
                    <w:rPr>
                      <w:rFonts w:hint="default"/>
                      <w:color w:val="auto"/>
                    </w:rPr>
                    <w:t>50000</w:t>
                  </w:r>
                </w:p>
              </w:tc>
            </w:tr>
            <w:tr w14:paraId="0FE1C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761E735E">
                  <w:pPr>
                    <w:pStyle w:val="28"/>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1346" w:type="dxa"/>
                  <w:tcBorders>
                    <w:tl2br w:val="nil"/>
                    <w:tr2bl w:val="nil"/>
                  </w:tcBorders>
                  <w:shd w:val="clear" w:color="auto" w:fill="auto"/>
                  <w:noWrap/>
                  <w:vAlign w:val="center"/>
                </w:tcPr>
                <w:p w14:paraId="075FDBB7">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068554C7">
                  <w:pPr>
                    <w:pStyle w:val="28"/>
                    <w:keepNext w:val="0"/>
                    <w:keepLines w:val="0"/>
                    <w:suppressLineNumbers w:val="0"/>
                    <w:spacing w:before="0" w:beforeAutospacing="0" w:after="0" w:afterAutospacing="0"/>
                    <w:ind w:left="0" w:right="0"/>
                    <w:rPr>
                      <w:rFonts w:hint="default"/>
                      <w:color w:val="auto"/>
                    </w:rPr>
                  </w:pPr>
                </w:p>
              </w:tc>
              <w:tc>
                <w:tcPr>
                  <w:tcW w:w="961" w:type="dxa"/>
                  <w:vMerge w:val="restart"/>
                  <w:tcBorders>
                    <w:right w:val="single" w:color="auto" w:sz="4" w:space="0"/>
                    <w:tl2br w:val="nil"/>
                    <w:tr2bl w:val="nil"/>
                  </w:tcBorders>
                  <w:shd w:val="clear" w:color="auto" w:fill="auto"/>
                  <w:noWrap/>
                  <w:vAlign w:val="center"/>
                </w:tcPr>
                <w:p w14:paraId="559245E7">
                  <w:pPr>
                    <w:pStyle w:val="28"/>
                    <w:keepNext w:val="0"/>
                    <w:keepLines w:val="0"/>
                    <w:suppressLineNumbers w:val="0"/>
                    <w:spacing w:before="0" w:beforeAutospacing="0" w:after="0" w:afterAutospacing="0"/>
                    <w:ind w:left="0" w:right="0"/>
                    <w:rPr>
                      <w:rFonts w:hint="default"/>
                      <w:color w:val="auto"/>
                    </w:rPr>
                  </w:pPr>
                  <w:r>
                    <w:rPr>
                      <w:rFonts w:hint="default"/>
                      <w:color w:val="auto"/>
                    </w:rPr>
                    <w:t>硫化氢</w:t>
                  </w:r>
                </w:p>
              </w:tc>
              <w:tc>
                <w:tcPr>
                  <w:tcW w:w="1701" w:type="dxa"/>
                  <w:tcBorders>
                    <w:left w:val="single" w:color="auto" w:sz="4" w:space="0"/>
                    <w:tl2br w:val="nil"/>
                    <w:tr2bl w:val="nil"/>
                  </w:tcBorders>
                  <w:shd w:val="clear" w:color="auto" w:fill="auto"/>
                  <w:vAlign w:val="center"/>
                </w:tcPr>
                <w:p w14:paraId="4DF83E4D">
                  <w:pPr>
                    <w:pStyle w:val="28"/>
                    <w:keepNext w:val="0"/>
                    <w:keepLines w:val="0"/>
                    <w:suppressLineNumbers w:val="0"/>
                    <w:spacing w:before="0" w:beforeAutospacing="0" w:after="0" w:afterAutospacing="0"/>
                    <w:ind w:left="0" w:right="0"/>
                    <w:rPr>
                      <w:rFonts w:hint="default"/>
                      <w:color w:val="auto"/>
                    </w:rPr>
                  </w:pPr>
                  <w:r>
                    <w:rPr>
                      <w:rFonts w:hint="default"/>
                      <w:color w:val="auto"/>
                    </w:rPr>
                    <w:t>进入有组织废气</w:t>
                  </w:r>
                </w:p>
              </w:tc>
              <w:tc>
                <w:tcPr>
                  <w:tcW w:w="1647" w:type="dxa"/>
                  <w:tcBorders>
                    <w:tl2br w:val="nil"/>
                    <w:tr2bl w:val="nil"/>
                  </w:tcBorders>
                  <w:shd w:val="clear" w:color="auto" w:fill="auto"/>
                  <w:noWrap/>
                  <w:vAlign w:val="center"/>
                </w:tcPr>
                <w:p w14:paraId="4BE1158D">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1.353</w:t>
                  </w:r>
                </w:p>
              </w:tc>
            </w:tr>
            <w:tr w14:paraId="54D5A5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5FA43496">
                  <w:pPr>
                    <w:pStyle w:val="28"/>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1346" w:type="dxa"/>
                  <w:tcBorders>
                    <w:tl2br w:val="nil"/>
                    <w:tr2bl w:val="nil"/>
                  </w:tcBorders>
                  <w:shd w:val="clear" w:color="auto" w:fill="auto"/>
                  <w:noWrap/>
                  <w:vAlign w:val="center"/>
                </w:tcPr>
                <w:p w14:paraId="7FAAAD8C">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30272EBE">
                  <w:pPr>
                    <w:pStyle w:val="28"/>
                    <w:keepNext w:val="0"/>
                    <w:keepLines w:val="0"/>
                    <w:suppressLineNumbers w:val="0"/>
                    <w:spacing w:before="0" w:beforeAutospacing="0" w:after="0" w:afterAutospacing="0"/>
                    <w:ind w:left="0" w:right="0"/>
                    <w:rPr>
                      <w:rFonts w:hint="default"/>
                      <w:color w:val="auto"/>
                    </w:rPr>
                  </w:pPr>
                </w:p>
              </w:tc>
              <w:tc>
                <w:tcPr>
                  <w:tcW w:w="961" w:type="dxa"/>
                  <w:vMerge w:val="continue"/>
                  <w:tcBorders>
                    <w:right w:val="single" w:color="auto" w:sz="4" w:space="0"/>
                    <w:tl2br w:val="nil"/>
                    <w:tr2bl w:val="nil"/>
                  </w:tcBorders>
                  <w:shd w:val="clear" w:color="auto" w:fill="auto"/>
                  <w:noWrap/>
                  <w:vAlign w:val="center"/>
                </w:tcPr>
                <w:p w14:paraId="12BD3B8A">
                  <w:pPr>
                    <w:pStyle w:val="28"/>
                    <w:keepNext w:val="0"/>
                    <w:keepLines w:val="0"/>
                    <w:suppressLineNumbers w:val="0"/>
                    <w:spacing w:before="0" w:beforeAutospacing="0" w:after="0" w:afterAutospacing="0"/>
                    <w:ind w:left="0" w:right="0"/>
                    <w:rPr>
                      <w:rFonts w:hint="default"/>
                      <w:color w:val="auto"/>
                    </w:rPr>
                  </w:pPr>
                </w:p>
              </w:tc>
              <w:tc>
                <w:tcPr>
                  <w:tcW w:w="1701" w:type="dxa"/>
                  <w:tcBorders>
                    <w:left w:val="single" w:color="auto" w:sz="4" w:space="0"/>
                    <w:tl2br w:val="nil"/>
                    <w:tr2bl w:val="nil"/>
                  </w:tcBorders>
                  <w:shd w:val="clear" w:color="auto" w:fill="auto"/>
                  <w:vAlign w:val="center"/>
                </w:tcPr>
                <w:p w14:paraId="184E6922">
                  <w:pPr>
                    <w:pStyle w:val="28"/>
                    <w:keepNext w:val="0"/>
                    <w:keepLines w:val="0"/>
                    <w:suppressLineNumbers w:val="0"/>
                    <w:spacing w:before="0" w:beforeAutospacing="0" w:after="0" w:afterAutospacing="0"/>
                    <w:ind w:left="0" w:right="0"/>
                    <w:rPr>
                      <w:rFonts w:hint="default"/>
                      <w:color w:val="auto"/>
                    </w:rPr>
                  </w:pPr>
                  <w:r>
                    <w:rPr>
                      <w:rFonts w:hint="default"/>
                      <w:color w:val="auto"/>
                    </w:rPr>
                    <w:t>进入无组织废气</w:t>
                  </w:r>
                </w:p>
              </w:tc>
              <w:tc>
                <w:tcPr>
                  <w:tcW w:w="1647" w:type="dxa"/>
                  <w:tcBorders>
                    <w:tl2br w:val="nil"/>
                    <w:tr2bl w:val="nil"/>
                  </w:tcBorders>
                  <w:shd w:val="clear" w:color="auto" w:fill="auto"/>
                  <w:noWrap/>
                  <w:vAlign w:val="center"/>
                </w:tcPr>
                <w:p w14:paraId="5C80FF2A">
                  <w:pPr>
                    <w:pStyle w:val="28"/>
                    <w:keepNext w:val="0"/>
                    <w:keepLines w:val="0"/>
                    <w:suppressLineNumbers w:val="0"/>
                    <w:spacing w:before="0" w:beforeAutospacing="0" w:after="0" w:afterAutospacing="0"/>
                    <w:ind w:left="0" w:right="0"/>
                    <w:rPr>
                      <w:rFonts w:hint="default"/>
                      <w:color w:val="auto"/>
                    </w:rPr>
                  </w:pPr>
                  <w:r>
                    <w:rPr>
                      <w:rFonts w:hint="default"/>
                      <w:color w:val="auto"/>
                    </w:rPr>
                    <w:t>0.15</w:t>
                  </w:r>
                </w:p>
              </w:tc>
            </w:tr>
            <w:tr w14:paraId="3BBFCE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3E6D5ACD">
                  <w:pPr>
                    <w:pStyle w:val="28"/>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1346" w:type="dxa"/>
                  <w:tcBorders>
                    <w:tl2br w:val="nil"/>
                    <w:tr2bl w:val="nil"/>
                  </w:tcBorders>
                  <w:shd w:val="clear" w:color="auto" w:fill="auto"/>
                  <w:noWrap/>
                  <w:vAlign w:val="center"/>
                </w:tcPr>
                <w:p w14:paraId="45ED8AE8">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18484883">
                  <w:pPr>
                    <w:pStyle w:val="28"/>
                    <w:keepNext w:val="0"/>
                    <w:keepLines w:val="0"/>
                    <w:suppressLineNumbers w:val="0"/>
                    <w:spacing w:before="0" w:beforeAutospacing="0" w:after="0" w:afterAutospacing="0"/>
                    <w:ind w:left="0" w:right="0"/>
                    <w:rPr>
                      <w:rFonts w:hint="default"/>
                      <w:color w:val="auto"/>
                    </w:rPr>
                  </w:pPr>
                </w:p>
              </w:tc>
              <w:tc>
                <w:tcPr>
                  <w:tcW w:w="961" w:type="dxa"/>
                  <w:vMerge w:val="restart"/>
                  <w:tcBorders>
                    <w:right w:val="single" w:color="auto" w:sz="4" w:space="0"/>
                    <w:tl2br w:val="nil"/>
                    <w:tr2bl w:val="nil"/>
                  </w:tcBorders>
                  <w:shd w:val="clear" w:color="auto" w:fill="auto"/>
                  <w:noWrap/>
                  <w:vAlign w:val="center"/>
                </w:tcPr>
                <w:p w14:paraId="397CD73E">
                  <w:pPr>
                    <w:pStyle w:val="28"/>
                    <w:keepNext w:val="0"/>
                    <w:keepLines w:val="0"/>
                    <w:suppressLineNumbers w:val="0"/>
                    <w:spacing w:before="0" w:beforeAutospacing="0" w:after="0" w:afterAutospacing="0"/>
                    <w:ind w:left="0" w:right="0"/>
                    <w:rPr>
                      <w:rFonts w:hint="default"/>
                      <w:color w:val="auto"/>
                    </w:rPr>
                  </w:pPr>
                  <w:r>
                    <w:rPr>
                      <w:rFonts w:hint="default"/>
                      <w:color w:val="auto"/>
                    </w:rPr>
                    <w:t>颗粒物</w:t>
                  </w:r>
                </w:p>
              </w:tc>
              <w:tc>
                <w:tcPr>
                  <w:tcW w:w="1701" w:type="dxa"/>
                  <w:tcBorders>
                    <w:left w:val="single" w:color="auto" w:sz="4" w:space="0"/>
                    <w:tl2br w:val="nil"/>
                    <w:tr2bl w:val="nil"/>
                  </w:tcBorders>
                  <w:shd w:val="clear" w:color="auto" w:fill="auto"/>
                  <w:vAlign w:val="center"/>
                </w:tcPr>
                <w:p w14:paraId="277E7148">
                  <w:pPr>
                    <w:pStyle w:val="28"/>
                    <w:keepNext w:val="0"/>
                    <w:keepLines w:val="0"/>
                    <w:suppressLineNumbers w:val="0"/>
                    <w:spacing w:before="0" w:beforeAutospacing="0" w:after="0" w:afterAutospacing="0"/>
                    <w:ind w:left="0" w:right="0"/>
                    <w:rPr>
                      <w:rFonts w:hint="default"/>
                      <w:color w:val="auto"/>
                    </w:rPr>
                  </w:pPr>
                  <w:r>
                    <w:rPr>
                      <w:rFonts w:hint="default"/>
                      <w:color w:val="auto"/>
                    </w:rPr>
                    <w:t>进入有组织废气</w:t>
                  </w:r>
                </w:p>
              </w:tc>
              <w:tc>
                <w:tcPr>
                  <w:tcW w:w="1647" w:type="dxa"/>
                  <w:tcBorders>
                    <w:tl2br w:val="nil"/>
                    <w:tr2bl w:val="nil"/>
                  </w:tcBorders>
                  <w:shd w:val="clear" w:color="auto" w:fill="auto"/>
                  <w:noWrap/>
                  <w:vAlign w:val="center"/>
                </w:tcPr>
                <w:p w14:paraId="09A8EC82">
                  <w:pPr>
                    <w:pStyle w:val="28"/>
                    <w:keepNext w:val="0"/>
                    <w:keepLines w:val="0"/>
                    <w:suppressLineNumbers w:val="0"/>
                    <w:spacing w:before="0" w:beforeAutospacing="0" w:after="0" w:afterAutospacing="0"/>
                    <w:ind w:left="0" w:right="0"/>
                    <w:rPr>
                      <w:rFonts w:hint="default"/>
                      <w:color w:val="auto"/>
                    </w:rPr>
                  </w:pPr>
                  <w:r>
                    <w:rPr>
                      <w:rFonts w:hint="default"/>
                      <w:color w:val="auto"/>
                    </w:rPr>
                    <w:t>15.12</w:t>
                  </w:r>
                </w:p>
              </w:tc>
            </w:tr>
            <w:tr w14:paraId="161EF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3DEAE2F6">
                  <w:pPr>
                    <w:pStyle w:val="28"/>
                    <w:keepNext w:val="0"/>
                    <w:keepLines w:val="0"/>
                    <w:suppressLineNumbers w:val="0"/>
                    <w:spacing w:before="0" w:beforeAutospacing="0" w:after="0" w:afterAutospacing="0"/>
                    <w:ind w:left="0" w:right="0"/>
                    <w:rPr>
                      <w:rFonts w:hint="default"/>
                      <w:color w:val="auto"/>
                    </w:rPr>
                  </w:pPr>
                  <w:r>
                    <w:rPr>
                      <w:rFonts w:hint="default"/>
                      <w:color w:val="auto"/>
                    </w:rPr>
                    <w:t>6</w:t>
                  </w:r>
                </w:p>
              </w:tc>
              <w:tc>
                <w:tcPr>
                  <w:tcW w:w="1346" w:type="dxa"/>
                  <w:tcBorders>
                    <w:tl2br w:val="nil"/>
                    <w:tr2bl w:val="nil"/>
                  </w:tcBorders>
                  <w:shd w:val="clear" w:color="auto" w:fill="auto"/>
                  <w:noWrap/>
                  <w:vAlign w:val="center"/>
                </w:tcPr>
                <w:p w14:paraId="09AA50B2">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45485868">
                  <w:pPr>
                    <w:pStyle w:val="28"/>
                    <w:keepNext w:val="0"/>
                    <w:keepLines w:val="0"/>
                    <w:suppressLineNumbers w:val="0"/>
                    <w:spacing w:before="0" w:beforeAutospacing="0" w:after="0" w:afterAutospacing="0"/>
                    <w:ind w:left="0" w:right="0"/>
                    <w:rPr>
                      <w:rFonts w:hint="default"/>
                      <w:color w:val="auto"/>
                    </w:rPr>
                  </w:pPr>
                </w:p>
              </w:tc>
              <w:tc>
                <w:tcPr>
                  <w:tcW w:w="961" w:type="dxa"/>
                  <w:vMerge w:val="continue"/>
                  <w:tcBorders>
                    <w:right w:val="single" w:color="auto" w:sz="4" w:space="0"/>
                    <w:tl2br w:val="nil"/>
                    <w:tr2bl w:val="nil"/>
                  </w:tcBorders>
                  <w:shd w:val="clear" w:color="auto" w:fill="auto"/>
                  <w:noWrap/>
                  <w:vAlign w:val="center"/>
                </w:tcPr>
                <w:p w14:paraId="496304E6">
                  <w:pPr>
                    <w:pStyle w:val="28"/>
                    <w:keepNext w:val="0"/>
                    <w:keepLines w:val="0"/>
                    <w:suppressLineNumbers w:val="0"/>
                    <w:spacing w:before="0" w:beforeAutospacing="0" w:after="0" w:afterAutospacing="0"/>
                    <w:ind w:left="0" w:right="0"/>
                    <w:rPr>
                      <w:rFonts w:hint="default"/>
                      <w:color w:val="auto"/>
                    </w:rPr>
                  </w:pPr>
                </w:p>
              </w:tc>
              <w:tc>
                <w:tcPr>
                  <w:tcW w:w="1701" w:type="dxa"/>
                  <w:tcBorders>
                    <w:left w:val="single" w:color="auto" w:sz="4" w:space="0"/>
                    <w:tl2br w:val="nil"/>
                    <w:tr2bl w:val="nil"/>
                  </w:tcBorders>
                  <w:shd w:val="clear" w:color="auto" w:fill="auto"/>
                  <w:vAlign w:val="center"/>
                </w:tcPr>
                <w:p w14:paraId="0D0A6DA0">
                  <w:pPr>
                    <w:pStyle w:val="28"/>
                    <w:keepNext w:val="0"/>
                    <w:keepLines w:val="0"/>
                    <w:suppressLineNumbers w:val="0"/>
                    <w:spacing w:before="0" w:beforeAutospacing="0" w:after="0" w:afterAutospacing="0"/>
                    <w:ind w:left="0" w:right="0"/>
                    <w:rPr>
                      <w:rFonts w:hint="default"/>
                      <w:color w:val="auto"/>
                    </w:rPr>
                  </w:pPr>
                  <w:r>
                    <w:rPr>
                      <w:rFonts w:hint="default"/>
                      <w:color w:val="auto"/>
                    </w:rPr>
                    <w:t>进入无组织废气</w:t>
                  </w:r>
                </w:p>
              </w:tc>
              <w:tc>
                <w:tcPr>
                  <w:tcW w:w="1647" w:type="dxa"/>
                  <w:tcBorders>
                    <w:tl2br w:val="nil"/>
                    <w:tr2bl w:val="nil"/>
                  </w:tcBorders>
                  <w:shd w:val="clear" w:color="auto" w:fill="auto"/>
                  <w:noWrap/>
                  <w:vAlign w:val="center"/>
                </w:tcPr>
                <w:p w14:paraId="4EEA2558">
                  <w:pPr>
                    <w:pStyle w:val="28"/>
                    <w:keepNext w:val="0"/>
                    <w:keepLines w:val="0"/>
                    <w:suppressLineNumbers w:val="0"/>
                    <w:spacing w:before="0" w:beforeAutospacing="0" w:after="0" w:afterAutospacing="0"/>
                    <w:ind w:left="0" w:right="0"/>
                    <w:rPr>
                      <w:rFonts w:hint="default"/>
                      <w:color w:val="auto"/>
                    </w:rPr>
                  </w:pPr>
                  <w:r>
                    <w:rPr>
                      <w:rFonts w:hint="default"/>
                      <w:color w:val="auto"/>
                    </w:rPr>
                    <w:t>1.93</w:t>
                  </w:r>
                </w:p>
              </w:tc>
            </w:tr>
            <w:tr w14:paraId="3091C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60B800B1">
                  <w:pPr>
                    <w:pStyle w:val="28"/>
                    <w:keepNext w:val="0"/>
                    <w:keepLines w:val="0"/>
                    <w:suppressLineNumbers w:val="0"/>
                    <w:spacing w:before="0" w:beforeAutospacing="0" w:after="0" w:afterAutospacing="0"/>
                    <w:ind w:left="0" w:right="0"/>
                    <w:rPr>
                      <w:rFonts w:hint="default"/>
                      <w:color w:val="auto"/>
                    </w:rPr>
                  </w:pPr>
                  <w:r>
                    <w:rPr>
                      <w:rFonts w:hint="default"/>
                      <w:color w:val="auto"/>
                    </w:rPr>
                    <w:t>7</w:t>
                  </w:r>
                </w:p>
              </w:tc>
              <w:tc>
                <w:tcPr>
                  <w:tcW w:w="1346" w:type="dxa"/>
                  <w:tcBorders>
                    <w:tl2br w:val="nil"/>
                    <w:tr2bl w:val="nil"/>
                  </w:tcBorders>
                  <w:shd w:val="clear" w:color="auto" w:fill="auto"/>
                  <w:noWrap/>
                  <w:vAlign w:val="center"/>
                </w:tcPr>
                <w:p w14:paraId="2E5C425D">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25218545">
                  <w:pPr>
                    <w:pStyle w:val="28"/>
                    <w:keepNext w:val="0"/>
                    <w:keepLines w:val="0"/>
                    <w:suppressLineNumbers w:val="0"/>
                    <w:spacing w:before="0" w:beforeAutospacing="0" w:after="0" w:afterAutospacing="0"/>
                    <w:ind w:left="0" w:right="0"/>
                    <w:rPr>
                      <w:rFonts w:hint="default"/>
                      <w:color w:val="auto"/>
                    </w:rPr>
                  </w:pPr>
                </w:p>
              </w:tc>
              <w:tc>
                <w:tcPr>
                  <w:tcW w:w="961" w:type="dxa"/>
                  <w:tcBorders>
                    <w:right w:val="single" w:color="auto" w:sz="4" w:space="0"/>
                    <w:tl2br w:val="nil"/>
                    <w:tr2bl w:val="nil"/>
                  </w:tcBorders>
                  <w:shd w:val="clear" w:color="auto" w:fill="auto"/>
                  <w:noWrap/>
                  <w:vAlign w:val="center"/>
                </w:tcPr>
                <w:p w14:paraId="10CC2C2A">
                  <w:pPr>
                    <w:pStyle w:val="28"/>
                    <w:keepNext w:val="0"/>
                    <w:keepLines w:val="0"/>
                    <w:suppressLineNumbers w:val="0"/>
                    <w:spacing w:before="0" w:beforeAutospacing="0" w:after="0" w:afterAutospacing="0"/>
                    <w:ind w:left="0" w:right="0"/>
                    <w:rPr>
                      <w:rFonts w:hint="default"/>
                      <w:color w:val="auto"/>
                    </w:rPr>
                  </w:pPr>
                  <w:r>
                    <w:rPr>
                      <w:rFonts w:hint="default"/>
                      <w:color w:val="auto"/>
                    </w:rPr>
                    <w:t>水蒸气</w:t>
                  </w:r>
                </w:p>
              </w:tc>
              <w:tc>
                <w:tcPr>
                  <w:tcW w:w="1701" w:type="dxa"/>
                  <w:tcBorders>
                    <w:left w:val="single" w:color="auto" w:sz="4" w:space="0"/>
                    <w:tl2br w:val="nil"/>
                    <w:tr2bl w:val="nil"/>
                  </w:tcBorders>
                  <w:shd w:val="clear" w:color="auto" w:fill="auto"/>
                  <w:vAlign w:val="center"/>
                </w:tcPr>
                <w:p w14:paraId="783CDA32">
                  <w:pPr>
                    <w:pStyle w:val="28"/>
                    <w:keepNext w:val="0"/>
                    <w:keepLines w:val="0"/>
                    <w:suppressLineNumbers w:val="0"/>
                    <w:spacing w:before="0" w:beforeAutospacing="0" w:after="0" w:afterAutospacing="0"/>
                    <w:ind w:left="0" w:right="0"/>
                    <w:rPr>
                      <w:rFonts w:hint="default"/>
                      <w:color w:val="auto"/>
                    </w:rPr>
                  </w:pPr>
                  <w:r>
                    <w:rPr>
                      <w:rFonts w:hint="default"/>
                      <w:color w:val="auto"/>
                    </w:rPr>
                    <w:t>进入废气</w:t>
                  </w:r>
                </w:p>
              </w:tc>
              <w:tc>
                <w:tcPr>
                  <w:tcW w:w="1647" w:type="dxa"/>
                  <w:tcBorders>
                    <w:tl2br w:val="nil"/>
                    <w:tr2bl w:val="nil"/>
                  </w:tcBorders>
                  <w:shd w:val="clear" w:color="auto" w:fill="auto"/>
                  <w:noWrap/>
                  <w:vAlign w:val="center"/>
                </w:tcPr>
                <w:p w14:paraId="3712B538">
                  <w:pPr>
                    <w:pStyle w:val="28"/>
                    <w:keepNext w:val="0"/>
                    <w:keepLines w:val="0"/>
                    <w:suppressLineNumbers w:val="0"/>
                    <w:spacing w:before="0" w:beforeAutospacing="0" w:after="0" w:afterAutospacing="0"/>
                    <w:ind w:left="0" w:right="0"/>
                    <w:rPr>
                      <w:rFonts w:hint="default"/>
                      <w:color w:val="auto"/>
                    </w:rPr>
                  </w:pPr>
                  <w:r>
                    <w:rPr>
                      <w:rFonts w:hint="default"/>
                      <w:color w:val="auto"/>
                    </w:rPr>
                    <w:t>195.447</w:t>
                  </w:r>
                </w:p>
              </w:tc>
            </w:tr>
            <w:tr w14:paraId="4858B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73B04166">
                  <w:pPr>
                    <w:pStyle w:val="28"/>
                    <w:keepNext w:val="0"/>
                    <w:keepLines w:val="0"/>
                    <w:suppressLineNumbers w:val="0"/>
                    <w:spacing w:before="0" w:beforeAutospacing="0" w:after="0" w:afterAutospacing="0"/>
                    <w:ind w:left="0" w:right="0"/>
                    <w:rPr>
                      <w:rFonts w:hint="default"/>
                      <w:color w:val="auto"/>
                    </w:rPr>
                  </w:pPr>
                  <w:r>
                    <w:rPr>
                      <w:rFonts w:hint="default"/>
                      <w:color w:val="auto"/>
                    </w:rPr>
                    <w:t>8</w:t>
                  </w:r>
                </w:p>
              </w:tc>
              <w:tc>
                <w:tcPr>
                  <w:tcW w:w="1346" w:type="dxa"/>
                  <w:tcBorders>
                    <w:tl2br w:val="nil"/>
                    <w:tr2bl w:val="nil"/>
                  </w:tcBorders>
                  <w:shd w:val="clear" w:color="auto" w:fill="auto"/>
                  <w:noWrap/>
                  <w:vAlign w:val="center"/>
                </w:tcPr>
                <w:p w14:paraId="76411822">
                  <w:pPr>
                    <w:pStyle w:val="28"/>
                    <w:keepNext w:val="0"/>
                    <w:keepLines w:val="0"/>
                    <w:suppressLineNumbers w:val="0"/>
                    <w:spacing w:before="0" w:beforeAutospacing="0" w:after="0" w:afterAutospacing="0"/>
                    <w:ind w:left="0" w:right="0"/>
                    <w:rPr>
                      <w:rFonts w:hint="default"/>
                      <w:color w:val="auto"/>
                    </w:rPr>
                  </w:pPr>
                </w:p>
              </w:tc>
              <w:tc>
                <w:tcPr>
                  <w:tcW w:w="1107" w:type="dxa"/>
                  <w:tcBorders>
                    <w:tl2br w:val="nil"/>
                    <w:tr2bl w:val="nil"/>
                  </w:tcBorders>
                  <w:shd w:val="clear" w:color="auto" w:fill="auto"/>
                  <w:noWrap/>
                  <w:vAlign w:val="center"/>
                </w:tcPr>
                <w:p w14:paraId="413B28AC">
                  <w:pPr>
                    <w:pStyle w:val="28"/>
                    <w:keepNext w:val="0"/>
                    <w:keepLines w:val="0"/>
                    <w:suppressLineNumbers w:val="0"/>
                    <w:spacing w:before="0" w:beforeAutospacing="0" w:after="0" w:afterAutospacing="0"/>
                    <w:ind w:left="0" w:right="0"/>
                    <w:rPr>
                      <w:rFonts w:hint="default"/>
                      <w:color w:val="auto"/>
                    </w:rPr>
                  </w:pPr>
                </w:p>
              </w:tc>
              <w:tc>
                <w:tcPr>
                  <w:tcW w:w="2662" w:type="dxa"/>
                  <w:gridSpan w:val="2"/>
                  <w:tcBorders>
                    <w:tl2br w:val="nil"/>
                    <w:tr2bl w:val="nil"/>
                  </w:tcBorders>
                  <w:shd w:val="clear" w:color="auto" w:fill="auto"/>
                  <w:noWrap/>
                  <w:vAlign w:val="center"/>
                </w:tcPr>
                <w:p w14:paraId="146842AE">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进入固废S</w:t>
                  </w:r>
                  <w:r>
                    <w:rPr>
                      <w:rFonts w:hint="default"/>
                      <w:color w:val="auto"/>
                      <w:vertAlign w:val="subscript"/>
                    </w:rPr>
                    <w:t>1-1</w:t>
                  </w:r>
                  <w:r>
                    <w:rPr>
                      <w:rFonts w:hint="default"/>
                      <w:color w:val="auto"/>
                    </w:rPr>
                    <w:t>、S</w:t>
                  </w:r>
                  <w:r>
                    <w:rPr>
                      <w:rFonts w:hint="default"/>
                      <w:color w:val="auto"/>
                      <w:vertAlign w:val="subscript"/>
                    </w:rPr>
                    <w:t>1-2</w:t>
                  </w:r>
                </w:p>
              </w:tc>
              <w:tc>
                <w:tcPr>
                  <w:tcW w:w="1647" w:type="dxa"/>
                  <w:tcBorders>
                    <w:tl2br w:val="nil"/>
                    <w:tr2bl w:val="nil"/>
                  </w:tcBorders>
                  <w:shd w:val="clear" w:color="auto" w:fill="auto"/>
                  <w:noWrap/>
                  <w:vAlign w:val="center"/>
                </w:tcPr>
                <w:p w14:paraId="1F1328E8">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6</w:t>
                  </w:r>
                </w:p>
              </w:tc>
            </w:tr>
            <w:tr w14:paraId="6ED0B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2" w:type="dxa"/>
                  <w:tcBorders>
                    <w:tl2br w:val="nil"/>
                    <w:tr2bl w:val="nil"/>
                  </w:tcBorders>
                  <w:shd w:val="clear" w:color="auto" w:fill="auto"/>
                  <w:noWrap/>
                  <w:vAlign w:val="center"/>
                </w:tcPr>
                <w:p w14:paraId="63515005">
                  <w:pPr>
                    <w:pStyle w:val="28"/>
                    <w:keepNext w:val="0"/>
                    <w:keepLines w:val="0"/>
                    <w:suppressLineNumbers w:val="0"/>
                    <w:spacing w:before="0" w:beforeAutospacing="0" w:after="0" w:afterAutospacing="0"/>
                    <w:ind w:left="0" w:right="0"/>
                    <w:rPr>
                      <w:rFonts w:hint="default"/>
                      <w:color w:val="auto"/>
                    </w:rPr>
                  </w:pPr>
                  <w:r>
                    <w:rPr>
                      <w:rFonts w:hint="default"/>
                      <w:color w:val="auto"/>
                    </w:rPr>
                    <w:t>合计</w:t>
                  </w:r>
                </w:p>
              </w:tc>
              <w:tc>
                <w:tcPr>
                  <w:tcW w:w="1346" w:type="dxa"/>
                  <w:tcBorders>
                    <w:tl2br w:val="nil"/>
                    <w:tr2bl w:val="nil"/>
                  </w:tcBorders>
                  <w:shd w:val="clear" w:color="auto" w:fill="auto"/>
                  <w:noWrap/>
                  <w:vAlign w:val="center"/>
                </w:tcPr>
                <w:p w14:paraId="393FFFF1">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107" w:type="dxa"/>
                  <w:tcBorders>
                    <w:tl2br w:val="nil"/>
                    <w:tr2bl w:val="nil"/>
                  </w:tcBorders>
                  <w:shd w:val="clear" w:color="auto" w:fill="auto"/>
                  <w:noWrap/>
                  <w:vAlign w:val="center"/>
                </w:tcPr>
                <w:p w14:paraId="7267C6D2">
                  <w:pPr>
                    <w:pStyle w:val="28"/>
                    <w:keepNext w:val="0"/>
                    <w:keepLines w:val="0"/>
                    <w:suppressLineNumbers w:val="0"/>
                    <w:spacing w:before="0" w:beforeAutospacing="0" w:after="0" w:afterAutospacing="0"/>
                    <w:ind w:left="0" w:right="0"/>
                    <w:rPr>
                      <w:rFonts w:hint="default"/>
                      <w:color w:val="auto"/>
                    </w:rPr>
                  </w:pPr>
                  <w:r>
                    <w:rPr>
                      <w:rFonts w:hint="default"/>
                      <w:color w:val="auto"/>
                    </w:rPr>
                    <w:t>100220</w:t>
                  </w:r>
                </w:p>
              </w:tc>
              <w:tc>
                <w:tcPr>
                  <w:tcW w:w="2662" w:type="dxa"/>
                  <w:gridSpan w:val="2"/>
                  <w:tcBorders>
                    <w:tl2br w:val="nil"/>
                    <w:tr2bl w:val="nil"/>
                  </w:tcBorders>
                  <w:shd w:val="clear" w:color="auto" w:fill="auto"/>
                  <w:noWrap/>
                  <w:vAlign w:val="center"/>
                </w:tcPr>
                <w:p w14:paraId="143ACEB7">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647" w:type="dxa"/>
                  <w:tcBorders>
                    <w:tl2br w:val="nil"/>
                    <w:tr2bl w:val="nil"/>
                  </w:tcBorders>
                  <w:shd w:val="clear" w:color="auto" w:fill="auto"/>
                  <w:noWrap/>
                  <w:vAlign w:val="center"/>
                </w:tcPr>
                <w:p w14:paraId="0FEAC10E">
                  <w:pPr>
                    <w:pStyle w:val="28"/>
                    <w:keepNext w:val="0"/>
                    <w:keepLines w:val="0"/>
                    <w:suppressLineNumbers w:val="0"/>
                    <w:spacing w:before="0" w:beforeAutospacing="0" w:after="0" w:afterAutospacing="0"/>
                    <w:ind w:left="0" w:right="0"/>
                    <w:rPr>
                      <w:rFonts w:hint="default"/>
                      <w:color w:val="auto"/>
                    </w:rPr>
                  </w:pPr>
                  <w:r>
                    <w:rPr>
                      <w:rFonts w:hint="default"/>
                      <w:color w:val="auto"/>
                    </w:rPr>
                    <w:t>100220</w:t>
                  </w:r>
                </w:p>
              </w:tc>
            </w:tr>
            <w:bookmarkEnd w:id="78"/>
          </w:tbl>
          <w:p w14:paraId="055F2F36">
            <w:pPr>
              <w:pStyle w:val="34"/>
              <w:keepNext w:val="0"/>
              <w:keepLines w:val="0"/>
              <w:suppressLineNumbers w:val="0"/>
              <w:spacing w:before="0" w:beforeAutospacing="0" w:after="0" w:afterAutospacing="0"/>
              <w:ind w:left="0" w:right="0"/>
              <w:rPr>
                <w:rFonts w:hint="default"/>
                <w:color w:val="auto"/>
              </w:rPr>
            </w:pPr>
            <w:r>
              <w:rPr>
                <w:rFonts w:hint="default"/>
                <w:color w:val="auto"/>
              </w:rPr>
              <w:t>本项目硫元素平衡图    单位：t/a</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35"/>
              <w:gridCol w:w="1852"/>
              <w:gridCol w:w="1233"/>
              <w:gridCol w:w="2346"/>
              <w:gridCol w:w="1229"/>
            </w:tblGrid>
            <w:tr w14:paraId="3CB78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vMerge w:val="restart"/>
                  <w:tcBorders>
                    <w:tl2br w:val="nil"/>
                    <w:tr2bl w:val="nil"/>
                  </w:tcBorders>
                  <w:shd w:val="clear" w:color="auto" w:fill="auto"/>
                  <w:vAlign w:val="center"/>
                </w:tcPr>
                <w:p w14:paraId="1A535F85">
                  <w:pPr>
                    <w:pStyle w:val="28"/>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1954" w:type="pct"/>
                  <w:gridSpan w:val="2"/>
                  <w:tcBorders>
                    <w:tl2br w:val="nil"/>
                    <w:tr2bl w:val="nil"/>
                  </w:tcBorders>
                  <w:shd w:val="clear" w:color="auto" w:fill="auto"/>
                  <w:vAlign w:val="center"/>
                </w:tcPr>
                <w:p w14:paraId="0E46489C">
                  <w:pPr>
                    <w:pStyle w:val="28"/>
                    <w:keepNext w:val="0"/>
                    <w:keepLines w:val="0"/>
                    <w:suppressLineNumbers w:val="0"/>
                    <w:spacing w:before="0" w:beforeAutospacing="0" w:after="0" w:afterAutospacing="0"/>
                    <w:ind w:left="0" w:right="0"/>
                    <w:rPr>
                      <w:rFonts w:hint="default"/>
                      <w:color w:val="auto"/>
                    </w:rPr>
                  </w:pPr>
                  <w:r>
                    <w:rPr>
                      <w:rFonts w:hint="default"/>
                      <w:color w:val="auto"/>
                    </w:rPr>
                    <w:t>投入</w:t>
                  </w:r>
                </w:p>
              </w:tc>
              <w:tc>
                <w:tcPr>
                  <w:tcW w:w="2264" w:type="pct"/>
                  <w:gridSpan w:val="2"/>
                  <w:tcBorders>
                    <w:tl2br w:val="nil"/>
                    <w:tr2bl w:val="nil"/>
                  </w:tcBorders>
                  <w:shd w:val="clear" w:color="auto" w:fill="auto"/>
                  <w:vAlign w:val="center"/>
                </w:tcPr>
                <w:p w14:paraId="16F02F80">
                  <w:pPr>
                    <w:pStyle w:val="28"/>
                    <w:keepNext w:val="0"/>
                    <w:keepLines w:val="0"/>
                    <w:suppressLineNumbers w:val="0"/>
                    <w:spacing w:before="0" w:beforeAutospacing="0" w:after="0" w:afterAutospacing="0"/>
                    <w:ind w:left="0" w:right="0"/>
                    <w:rPr>
                      <w:rFonts w:hint="default"/>
                      <w:color w:val="auto"/>
                    </w:rPr>
                  </w:pPr>
                  <w:r>
                    <w:rPr>
                      <w:rFonts w:hint="default"/>
                      <w:color w:val="auto"/>
                    </w:rPr>
                    <w:t>产出</w:t>
                  </w:r>
                </w:p>
              </w:tc>
            </w:tr>
            <w:tr w14:paraId="03780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vMerge w:val="continue"/>
                  <w:tcBorders>
                    <w:tl2br w:val="nil"/>
                    <w:tr2bl w:val="nil"/>
                  </w:tcBorders>
                  <w:shd w:val="clear" w:color="auto" w:fill="auto"/>
                  <w:vAlign w:val="center"/>
                </w:tcPr>
                <w:p w14:paraId="4567A17A">
                  <w:pPr>
                    <w:pStyle w:val="28"/>
                    <w:keepNext w:val="0"/>
                    <w:keepLines w:val="0"/>
                    <w:suppressLineNumbers w:val="0"/>
                    <w:spacing w:before="0" w:beforeAutospacing="0" w:after="0" w:afterAutospacing="0"/>
                    <w:ind w:left="0" w:right="0"/>
                    <w:rPr>
                      <w:rFonts w:hint="default"/>
                      <w:color w:val="auto"/>
                    </w:rPr>
                  </w:pPr>
                </w:p>
              </w:tc>
              <w:tc>
                <w:tcPr>
                  <w:tcW w:w="1173" w:type="pct"/>
                  <w:tcBorders>
                    <w:tl2br w:val="nil"/>
                    <w:tr2bl w:val="nil"/>
                  </w:tcBorders>
                  <w:shd w:val="clear" w:color="auto" w:fill="auto"/>
                  <w:vAlign w:val="center"/>
                </w:tcPr>
                <w:p w14:paraId="576944EC">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781" w:type="pct"/>
                  <w:tcBorders>
                    <w:tl2br w:val="nil"/>
                    <w:tr2bl w:val="nil"/>
                  </w:tcBorders>
                  <w:shd w:val="clear" w:color="auto" w:fill="auto"/>
                  <w:vAlign w:val="center"/>
                </w:tcPr>
                <w:p w14:paraId="79F773C4">
                  <w:pPr>
                    <w:pStyle w:val="28"/>
                    <w:keepNext w:val="0"/>
                    <w:keepLines w:val="0"/>
                    <w:suppressLineNumbers w:val="0"/>
                    <w:spacing w:before="0" w:beforeAutospacing="0" w:after="0" w:afterAutospacing="0"/>
                    <w:ind w:left="0" w:right="0"/>
                    <w:rPr>
                      <w:rFonts w:hint="default"/>
                      <w:color w:val="auto"/>
                    </w:rPr>
                  </w:pPr>
                  <w:r>
                    <w:rPr>
                      <w:rFonts w:hint="default"/>
                      <w:color w:val="auto"/>
                    </w:rPr>
                    <w:t>投入量</w:t>
                  </w:r>
                </w:p>
              </w:tc>
              <w:tc>
                <w:tcPr>
                  <w:tcW w:w="1486" w:type="pct"/>
                  <w:tcBorders>
                    <w:tl2br w:val="nil"/>
                    <w:tr2bl w:val="nil"/>
                  </w:tcBorders>
                  <w:shd w:val="clear" w:color="auto" w:fill="auto"/>
                  <w:vAlign w:val="center"/>
                </w:tcPr>
                <w:p w14:paraId="0DA39093">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778" w:type="pct"/>
                  <w:tcBorders>
                    <w:tl2br w:val="nil"/>
                    <w:tr2bl w:val="nil"/>
                  </w:tcBorders>
                  <w:shd w:val="clear" w:color="auto" w:fill="auto"/>
                  <w:vAlign w:val="center"/>
                </w:tcPr>
                <w:p w14:paraId="282F9ECD">
                  <w:pPr>
                    <w:pStyle w:val="28"/>
                    <w:keepNext w:val="0"/>
                    <w:keepLines w:val="0"/>
                    <w:suppressLineNumbers w:val="0"/>
                    <w:spacing w:before="0" w:beforeAutospacing="0" w:after="0" w:afterAutospacing="0"/>
                    <w:ind w:left="0" w:right="0"/>
                    <w:rPr>
                      <w:rFonts w:hint="default"/>
                      <w:color w:val="auto"/>
                    </w:rPr>
                  </w:pPr>
                  <w:r>
                    <w:rPr>
                      <w:rFonts w:hint="default"/>
                      <w:color w:val="auto"/>
                    </w:rPr>
                    <w:t>产出量</w:t>
                  </w:r>
                </w:p>
              </w:tc>
            </w:tr>
            <w:tr w14:paraId="3594A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582BAC38">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1173" w:type="pct"/>
                  <w:tcBorders>
                    <w:tl2br w:val="nil"/>
                    <w:tr2bl w:val="nil"/>
                  </w:tcBorders>
                  <w:shd w:val="clear" w:color="auto" w:fill="auto"/>
                  <w:noWrap/>
                  <w:vAlign w:val="center"/>
                </w:tcPr>
                <w:p w14:paraId="6AA4BF82">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工业级液硫含硫</w:t>
                  </w:r>
                </w:p>
              </w:tc>
              <w:tc>
                <w:tcPr>
                  <w:tcW w:w="781" w:type="pct"/>
                  <w:tcBorders>
                    <w:tl2br w:val="nil"/>
                    <w:tr2bl w:val="nil"/>
                  </w:tcBorders>
                  <w:shd w:val="clear" w:color="auto" w:fill="auto"/>
                  <w:noWrap/>
                  <w:vAlign w:val="center"/>
                </w:tcPr>
                <w:p w14:paraId="486627F4">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99718.9</w:t>
                  </w:r>
                </w:p>
              </w:tc>
              <w:tc>
                <w:tcPr>
                  <w:tcW w:w="1486" w:type="pct"/>
                  <w:tcBorders>
                    <w:tl2br w:val="nil"/>
                    <w:tr2bl w:val="nil"/>
                  </w:tcBorders>
                  <w:shd w:val="clear" w:color="auto" w:fill="auto"/>
                  <w:noWrap/>
                  <w:vAlign w:val="center"/>
                </w:tcPr>
                <w:p w14:paraId="7F738502">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食品级硫磺产品含硫</w:t>
                  </w:r>
                </w:p>
              </w:tc>
              <w:tc>
                <w:tcPr>
                  <w:tcW w:w="778" w:type="pct"/>
                  <w:tcBorders>
                    <w:tl2br w:val="nil"/>
                    <w:tr2bl w:val="nil"/>
                  </w:tcBorders>
                  <w:shd w:val="clear" w:color="auto" w:fill="auto"/>
                  <w:noWrap/>
                  <w:vAlign w:val="center"/>
                </w:tcPr>
                <w:p w14:paraId="294E5E4E">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49950</w:t>
                  </w:r>
                </w:p>
              </w:tc>
            </w:tr>
            <w:tr w14:paraId="095DEB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768975E2">
                  <w:pPr>
                    <w:pStyle w:val="28"/>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173" w:type="pct"/>
                  <w:tcBorders>
                    <w:tl2br w:val="nil"/>
                    <w:tr2bl w:val="nil"/>
                  </w:tcBorders>
                  <w:shd w:val="clear" w:color="auto" w:fill="auto"/>
                  <w:noWrap/>
                  <w:vAlign w:val="center"/>
                </w:tcPr>
                <w:p w14:paraId="1DE396BC">
                  <w:pPr>
                    <w:pStyle w:val="28"/>
                    <w:keepNext w:val="0"/>
                    <w:keepLines w:val="0"/>
                    <w:suppressLineNumbers w:val="0"/>
                    <w:spacing w:before="0" w:beforeAutospacing="0" w:after="0" w:afterAutospacing="0"/>
                    <w:ind w:left="0" w:right="0"/>
                    <w:rPr>
                      <w:rFonts w:hint="default"/>
                      <w:color w:val="auto"/>
                    </w:rPr>
                  </w:pPr>
                </w:p>
              </w:tc>
              <w:tc>
                <w:tcPr>
                  <w:tcW w:w="781" w:type="pct"/>
                  <w:tcBorders>
                    <w:tl2br w:val="nil"/>
                    <w:tr2bl w:val="nil"/>
                  </w:tcBorders>
                  <w:shd w:val="clear" w:color="auto" w:fill="auto"/>
                  <w:noWrap/>
                  <w:vAlign w:val="center"/>
                </w:tcPr>
                <w:p w14:paraId="395F1C86">
                  <w:pPr>
                    <w:pStyle w:val="28"/>
                    <w:keepNext w:val="0"/>
                    <w:keepLines w:val="0"/>
                    <w:suppressLineNumbers w:val="0"/>
                    <w:spacing w:before="0" w:beforeAutospacing="0" w:after="0" w:afterAutospacing="0"/>
                    <w:ind w:left="0" w:right="0"/>
                    <w:rPr>
                      <w:rFonts w:hint="default"/>
                      <w:color w:val="auto"/>
                    </w:rPr>
                  </w:pPr>
                </w:p>
              </w:tc>
              <w:tc>
                <w:tcPr>
                  <w:tcW w:w="1486" w:type="pct"/>
                  <w:tcBorders>
                    <w:tl2br w:val="nil"/>
                    <w:tr2bl w:val="nil"/>
                  </w:tcBorders>
                  <w:shd w:val="clear" w:color="auto" w:fill="auto"/>
                  <w:noWrap/>
                  <w:vAlign w:val="center"/>
                </w:tcPr>
                <w:p w14:paraId="06D83230">
                  <w:pPr>
                    <w:pStyle w:val="28"/>
                    <w:keepNext w:val="0"/>
                    <w:keepLines w:val="0"/>
                    <w:suppressLineNumbers w:val="0"/>
                    <w:spacing w:before="0" w:beforeAutospacing="0" w:after="0" w:afterAutospacing="0"/>
                    <w:ind w:left="0" w:right="0"/>
                    <w:rPr>
                      <w:rFonts w:hint="default"/>
                      <w:color w:val="auto"/>
                    </w:rPr>
                  </w:pPr>
                  <w:r>
                    <w:rPr>
                      <w:rFonts w:hint="default"/>
                      <w:color w:val="auto"/>
                    </w:rPr>
                    <w:t>工业级硫磺产品含硫</w:t>
                  </w:r>
                </w:p>
              </w:tc>
              <w:tc>
                <w:tcPr>
                  <w:tcW w:w="778" w:type="pct"/>
                  <w:tcBorders>
                    <w:tl2br w:val="nil"/>
                    <w:tr2bl w:val="nil"/>
                  </w:tcBorders>
                  <w:shd w:val="clear" w:color="auto" w:fill="auto"/>
                  <w:noWrap/>
                  <w:vAlign w:val="center"/>
                </w:tcPr>
                <w:p w14:paraId="3F6F7B90">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49750</w:t>
                  </w:r>
                </w:p>
              </w:tc>
            </w:tr>
            <w:tr w14:paraId="28D35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41D22E60">
                  <w:pPr>
                    <w:pStyle w:val="28"/>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1173" w:type="pct"/>
                  <w:tcBorders>
                    <w:tl2br w:val="nil"/>
                    <w:tr2bl w:val="nil"/>
                  </w:tcBorders>
                  <w:shd w:val="clear" w:color="auto" w:fill="auto"/>
                  <w:noWrap/>
                  <w:vAlign w:val="center"/>
                </w:tcPr>
                <w:p w14:paraId="0DE27ED1">
                  <w:pPr>
                    <w:pStyle w:val="28"/>
                    <w:keepNext w:val="0"/>
                    <w:keepLines w:val="0"/>
                    <w:suppressLineNumbers w:val="0"/>
                    <w:spacing w:before="0" w:beforeAutospacing="0" w:after="0" w:afterAutospacing="0"/>
                    <w:ind w:left="0" w:right="0"/>
                    <w:rPr>
                      <w:rFonts w:hint="default"/>
                      <w:color w:val="auto"/>
                    </w:rPr>
                  </w:pPr>
                </w:p>
              </w:tc>
              <w:tc>
                <w:tcPr>
                  <w:tcW w:w="781" w:type="pct"/>
                  <w:tcBorders>
                    <w:tl2br w:val="nil"/>
                    <w:tr2bl w:val="nil"/>
                  </w:tcBorders>
                  <w:shd w:val="clear" w:color="auto" w:fill="auto"/>
                  <w:noWrap/>
                  <w:vAlign w:val="center"/>
                </w:tcPr>
                <w:p w14:paraId="7321D8F2">
                  <w:pPr>
                    <w:pStyle w:val="28"/>
                    <w:keepNext w:val="0"/>
                    <w:keepLines w:val="0"/>
                    <w:suppressLineNumbers w:val="0"/>
                    <w:spacing w:before="0" w:beforeAutospacing="0" w:after="0" w:afterAutospacing="0"/>
                    <w:ind w:left="0" w:right="0"/>
                    <w:rPr>
                      <w:rFonts w:hint="default"/>
                      <w:color w:val="auto"/>
                    </w:rPr>
                  </w:pPr>
                </w:p>
              </w:tc>
              <w:tc>
                <w:tcPr>
                  <w:tcW w:w="1486" w:type="pct"/>
                  <w:tcBorders>
                    <w:tl2br w:val="nil"/>
                    <w:tr2bl w:val="nil"/>
                  </w:tcBorders>
                  <w:shd w:val="clear" w:color="auto" w:fill="auto"/>
                  <w:noWrap/>
                  <w:vAlign w:val="center"/>
                </w:tcPr>
                <w:p w14:paraId="1EDE6D0B">
                  <w:pPr>
                    <w:pStyle w:val="28"/>
                    <w:keepNext w:val="0"/>
                    <w:keepLines w:val="0"/>
                    <w:suppressLineNumbers w:val="0"/>
                    <w:spacing w:before="0" w:beforeAutospacing="0" w:after="0" w:afterAutospacing="0"/>
                    <w:ind w:left="0" w:right="0"/>
                    <w:rPr>
                      <w:rFonts w:hint="default"/>
                      <w:color w:val="auto"/>
                    </w:rPr>
                  </w:pPr>
                  <w:r>
                    <w:rPr>
                      <w:rFonts w:hint="default"/>
                      <w:color w:val="auto"/>
                    </w:rPr>
                    <w:t>硫化氢含硫</w:t>
                  </w:r>
                </w:p>
              </w:tc>
              <w:tc>
                <w:tcPr>
                  <w:tcW w:w="778" w:type="pct"/>
                  <w:tcBorders>
                    <w:tl2br w:val="nil"/>
                    <w:tr2bl w:val="nil"/>
                  </w:tcBorders>
                  <w:shd w:val="clear" w:color="auto" w:fill="auto"/>
                  <w:noWrap/>
                  <w:vAlign w:val="center"/>
                </w:tcPr>
                <w:p w14:paraId="348635E8">
                  <w:pPr>
                    <w:pStyle w:val="28"/>
                    <w:keepNext w:val="0"/>
                    <w:keepLines w:val="0"/>
                    <w:suppressLineNumbers w:val="0"/>
                    <w:spacing w:before="0" w:beforeAutospacing="0" w:after="0" w:afterAutospacing="0"/>
                    <w:ind w:left="0" w:right="0"/>
                    <w:rPr>
                      <w:rFonts w:hint="default"/>
                      <w:color w:val="auto"/>
                    </w:rPr>
                  </w:pPr>
                  <w:r>
                    <w:rPr>
                      <w:rFonts w:hint="default"/>
                      <w:color w:val="auto"/>
                    </w:rPr>
                    <w:t>1.415</w:t>
                  </w:r>
                </w:p>
              </w:tc>
            </w:tr>
            <w:tr w14:paraId="646C25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50004DF5">
                  <w:pPr>
                    <w:pStyle w:val="28"/>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1173" w:type="pct"/>
                  <w:tcBorders>
                    <w:tl2br w:val="nil"/>
                    <w:tr2bl w:val="nil"/>
                  </w:tcBorders>
                  <w:shd w:val="clear" w:color="auto" w:fill="auto"/>
                  <w:noWrap/>
                  <w:vAlign w:val="center"/>
                </w:tcPr>
                <w:p w14:paraId="44CC646E">
                  <w:pPr>
                    <w:pStyle w:val="28"/>
                    <w:keepNext w:val="0"/>
                    <w:keepLines w:val="0"/>
                    <w:suppressLineNumbers w:val="0"/>
                    <w:spacing w:before="0" w:beforeAutospacing="0" w:after="0" w:afterAutospacing="0"/>
                    <w:ind w:left="0" w:right="0"/>
                    <w:rPr>
                      <w:rFonts w:hint="default"/>
                      <w:color w:val="auto"/>
                    </w:rPr>
                  </w:pPr>
                </w:p>
              </w:tc>
              <w:tc>
                <w:tcPr>
                  <w:tcW w:w="781" w:type="pct"/>
                  <w:tcBorders>
                    <w:tl2br w:val="nil"/>
                    <w:tr2bl w:val="nil"/>
                  </w:tcBorders>
                  <w:shd w:val="clear" w:color="auto" w:fill="auto"/>
                  <w:noWrap/>
                  <w:vAlign w:val="center"/>
                </w:tcPr>
                <w:p w14:paraId="3EDA2A1E">
                  <w:pPr>
                    <w:pStyle w:val="28"/>
                    <w:keepNext w:val="0"/>
                    <w:keepLines w:val="0"/>
                    <w:suppressLineNumbers w:val="0"/>
                    <w:spacing w:before="0" w:beforeAutospacing="0" w:after="0" w:afterAutospacing="0"/>
                    <w:ind w:left="0" w:right="0"/>
                    <w:rPr>
                      <w:rFonts w:hint="default"/>
                      <w:color w:val="auto"/>
                    </w:rPr>
                  </w:pPr>
                </w:p>
              </w:tc>
              <w:tc>
                <w:tcPr>
                  <w:tcW w:w="1486" w:type="pct"/>
                  <w:tcBorders>
                    <w:tl2br w:val="nil"/>
                    <w:tr2bl w:val="nil"/>
                  </w:tcBorders>
                  <w:shd w:val="clear" w:color="auto" w:fill="auto"/>
                  <w:noWrap/>
                  <w:vAlign w:val="center"/>
                </w:tcPr>
                <w:p w14:paraId="1BD283DA">
                  <w:pPr>
                    <w:pStyle w:val="28"/>
                    <w:keepNext w:val="0"/>
                    <w:keepLines w:val="0"/>
                    <w:suppressLineNumbers w:val="0"/>
                    <w:spacing w:before="0" w:beforeAutospacing="0" w:after="0" w:afterAutospacing="0"/>
                    <w:ind w:left="0" w:right="0"/>
                    <w:rPr>
                      <w:rFonts w:hint="default"/>
                      <w:color w:val="auto"/>
                    </w:rPr>
                  </w:pPr>
                  <w:r>
                    <w:rPr>
                      <w:rFonts w:hint="default"/>
                      <w:color w:val="auto"/>
                    </w:rPr>
                    <w:t>颗粒物含硫</w:t>
                  </w:r>
                </w:p>
              </w:tc>
              <w:tc>
                <w:tcPr>
                  <w:tcW w:w="778" w:type="pct"/>
                  <w:tcBorders>
                    <w:tl2br w:val="nil"/>
                    <w:tr2bl w:val="nil"/>
                  </w:tcBorders>
                  <w:shd w:val="clear" w:color="auto" w:fill="auto"/>
                  <w:noWrap/>
                  <w:vAlign w:val="center"/>
                </w:tcPr>
                <w:p w14:paraId="7AF419D6">
                  <w:pPr>
                    <w:pStyle w:val="28"/>
                    <w:keepNext w:val="0"/>
                    <w:keepLines w:val="0"/>
                    <w:suppressLineNumbers w:val="0"/>
                    <w:spacing w:before="0" w:beforeAutospacing="0" w:after="0" w:afterAutospacing="0"/>
                    <w:ind w:left="0" w:right="0"/>
                    <w:rPr>
                      <w:rFonts w:hint="default"/>
                      <w:color w:val="auto"/>
                    </w:rPr>
                  </w:pPr>
                  <w:r>
                    <w:rPr>
                      <w:rFonts w:hint="default"/>
                      <w:color w:val="auto"/>
                    </w:rPr>
                    <w:t>17.05</w:t>
                  </w:r>
                </w:p>
              </w:tc>
            </w:tr>
            <w:tr w14:paraId="136271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3947DAC6">
                  <w:pPr>
                    <w:pStyle w:val="28"/>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1173" w:type="pct"/>
                  <w:tcBorders>
                    <w:tl2br w:val="nil"/>
                    <w:tr2bl w:val="nil"/>
                  </w:tcBorders>
                  <w:shd w:val="clear" w:color="auto" w:fill="auto"/>
                  <w:noWrap/>
                  <w:vAlign w:val="center"/>
                </w:tcPr>
                <w:p w14:paraId="2FE8DBE6">
                  <w:pPr>
                    <w:pStyle w:val="28"/>
                    <w:keepNext w:val="0"/>
                    <w:keepLines w:val="0"/>
                    <w:suppressLineNumbers w:val="0"/>
                    <w:spacing w:before="0" w:beforeAutospacing="0" w:after="0" w:afterAutospacing="0"/>
                    <w:ind w:left="0" w:right="0"/>
                    <w:rPr>
                      <w:rFonts w:hint="default"/>
                      <w:color w:val="auto"/>
                    </w:rPr>
                  </w:pPr>
                </w:p>
              </w:tc>
              <w:tc>
                <w:tcPr>
                  <w:tcW w:w="781" w:type="pct"/>
                  <w:tcBorders>
                    <w:tl2br w:val="nil"/>
                    <w:tr2bl w:val="nil"/>
                  </w:tcBorders>
                  <w:shd w:val="clear" w:color="auto" w:fill="auto"/>
                  <w:noWrap/>
                  <w:vAlign w:val="center"/>
                </w:tcPr>
                <w:p w14:paraId="583739FE">
                  <w:pPr>
                    <w:pStyle w:val="28"/>
                    <w:keepNext w:val="0"/>
                    <w:keepLines w:val="0"/>
                    <w:suppressLineNumbers w:val="0"/>
                    <w:spacing w:before="0" w:beforeAutospacing="0" w:after="0" w:afterAutospacing="0"/>
                    <w:ind w:left="0" w:right="0"/>
                    <w:rPr>
                      <w:rFonts w:hint="default"/>
                      <w:color w:val="auto"/>
                    </w:rPr>
                  </w:pPr>
                </w:p>
              </w:tc>
              <w:tc>
                <w:tcPr>
                  <w:tcW w:w="1486" w:type="pct"/>
                  <w:tcBorders>
                    <w:tl2br w:val="nil"/>
                    <w:tr2bl w:val="nil"/>
                  </w:tcBorders>
                  <w:shd w:val="clear" w:color="auto" w:fill="auto"/>
                  <w:noWrap/>
                  <w:vAlign w:val="center"/>
                </w:tcPr>
                <w:p w14:paraId="133D7437">
                  <w:pPr>
                    <w:pStyle w:val="28"/>
                    <w:keepNext w:val="0"/>
                    <w:keepLines w:val="0"/>
                    <w:suppressLineNumbers w:val="0"/>
                    <w:spacing w:before="0" w:beforeAutospacing="0" w:after="0" w:afterAutospacing="0"/>
                    <w:ind w:left="0" w:right="0"/>
                    <w:rPr>
                      <w:rFonts w:hint="default"/>
                      <w:color w:val="auto"/>
                    </w:rPr>
                  </w:pPr>
                  <w:r>
                    <w:rPr>
                      <w:rFonts w:hint="default"/>
                      <w:color w:val="auto"/>
                    </w:rPr>
                    <w:t>固废S</w:t>
                  </w:r>
                  <w:r>
                    <w:rPr>
                      <w:rFonts w:hint="default"/>
                      <w:color w:val="auto"/>
                      <w:vertAlign w:val="subscript"/>
                    </w:rPr>
                    <w:t>1-1</w:t>
                  </w:r>
                  <w:r>
                    <w:rPr>
                      <w:rFonts w:hint="default"/>
                      <w:color w:val="auto"/>
                    </w:rPr>
                    <w:t>、S</w:t>
                  </w:r>
                  <w:r>
                    <w:rPr>
                      <w:rFonts w:hint="default"/>
                      <w:color w:val="auto"/>
                      <w:vertAlign w:val="subscript"/>
                    </w:rPr>
                    <w:t>1-2</w:t>
                  </w:r>
                  <w:r>
                    <w:rPr>
                      <w:rFonts w:hint="default"/>
                      <w:color w:val="auto"/>
                    </w:rPr>
                    <w:t>含硫</w:t>
                  </w:r>
                </w:p>
              </w:tc>
              <w:tc>
                <w:tcPr>
                  <w:tcW w:w="778" w:type="pct"/>
                  <w:tcBorders>
                    <w:tl2br w:val="nil"/>
                    <w:tr2bl w:val="nil"/>
                  </w:tcBorders>
                  <w:shd w:val="clear" w:color="auto" w:fill="auto"/>
                  <w:noWrap/>
                  <w:vAlign w:val="center"/>
                </w:tcPr>
                <w:p w14:paraId="0D6E7EC1">
                  <w:pPr>
                    <w:pStyle w:val="28"/>
                    <w:keepNext w:val="0"/>
                    <w:keepLines w:val="0"/>
                    <w:suppressLineNumbers w:val="0"/>
                    <w:spacing w:before="0" w:beforeAutospacing="0" w:after="0" w:afterAutospacing="0"/>
                    <w:ind w:left="0" w:right="0"/>
                    <w:rPr>
                      <w:rFonts w:hint="default"/>
                      <w:color w:val="auto"/>
                    </w:rPr>
                  </w:pPr>
                  <w:r>
                    <w:rPr>
                      <w:rFonts w:hint="default"/>
                      <w:color w:val="auto"/>
                    </w:rPr>
                    <w:t>0.435</w:t>
                  </w:r>
                </w:p>
              </w:tc>
            </w:tr>
            <w:tr w14:paraId="11DF7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2C28594E">
                  <w:pPr>
                    <w:pStyle w:val="28"/>
                    <w:keepNext w:val="0"/>
                    <w:keepLines w:val="0"/>
                    <w:suppressLineNumbers w:val="0"/>
                    <w:spacing w:before="0" w:beforeAutospacing="0" w:after="0" w:afterAutospacing="0"/>
                    <w:ind w:left="0" w:right="0"/>
                    <w:rPr>
                      <w:rFonts w:hint="default"/>
                      <w:color w:val="auto"/>
                    </w:rPr>
                  </w:pPr>
                  <w:r>
                    <w:rPr>
                      <w:rFonts w:hint="default"/>
                      <w:color w:val="auto"/>
                    </w:rPr>
                    <w:t>合计</w:t>
                  </w:r>
                </w:p>
              </w:tc>
              <w:tc>
                <w:tcPr>
                  <w:tcW w:w="1173" w:type="pct"/>
                  <w:tcBorders>
                    <w:tl2br w:val="nil"/>
                    <w:tr2bl w:val="nil"/>
                  </w:tcBorders>
                  <w:shd w:val="clear" w:color="auto" w:fill="auto"/>
                  <w:noWrap/>
                  <w:vAlign w:val="center"/>
                </w:tcPr>
                <w:p w14:paraId="51DA556C">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781" w:type="pct"/>
                  <w:tcBorders>
                    <w:tl2br w:val="nil"/>
                    <w:tr2bl w:val="nil"/>
                  </w:tcBorders>
                  <w:shd w:val="clear" w:color="auto" w:fill="auto"/>
                  <w:noWrap/>
                  <w:vAlign w:val="center"/>
                </w:tcPr>
                <w:p w14:paraId="3448F325">
                  <w:pPr>
                    <w:pStyle w:val="28"/>
                    <w:keepNext w:val="0"/>
                    <w:keepLines w:val="0"/>
                    <w:suppressLineNumbers w:val="0"/>
                    <w:spacing w:before="0" w:beforeAutospacing="0" w:after="0" w:afterAutospacing="0"/>
                    <w:ind w:left="0" w:right="0"/>
                    <w:rPr>
                      <w:rFonts w:hint="default"/>
                      <w:color w:val="auto"/>
                    </w:rPr>
                  </w:pPr>
                  <w:r>
                    <w:rPr>
                      <w:rFonts w:hint="default" w:eastAsia="等线"/>
                      <w:color w:val="auto"/>
                    </w:rPr>
                    <w:t>99718.9</w:t>
                  </w:r>
                </w:p>
              </w:tc>
              <w:tc>
                <w:tcPr>
                  <w:tcW w:w="1486" w:type="pct"/>
                  <w:tcBorders>
                    <w:tl2br w:val="nil"/>
                    <w:tr2bl w:val="nil"/>
                  </w:tcBorders>
                  <w:shd w:val="clear" w:color="auto" w:fill="auto"/>
                  <w:noWrap/>
                  <w:vAlign w:val="center"/>
                </w:tcPr>
                <w:p w14:paraId="5676200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778" w:type="pct"/>
                  <w:tcBorders>
                    <w:tl2br w:val="nil"/>
                    <w:tr2bl w:val="nil"/>
                  </w:tcBorders>
                  <w:shd w:val="clear" w:color="auto" w:fill="auto"/>
                  <w:noWrap/>
                  <w:vAlign w:val="center"/>
                </w:tcPr>
                <w:p w14:paraId="11E09544">
                  <w:pPr>
                    <w:pStyle w:val="28"/>
                    <w:keepNext w:val="0"/>
                    <w:keepLines w:val="0"/>
                    <w:suppressLineNumbers w:val="0"/>
                    <w:spacing w:before="0" w:beforeAutospacing="0" w:after="0" w:afterAutospacing="0"/>
                    <w:ind w:left="0" w:right="0"/>
                    <w:rPr>
                      <w:rFonts w:hint="default"/>
                      <w:color w:val="auto"/>
                    </w:rPr>
                  </w:pPr>
                  <w:r>
                    <w:rPr>
                      <w:rFonts w:hint="default" w:eastAsia="等线"/>
                      <w:color w:val="auto"/>
                    </w:rPr>
                    <w:t>99718.9</w:t>
                  </w:r>
                </w:p>
              </w:tc>
            </w:tr>
          </w:tbl>
          <w:p w14:paraId="798BAEEF">
            <w:pPr>
              <w:pStyle w:val="34"/>
              <w:keepNext w:val="0"/>
              <w:keepLines w:val="0"/>
              <w:suppressLineNumbers w:val="0"/>
              <w:spacing w:before="0" w:beforeAutospacing="0" w:after="0" w:afterAutospacing="0"/>
              <w:ind w:left="0" w:right="0"/>
              <w:rPr>
                <w:rFonts w:hint="default"/>
                <w:color w:val="auto"/>
              </w:rPr>
            </w:pPr>
            <w:r>
              <w:rPr>
                <w:rFonts w:hint="default"/>
                <w:color w:val="auto"/>
              </w:rPr>
              <w:t>本项目干冰生产平衡图    单位：t/a</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35"/>
              <w:gridCol w:w="1852"/>
              <w:gridCol w:w="1233"/>
              <w:gridCol w:w="2346"/>
              <w:gridCol w:w="1229"/>
            </w:tblGrid>
            <w:tr w14:paraId="642EA1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vMerge w:val="restart"/>
                  <w:tcBorders>
                    <w:tl2br w:val="nil"/>
                    <w:tr2bl w:val="nil"/>
                  </w:tcBorders>
                  <w:shd w:val="clear" w:color="auto" w:fill="auto"/>
                  <w:vAlign w:val="center"/>
                </w:tcPr>
                <w:p w14:paraId="242E8CCA">
                  <w:pPr>
                    <w:pStyle w:val="28"/>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1954" w:type="pct"/>
                  <w:gridSpan w:val="2"/>
                  <w:tcBorders>
                    <w:tl2br w:val="nil"/>
                    <w:tr2bl w:val="nil"/>
                  </w:tcBorders>
                  <w:shd w:val="clear" w:color="auto" w:fill="auto"/>
                  <w:vAlign w:val="center"/>
                </w:tcPr>
                <w:p w14:paraId="11CAF476">
                  <w:pPr>
                    <w:pStyle w:val="28"/>
                    <w:keepNext w:val="0"/>
                    <w:keepLines w:val="0"/>
                    <w:suppressLineNumbers w:val="0"/>
                    <w:spacing w:before="0" w:beforeAutospacing="0" w:after="0" w:afterAutospacing="0"/>
                    <w:ind w:left="0" w:right="0"/>
                    <w:rPr>
                      <w:rFonts w:hint="default"/>
                      <w:color w:val="auto"/>
                    </w:rPr>
                  </w:pPr>
                  <w:r>
                    <w:rPr>
                      <w:rFonts w:hint="default"/>
                      <w:color w:val="auto"/>
                    </w:rPr>
                    <w:t>投入</w:t>
                  </w:r>
                </w:p>
              </w:tc>
              <w:tc>
                <w:tcPr>
                  <w:tcW w:w="2264" w:type="pct"/>
                  <w:gridSpan w:val="2"/>
                  <w:tcBorders>
                    <w:tl2br w:val="nil"/>
                    <w:tr2bl w:val="nil"/>
                  </w:tcBorders>
                  <w:shd w:val="clear" w:color="auto" w:fill="auto"/>
                  <w:vAlign w:val="center"/>
                </w:tcPr>
                <w:p w14:paraId="18ADC3B5">
                  <w:pPr>
                    <w:pStyle w:val="28"/>
                    <w:keepNext w:val="0"/>
                    <w:keepLines w:val="0"/>
                    <w:suppressLineNumbers w:val="0"/>
                    <w:spacing w:before="0" w:beforeAutospacing="0" w:after="0" w:afterAutospacing="0"/>
                    <w:ind w:left="0" w:right="0"/>
                    <w:rPr>
                      <w:rFonts w:hint="default"/>
                      <w:color w:val="auto"/>
                    </w:rPr>
                  </w:pPr>
                  <w:r>
                    <w:rPr>
                      <w:rFonts w:hint="default"/>
                      <w:color w:val="auto"/>
                    </w:rPr>
                    <w:t>产出</w:t>
                  </w:r>
                </w:p>
              </w:tc>
            </w:tr>
            <w:tr w14:paraId="5131E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vMerge w:val="continue"/>
                  <w:tcBorders>
                    <w:tl2br w:val="nil"/>
                    <w:tr2bl w:val="nil"/>
                  </w:tcBorders>
                  <w:shd w:val="clear" w:color="auto" w:fill="auto"/>
                  <w:vAlign w:val="center"/>
                </w:tcPr>
                <w:p w14:paraId="6F089DC4">
                  <w:pPr>
                    <w:pStyle w:val="28"/>
                    <w:keepNext w:val="0"/>
                    <w:keepLines w:val="0"/>
                    <w:suppressLineNumbers w:val="0"/>
                    <w:spacing w:before="0" w:beforeAutospacing="0" w:after="0" w:afterAutospacing="0"/>
                    <w:ind w:left="0" w:right="0"/>
                    <w:rPr>
                      <w:rFonts w:hint="default"/>
                      <w:color w:val="auto"/>
                    </w:rPr>
                  </w:pPr>
                </w:p>
              </w:tc>
              <w:tc>
                <w:tcPr>
                  <w:tcW w:w="1173" w:type="pct"/>
                  <w:tcBorders>
                    <w:tl2br w:val="nil"/>
                    <w:tr2bl w:val="nil"/>
                  </w:tcBorders>
                  <w:shd w:val="clear" w:color="auto" w:fill="auto"/>
                  <w:vAlign w:val="center"/>
                </w:tcPr>
                <w:p w14:paraId="1E5870E9">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781" w:type="pct"/>
                  <w:tcBorders>
                    <w:tl2br w:val="nil"/>
                    <w:tr2bl w:val="nil"/>
                  </w:tcBorders>
                  <w:shd w:val="clear" w:color="auto" w:fill="auto"/>
                  <w:vAlign w:val="center"/>
                </w:tcPr>
                <w:p w14:paraId="0BC18879">
                  <w:pPr>
                    <w:pStyle w:val="28"/>
                    <w:keepNext w:val="0"/>
                    <w:keepLines w:val="0"/>
                    <w:suppressLineNumbers w:val="0"/>
                    <w:spacing w:before="0" w:beforeAutospacing="0" w:after="0" w:afterAutospacing="0"/>
                    <w:ind w:left="0" w:right="0"/>
                    <w:rPr>
                      <w:rFonts w:hint="default"/>
                      <w:color w:val="auto"/>
                    </w:rPr>
                  </w:pPr>
                  <w:r>
                    <w:rPr>
                      <w:rFonts w:hint="default"/>
                      <w:color w:val="auto"/>
                    </w:rPr>
                    <w:t>投入量</w:t>
                  </w:r>
                </w:p>
              </w:tc>
              <w:tc>
                <w:tcPr>
                  <w:tcW w:w="1486" w:type="pct"/>
                  <w:tcBorders>
                    <w:tl2br w:val="nil"/>
                    <w:tr2bl w:val="nil"/>
                  </w:tcBorders>
                  <w:shd w:val="clear" w:color="auto" w:fill="auto"/>
                  <w:vAlign w:val="center"/>
                </w:tcPr>
                <w:p w14:paraId="1EDB0115">
                  <w:pPr>
                    <w:pStyle w:val="28"/>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778" w:type="pct"/>
                  <w:tcBorders>
                    <w:tl2br w:val="nil"/>
                    <w:tr2bl w:val="nil"/>
                  </w:tcBorders>
                  <w:shd w:val="clear" w:color="auto" w:fill="auto"/>
                  <w:vAlign w:val="center"/>
                </w:tcPr>
                <w:p w14:paraId="0D903D77">
                  <w:pPr>
                    <w:pStyle w:val="28"/>
                    <w:keepNext w:val="0"/>
                    <w:keepLines w:val="0"/>
                    <w:suppressLineNumbers w:val="0"/>
                    <w:spacing w:before="0" w:beforeAutospacing="0" w:after="0" w:afterAutospacing="0"/>
                    <w:ind w:left="0" w:right="0"/>
                    <w:rPr>
                      <w:rFonts w:hint="default"/>
                      <w:color w:val="auto"/>
                    </w:rPr>
                  </w:pPr>
                  <w:r>
                    <w:rPr>
                      <w:rFonts w:hint="default"/>
                      <w:color w:val="auto"/>
                    </w:rPr>
                    <w:t>产出量</w:t>
                  </w:r>
                </w:p>
              </w:tc>
            </w:tr>
            <w:tr w14:paraId="57E2C7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2C1E584C">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1173" w:type="pct"/>
                  <w:tcBorders>
                    <w:tl2br w:val="nil"/>
                    <w:tr2bl w:val="nil"/>
                  </w:tcBorders>
                  <w:shd w:val="clear" w:color="auto" w:fill="auto"/>
                  <w:noWrap/>
                  <w:vAlign w:val="center"/>
                </w:tcPr>
                <w:p w14:paraId="1F7D408B">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食品级二氧化碳</w:t>
                  </w:r>
                </w:p>
              </w:tc>
              <w:tc>
                <w:tcPr>
                  <w:tcW w:w="781" w:type="pct"/>
                  <w:tcBorders>
                    <w:tl2br w:val="nil"/>
                    <w:tr2bl w:val="nil"/>
                  </w:tcBorders>
                  <w:shd w:val="clear" w:color="auto" w:fill="auto"/>
                  <w:noWrap/>
                  <w:vAlign w:val="center"/>
                </w:tcPr>
                <w:p w14:paraId="22E7AE3A">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26000</w:t>
                  </w:r>
                </w:p>
              </w:tc>
              <w:tc>
                <w:tcPr>
                  <w:tcW w:w="1486" w:type="pct"/>
                  <w:tcBorders>
                    <w:tl2br w:val="nil"/>
                    <w:tr2bl w:val="nil"/>
                  </w:tcBorders>
                  <w:shd w:val="clear" w:color="auto" w:fill="auto"/>
                  <w:noWrap/>
                  <w:vAlign w:val="center"/>
                </w:tcPr>
                <w:p w14:paraId="617F4225">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干冰</w:t>
                  </w:r>
                </w:p>
              </w:tc>
              <w:tc>
                <w:tcPr>
                  <w:tcW w:w="778" w:type="pct"/>
                  <w:tcBorders>
                    <w:tl2br w:val="nil"/>
                    <w:tr2bl w:val="nil"/>
                  </w:tcBorders>
                  <w:shd w:val="clear" w:color="auto" w:fill="auto"/>
                  <w:noWrap/>
                  <w:vAlign w:val="center"/>
                </w:tcPr>
                <w:p w14:paraId="096E7BA1">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10000</w:t>
                  </w:r>
                </w:p>
              </w:tc>
            </w:tr>
            <w:tr w14:paraId="003D80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71BAAAB9">
                  <w:pPr>
                    <w:pStyle w:val="28"/>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173" w:type="pct"/>
                  <w:tcBorders>
                    <w:tl2br w:val="nil"/>
                    <w:tr2bl w:val="nil"/>
                  </w:tcBorders>
                  <w:shd w:val="clear" w:color="auto" w:fill="auto"/>
                  <w:noWrap/>
                  <w:vAlign w:val="center"/>
                </w:tcPr>
                <w:p w14:paraId="5A98FD04">
                  <w:pPr>
                    <w:pStyle w:val="28"/>
                    <w:keepNext w:val="0"/>
                    <w:keepLines w:val="0"/>
                    <w:suppressLineNumbers w:val="0"/>
                    <w:spacing w:before="0" w:beforeAutospacing="0" w:after="0" w:afterAutospacing="0"/>
                    <w:ind w:left="0" w:right="0"/>
                    <w:rPr>
                      <w:rFonts w:hint="default"/>
                      <w:color w:val="auto"/>
                    </w:rPr>
                  </w:pPr>
                </w:p>
              </w:tc>
              <w:tc>
                <w:tcPr>
                  <w:tcW w:w="781" w:type="pct"/>
                  <w:tcBorders>
                    <w:tl2br w:val="nil"/>
                    <w:tr2bl w:val="nil"/>
                  </w:tcBorders>
                  <w:shd w:val="clear" w:color="auto" w:fill="auto"/>
                  <w:noWrap/>
                  <w:vAlign w:val="center"/>
                </w:tcPr>
                <w:p w14:paraId="5974DD55">
                  <w:pPr>
                    <w:pStyle w:val="28"/>
                    <w:keepNext w:val="0"/>
                    <w:keepLines w:val="0"/>
                    <w:suppressLineNumbers w:val="0"/>
                    <w:spacing w:before="0" w:beforeAutospacing="0" w:after="0" w:afterAutospacing="0"/>
                    <w:ind w:left="0" w:right="0"/>
                    <w:rPr>
                      <w:rFonts w:hint="default"/>
                      <w:color w:val="auto"/>
                    </w:rPr>
                  </w:pPr>
                </w:p>
              </w:tc>
              <w:tc>
                <w:tcPr>
                  <w:tcW w:w="1486" w:type="pct"/>
                  <w:tcBorders>
                    <w:tl2br w:val="nil"/>
                    <w:tr2bl w:val="nil"/>
                  </w:tcBorders>
                  <w:shd w:val="clear" w:color="auto" w:fill="auto"/>
                  <w:noWrap/>
                  <w:vAlign w:val="center"/>
                </w:tcPr>
                <w:p w14:paraId="1A1BBE4B">
                  <w:pPr>
                    <w:pStyle w:val="28"/>
                    <w:keepNext w:val="0"/>
                    <w:keepLines w:val="0"/>
                    <w:suppressLineNumbers w:val="0"/>
                    <w:spacing w:before="0" w:beforeAutospacing="0" w:after="0" w:afterAutospacing="0"/>
                    <w:ind w:left="0" w:right="0"/>
                    <w:rPr>
                      <w:rFonts w:hint="default"/>
                      <w:color w:val="auto"/>
                    </w:rPr>
                  </w:pPr>
                  <w:r>
                    <w:rPr>
                      <w:rFonts w:hint="default"/>
                      <w:color w:val="auto"/>
                    </w:rPr>
                    <w:t>放空二氧化碳气</w:t>
                  </w:r>
                </w:p>
              </w:tc>
              <w:tc>
                <w:tcPr>
                  <w:tcW w:w="778" w:type="pct"/>
                  <w:tcBorders>
                    <w:tl2br w:val="nil"/>
                    <w:tr2bl w:val="nil"/>
                  </w:tcBorders>
                  <w:shd w:val="clear" w:color="auto" w:fill="auto"/>
                  <w:noWrap/>
                  <w:vAlign w:val="center"/>
                </w:tcPr>
                <w:p w14:paraId="6F50171A">
                  <w:pPr>
                    <w:pStyle w:val="28"/>
                    <w:keepNext w:val="0"/>
                    <w:keepLines w:val="0"/>
                    <w:suppressLineNumbers w:val="0"/>
                    <w:spacing w:before="0" w:beforeAutospacing="0" w:after="0" w:afterAutospacing="0"/>
                    <w:ind w:left="0" w:right="0"/>
                    <w:rPr>
                      <w:rFonts w:hint="default" w:eastAsia="等线"/>
                      <w:color w:val="auto"/>
                    </w:rPr>
                  </w:pPr>
                  <w:r>
                    <w:rPr>
                      <w:rFonts w:hint="default" w:eastAsia="等线"/>
                      <w:color w:val="auto"/>
                    </w:rPr>
                    <w:t>16000</w:t>
                  </w:r>
                </w:p>
              </w:tc>
            </w:tr>
            <w:tr w14:paraId="6E406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82" w:type="pct"/>
                  <w:tcBorders>
                    <w:tl2br w:val="nil"/>
                    <w:tr2bl w:val="nil"/>
                  </w:tcBorders>
                  <w:shd w:val="clear" w:color="auto" w:fill="auto"/>
                  <w:noWrap/>
                  <w:vAlign w:val="center"/>
                </w:tcPr>
                <w:p w14:paraId="4874E5EA">
                  <w:pPr>
                    <w:pStyle w:val="28"/>
                    <w:keepNext w:val="0"/>
                    <w:keepLines w:val="0"/>
                    <w:suppressLineNumbers w:val="0"/>
                    <w:spacing w:before="0" w:beforeAutospacing="0" w:after="0" w:afterAutospacing="0"/>
                    <w:ind w:left="0" w:right="0"/>
                    <w:rPr>
                      <w:rFonts w:hint="default"/>
                      <w:color w:val="auto"/>
                    </w:rPr>
                  </w:pPr>
                  <w:r>
                    <w:rPr>
                      <w:rFonts w:hint="default"/>
                      <w:color w:val="auto"/>
                    </w:rPr>
                    <w:t>合计</w:t>
                  </w:r>
                </w:p>
              </w:tc>
              <w:tc>
                <w:tcPr>
                  <w:tcW w:w="1173" w:type="pct"/>
                  <w:tcBorders>
                    <w:tl2br w:val="nil"/>
                    <w:tr2bl w:val="nil"/>
                  </w:tcBorders>
                  <w:shd w:val="clear" w:color="auto" w:fill="auto"/>
                  <w:noWrap/>
                  <w:vAlign w:val="center"/>
                </w:tcPr>
                <w:p w14:paraId="749D298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781" w:type="pct"/>
                  <w:tcBorders>
                    <w:tl2br w:val="nil"/>
                    <w:tr2bl w:val="nil"/>
                  </w:tcBorders>
                  <w:shd w:val="clear" w:color="auto" w:fill="auto"/>
                  <w:noWrap/>
                  <w:vAlign w:val="center"/>
                </w:tcPr>
                <w:p w14:paraId="718D31AA">
                  <w:pPr>
                    <w:pStyle w:val="28"/>
                    <w:keepNext w:val="0"/>
                    <w:keepLines w:val="0"/>
                    <w:suppressLineNumbers w:val="0"/>
                    <w:spacing w:before="0" w:beforeAutospacing="0" w:after="0" w:afterAutospacing="0"/>
                    <w:ind w:left="0" w:right="0"/>
                    <w:rPr>
                      <w:rFonts w:hint="default"/>
                      <w:color w:val="auto"/>
                    </w:rPr>
                  </w:pPr>
                  <w:bookmarkStart w:id="79" w:name="OLE_LINK15"/>
                  <w:bookmarkStart w:id="80" w:name="OLE_LINK16"/>
                  <w:r>
                    <w:rPr>
                      <w:rFonts w:hint="default" w:eastAsia="等线"/>
                      <w:color w:val="auto"/>
                    </w:rPr>
                    <w:t>26000</w:t>
                  </w:r>
                  <w:bookmarkEnd w:id="79"/>
                  <w:bookmarkEnd w:id="80"/>
                </w:p>
              </w:tc>
              <w:tc>
                <w:tcPr>
                  <w:tcW w:w="1486" w:type="pct"/>
                  <w:tcBorders>
                    <w:tl2br w:val="nil"/>
                    <w:tr2bl w:val="nil"/>
                  </w:tcBorders>
                  <w:shd w:val="clear" w:color="auto" w:fill="auto"/>
                  <w:noWrap/>
                  <w:vAlign w:val="center"/>
                </w:tcPr>
                <w:p w14:paraId="21687463">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778" w:type="pct"/>
                  <w:tcBorders>
                    <w:tl2br w:val="nil"/>
                    <w:tr2bl w:val="nil"/>
                  </w:tcBorders>
                  <w:shd w:val="clear" w:color="auto" w:fill="auto"/>
                  <w:noWrap/>
                  <w:vAlign w:val="center"/>
                </w:tcPr>
                <w:p w14:paraId="357A9662">
                  <w:pPr>
                    <w:pStyle w:val="28"/>
                    <w:keepNext w:val="0"/>
                    <w:keepLines w:val="0"/>
                    <w:suppressLineNumbers w:val="0"/>
                    <w:spacing w:before="0" w:beforeAutospacing="0" w:after="0" w:afterAutospacing="0"/>
                    <w:ind w:left="0" w:right="0"/>
                    <w:rPr>
                      <w:rFonts w:hint="default"/>
                      <w:color w:val="auto"/>
                    </w:rPr>
                  </w:pPr>
                  <w:r>
                    <w:rPr>
                      <w:rFonts w:hint="default" w:eastAsia="等线"/>
                      <w:color w:val="auto"/>
                    </w:rPr>
                    <w:t>26000</w:t>
                  </w:r>
                </w:p>
              </w:tc>
            </w:tr>
          </w:tbl>
          <w:p w14:paraId="45AC3B4E">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2.1.11劳动定员及工作制度</w:t>
            </w:r>
          </w:p>
          <w:p w14:paraId="79624FD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劳动定员：本项目劳动定员人数为30人。</w:t>
            </w:r>
          </w:p>
          <w:p w14:paraId="6A998DB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工作制度：本项目工作制度为三班制，每班8小时，全年工作时间334天，日生产24小时。</w:t>
            </w:r>
          </w:p>
          <w:p w14:paraId="02FC7C38">
            <w:pPr>
              <w:keepNext w:val="0"/>
              <w:keepLines w:val="0"/>
              <w:suppressLineNumbers w:val="0"/>
              <w:spacing w:before="0" w:beforeAutospacing="0" w:after="0" w:afterAutospacing="0"/>
              <w:ind w:left="0" w:right="0" w:firstLine="0" w:firstLineChars="0"/>
              <w:rPr>
                <w:rFonts w:hint="default" w:cs="Times New Roman"/>
                <w:b/>
                <w:bCs/>
                <w:color w:val="auto"/>
              </w:rPr>
            </w:pPr>
            <w:r>
              <w:rPr>
                <w:rFonts w:hint="default" w:cs="Times New Roman"/>
                <w:b/>
                <w:bCs/>
                <w:color w:val="auto"/>
              </w:rPr>
              <w:t>2.1.12厂区平面布置合理性分析</w:t>
            </w:r>
          </w:p>
          <w:p w14:paraId="2E51374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1、总平面布局合理性分析</w:t>
            </w:r>
          </w:p>
          <w:p w14:paraId="045A145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厂区总体呈正方形，主体工程生产车间位于厂区中部，紧邻车间东侧布置食品级硫磺仓库、事故池、初期雨水池及循环水池，车间南侧布置矩形料场，车间西侧布置LNG充装撬以及柴油撬装站，车间北侧为研发楼。厂区北侧布置干冰车间，紧邻干冰车西侧为消防泵房、消防水罐以及液体二氧化碳罐区。</w:t>
            </w:r>
          </w:p>
          <w:p w14:paraId="5C050BF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根据《建筑设计防火规范》（GB50016-2014）（2018年版）及《精细化工企业工程设计防火标准》（GB51283-2020）的相关规定，按照“合理分区、物流便捷、突出环保、和谐统一”的原则，结合场地的用地条件及生产工艺，综合考虑了生产、环保、绿化、劳动卫生要求，对厂区进行了统筹安排。因地制宜对生产车间进行总体规划、合理布置，使生产车间平面布置达到了物流顺畅、人流短捷、满足工艺流程需要、运输方便等要求。</w:t>
            </w:r>
          </w:p>
          <w:p w14:paraId="05A6A7A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设置了内部使用的LNG充装撬以及柴油撬装站，间距及与周围建筑之间的距离严格遵循现行的《汽车加油加气加氢站技术标准》（GB50156-2021）、《建筑设计防火规范》（GB50016-2014，2018年修订版）要求，平面布局总体合理。</w:t>
            </w:r>
          </w:p>
          <w:p w14:paraId="4BEED48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2、环保设施布局合理性分析</w:t>
            </w:r>
          </w:p>
          <w:p w14:paraId="79E6C6F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在总平面布置上充分考虑环保要求，高噪声设备设置于车间内，远离项目办公休息区，利用设备基础减震、厂房隔声和距离衰减等方式减小噪声的影响。产生的废气经治理后达标排放，生产车间排气筒设置在车间中部，对外环境影响较小。</w:t>
            </w:r>
          </w:p>
          <w:p w14:paraId="60F88A6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所述，项目总平面布置各功能分区明确、间距合理、工艺流程顺畅，平面布局满足工艺流程，也满足功能分区要求及运输作业要求，总体布局上考虑了环保要求，评价认为项目总平布局及环保设备设施布局比较合理。项目总平面布置图见附图2。</w:t>
            </w:r>
          </w:p>
        </w:tc>
      </w:tr>
      <w:tr w14:paraId="1883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Align w:val="center"/>
          </w:tcPr>
          <w:p w14:paraId="1382D0BE">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工艺流程和产排污环节</w:t>
            </w:r>
          </w:p>
        </w:tc>
        <w:tc>
          <w:tcPr>
            <w:tcW w:w="4662" w:type="pct"/>
            <w:vAlign w:val="center"/>
          </w:tcPr>
          <w:p w14:paraId="42A73F1F">
            <w:pPr>
              <w:keepNext w:val="0"/>
              <w:keepLines w:val="0"/>
              <w:suppressLineNumbers w:val="0"/>
              <w:tabs>
                <w:tab w:val="left" w:pos="1260"/>
              </w:tabs>
              <w:adjustRightInd w:val="0"/>
              <w:spacing w:before="0" w:beforeAutospacing="0" w:after="0" w:afterAutospacing="0"/>
              <w:ind w:left="0" w:right="0" w:firstLine="482"/>
              <w:rPr>
                <w:rFonts w:hint="default" w:cs="Times New Roman"/>
                <w:b/>
                <w:bCs/>
                <w:color w:val="auto"/>
                <w:szCs w:val="32"/>
              </w:rPr>
            </w:pPr>
            <w:r>
              <w:rPr>
                <w:rFonts w:hint="default" w:cs="Times New Roman"/>
                <w:b/>
                <w:bCs/>
                <w:color w:val="auto"/>
                <w:szCs w:val="32"/>
              </w:rPr>
              <w:t>1、施工期工艺流程及产排污环节</w:t>
            </w:r>
          </w:p>
          <w:p w14:paraId="5C85A348">
            <w:pPr>
              <w:keepNext w:val="0"/>
              <w:keepLines w:val="0"/>
              <w:suppressLineNumbers w:val="0"/>
              <w:snapToGrid w:val="0"/>
              <w:spacing w:before="0" w:beforeAutospacing="0" w:after="0" w:afterAutospacing="0"/>
              <w:ind w:left="0" w:right="0" w:firstLine="480"/>
              <w:rPr>
                <w:rFonts w:hint="default" w:cs="Times New Roman"/>
                <w:color w:val="auto"/>
              </w:rPr>
            </w:pPr>
            <w:r>
              <w:rPr>
                <w:rFonts w:hint="default" w:cs="Times New Roman"/>
                <w:color w:val="auto"/>
              </w:rPr>
              <w:t>本项目为新建项目，本项目施工期包括场地平整、基础工程、主体工程、装饰工程、安装工程，</w:t>
            </w:r>
            <w:r>
              <w:rPr>
                <w:rFonts w:hint="default" w:cs="Times New Roman"/>
                <w:color w:val="auto"/>
                <w:kern w:val="0"/>
                <w:lang w:bidi="ar"/>
              </w:rPr>
              <w:t>项目施工期工艺流程及产污环节见下图：</w:t>
            </w:r>
          </w:p>
          <w:p w14:paraId="5300203E">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drawing>
                <wp:inline distT="0" distB="0" distL="114300" distR="114300">
                  <wp:extent cx="4608195" cy="1812925"/>
                  <wp:effectExtent l="0" t="0" r="0" b="0"/>
                  <wp:docPr id="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
                          <pic:cNvPicPr>
                            <a:picLocks noChangeAspect="1"/>
                          </pic:cNvPicPr>
                        </pic:nvPicPr>
                        <pic:blipFill>
                          <a:blip r:embed="rId23"/>
                          <a:stretch>
                            <a:fillRect/>
                          </a:stretch>
                        </pic:blipFill>
                        <pic:spPr>
                          <a:xfrm>
                            <a:off x="0" y="0"/>
                            <a:ext cx="4608195" cy="1812925"/>
                          </a:xfrm>
                          <a:prstGeom prst="rect">
                            <a:avLst/>
                          </a:prstGeom>
                          <a:noFill/>
                          <a:ln>
                            <a:noFill/>
                          </a:ln>
                        </pic:spPr>
                      </pic:pic>
                    </a:graphicData>
                  </a:graphic>
                </wp:inline>
              </w:drawing>
            </w:r>
          </w:p>
          <w:p w14:paraId="45F4451F">
            <w:pPr>
              <w:pStyle w:val="31"/>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施工期主要流程及污染物产生环节图</w:t>
            </w:r>
          </w:p>
          <w:p w14:paraId="2AFEA0D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施工期工艺流程说明：</w:t>
            </w:r>
          </w:p>
          <w:p w14:paraId="7E35A34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（1）场地平整</w:t>
            </w:r>
          </w:p>
          <w:p w14:paraId="1731AB1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本项目场地现状为空地，需要对施工场地进行清理平整。</w:t>
            </w:r>
          </w:p>
          <w:p w14:paraId="06654F2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（2）基础工程</w:t>
            </w:r>
          </w:p>
          <w:p w14:paraId="5FCBD71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包括地基处理与基础施工，施工机械如挖掘机、打夯机、装载汽车等，运行时将产生噪声，同时也会产生弃土及扬尘，堆场和运输场过程中的扬尘以及排放生活污水等环境问题。</w:t>
            </w:r>
          </w:p>
          <w:p w14:paraId="08E0367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（3）主体工程</w:t>
            </w:r>
          </w:p>
          <w:p w14:paraId="7EB148C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建设项目主体工程主要为卷扬机、钢筋切割机、钢筋弯曲机、电焊机等施工机械的运行噪声，在挖土、土堆场和运输过程中的扬尘等环境问题。</w:t>
            </w:r>
          </w:p>
          <w:p w14:paraId="481AD97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（4）装饰和安装工程施工</w:t>
            </w:r>
          </w:p>
          <w:p w14:paraId="7AE1450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在厂房内对厂房进行装饰和新增设备进行安装和调试时，产生一定的噪声和少量一般固废。</w:t>
            </w:r>
          </w:p>
          <w:p w14:paraId="392AC75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从上述污染工序说明可知，施工期环境污染问题主要为：建筑扬尘、施工期噪声、施工期生活污水和生活垃圾及建筑垃圾。这些污染几乎发生于整个施工过程，但不同污染因子在不同施工段污染强度不同。</w:t>
            </w:r>
          </w:p>
          <w:p w14:paraId="5C4342D3">
            <w:pPr>
              <w:keepNext w:val="0"/>
              <w:keepLines w:val="0"/>
              <w:suppressLineNumbers w:val="0"/>
              <w:spacing w:before="0" w:beforeAutospacing="0" w:after="0" w:afterAutospacing="0"/>
              <w:ind w:left="0" w:right="0" w:firstLine="482"/>
              <w:rPr>
                <w:rFonts w:hint="default" w:cs="Times New Roman"/>
                <w:b/>
                <w:bCs/>
                <w:color w:val="auto"/>
                <w:szCs w:val="32"/>
              </w:rPr>
            </w:pPr>
            <w:r>
              <w:rPr>
                <w:rFonts w:hint="default" w:cs="Times New Roman"/>
                <w:b/>
                <w:bCs/>
                <w:color w:val="auto"/>
                <w:szCs w:val="32"/>
              </w:rPr>
              <w:t>2、营运期工艺流程及产排污环节</w:t>
            </w:r>
          </w:p>
          <w:p w14:paraId="4B42C136">
            <w:pPr>
              <w:keepNext w:val="0"/>
              <w:keepLines w:val="0"/>
              <w:suppressLineNumbers w:val="0"/>
              <w:spacing w:before="0" w:beforeAutospacing="0" w:after="0" w:afterAutospacing="0"/>
              <w:ind w:left="0" w:right="0" w:firstLine="482"/>
              <w:rPr>
                <w:rFonts w:hint="default" w:cs="Times New Roman"/>
                <w:b/>
                <w:color w:val="auto"/>
              </w:rPr>
            </w:pPr>
            <w:r>
              <w:rPr>
                <w:rFonts w:hint="default" w:cs="Times New Roman"/>
                <w:b/>
                <w:color w:val="auto"/>
              </w:rPr>
              <w:t>（1）硫磺生产</w:t>
            </w:r>
          </w:p>
          <w:p w14:paraId="170B947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本项目硫磺生产工艺流程如下图所示：</w:t>
            </w:r>
          </w:p>
          <w:p w14:paraId="28571F20">
            <w:pPr>
              <w:keepNext w:val="0"/>
              <w:keepLines w:val="0"/>
              <w:suppressLineNumbers w:val="0"/>
              <w:spacing w:before="0" w:beforeAutospacing="0" w:after="0" w:afterAutospacing="0"/>
              <w:ind w:left="0" w:right="0" w:firstLine="480"/>
              <w:rPr>
                <w:rFonts w:hint="default" w:cs="Times New Roman"/>
                <w:color w:val="auto"/>
              </w:rPr>
            </w:pPr>
          </w:p>
          <w:p w14:paraId="1DB429B7">
            <w:pPr>
              <w:keepNext w:val="0"/>
              <w:keepLines w:val="0"/>
              <w:suppressLineNumbers w:val="0"/>
              <w:spacing w:before="0" w:beforeAutospacing="0" w:after="0" w:afterAutospacing="0"/>
              <w:ind w:left="0" w:right="0" w:firstLine="480"/>
              <w:rPr>
                <w:rFonts w:hint="default" w:cs="Times New Roman"/>
                <w:color w:val="auto"/>
              </w:rPr>
            </w:pPr>
          </w:p>
          <w:p w14:paraId="3948BBD2">
            <w:pPr>
              <w:keepNext w:val="0"/>
              <w:keepLines w:val="0"/>
              <w:suppressLineNumbers w:val="0"/>
              <w:spacing w:before="0" w:beforeAutospacing="0" w:after="0" w:afterAutospacing="0"/>
              <w:ind w:left="0" w:right="0" w:firstLine="480"/>
              <w:rPr>
                <w:rFonts w:hint="default" w:cs="Times New Roman"/>
                <w:color w:val="auto"/>
              </w:rPr>
            </w:pPr>
          </w:p>
          <w:p w14:paraId="15EDFD2D">
            <w:pPr>
              <w:keepNext w:val="0"/>
              <w:keepLines w:val="0"/>
              <w:suppressLineNumbers w:val="0"/>
              <w:spacing w:before="0" w:beforeAutospacing="0" w:after="0" w:afterAutospacing="0"/>
              <w:ind w:left="0" w:right="0" w:firstLine="480"/>
              <w:rPr>
                <w:rFonts w:hint="default" w:cs="Times New Roman"/>
                <w:color w:val="auto"/>
              </w:rPr>
            </w:pPr>
          </w:p>
          <w:p w14:paraId="3E03AC4E">
            <w:pPr>
              <w:keepNext w:val="0"/>
              <w:keepLines w:val="0"/>
              <w:suppressLineNumbers w:val="0"/>
              <w:spacing w:before="0" w:beforeAutospacing="0" w:after="0" w:afterAutospacing="0"/>
              <w:ind w:left="0" w:right="0" w:firstLine="480"/>
              <w:rPr>
                <w:rFonts w:hint="default" w:cs="Times New Roman"/>
                <w:color w:val="auto"/>
              </w:rPr>
            </w:pPr>
          </w:p>
          <w:p w14:paraId="238A61E6">
            <w:pPr>
              <w:keepNext w:val="0"/>
              <w:keepLines w:val="0"/>
              <w:suppressLineNumbers w:val="0"/>
              <w:spacing w:before="0" w:beforeAutospacing="0" w:after="0" w:afterAutospacing="0"/>
              <w:ind w:left="0" w:right="0" w:firstLine="480"/>
              <w:rPr>
                <w:rFonts w:hint="default" w:cs="Times New Roman"/>
                <w:color w:val="auto"/>
              </w:rPr>
            </w:pPr>
          </w:p>
          <w:p w14:paraId="3A8EE47D">
            <w:pPr>
              <w:keepNext w:val="0"/>
              <w:keepLines w:val="0"/>
              <w:suppressLineNumbers w:val="0"/>
              <w:spacing w:before="0" w:beforeAutospacing="0" w:after="0" w:afterAutospacing="0"/>
              <w:ind w:left="0" w:right="0" w:firstLine="480"/>
              <w:rPr>
                <w:rFonts w:hint="default" w:cs="Times New Roman"/>
                <w:color w:val="auto"/>
              </w:rPr>
            </w:pPr>
          </w:p>
          <w:p w14:paraId="39EC2F5C">
            <w:pPr>
              <w:keepNext w:val="0"/>
              <w:keepLines w:val="0"/>
              <w:suppressLineNumbers w:val="0"/>
              <w:spacing w:before="0" w:beforeAutospacing="0" w:after="0" w:afterAutospacing="0"/>
              <w:ind w:left="0" w:right="0" w:firstLine="480"/>
              <w:rPr>
                <w:rFonts w:hint="default" w:cs="Times New Roman"/>
                <w:color w:val="auto"/>
              </w:rPr>
            </w:pPr>
          </w:p>
          <w:p w14:paraId="7037D5BB">
            <w:pPr>
              <w:keepNext w:val="0"/>
              <w:keepLines w:val="0"/>
              <w:suppressLineNumbers w:val="0"/>
              <w:spacing w:before="0" w:beforeAutospacing="0" w:after="0" w:afterAutospacing="0"/>
              <w:ind w:left="0" w:right="0" w:firstLine="480"/>
              <w:rPr>
                <w:rFonts w:hint="default" w:cs="Times New Roman"/>
                <w:color w:val="auto"/>
              </w:rPr>
            </w:pPr>
          </w:p>
          <w:p w14:paraId="41CC8AA5">
            <w:pPr>
              <w:keepNext w:val="0"/>
              <w:keepLines w:val="0"/>
              <w:suppressLineNumbers w:val="0"/>
              <w:spacing w:before="0" w:beforeAutospacing="0" w:after="0" w:afterAutospacing="0"/>
              <w:ind w:left="0" w:right="0" w:firstLine="480"/>
              <w:rPr>
                <w:rFonts w:hint="default" w:cs="Times New Roman"/>
                <w:color w:val="auto"/>
              </w:rPr>
            </w:pPr>
          </w:p>
          <w:p w14:paraId="22233004">
            <w:pPr>
              <w:keepNext w:val="0"/>
              <w:keepLines w:val="0"/>
              <w:suppressLineNumbers w:val="0"/>
              <w:spacing w:before="0" w:beforeAutospacing="0" w:after="0" w:afterAutospacing="0"/>
              <w:ind w:left="0" w:right="0" w:firstLine="480"/>
              <w:rPr>
                <w:rFonts w:hint="default" w:cs="Times New Roman"/>
                <w:color w:val="auto"/>
              </w:rPr>
            </w:pPr>
          </w:p>
          <w:p w14:paraId="31A7C626">
            <w:pPr>
              <w:keepNext w:val="0"/>
              <w:keepLines w:val="0"/>
              <w:suppressLineNumbers w:val="0"/>
              <w:spacing w:before="0" w:beforeAutospacing="0" w:after="0" w:afterAutospacing="0"/>
              <w:ind w:left="0" w:right="0" w:firstLine="480"/>
              <w:rPr>
                <w:rFonts w:hint="default" w:cs="Times New Roman"/>
                <w:color w:val="auto"/>
              </w:rPr>
            </w:pPr>
          </w:p>
          <w:p w14:paraId="21946597">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object>
                <v:shape id="_x0000_i1026" o:spt="75" type="#_x0000_t75" style="height:361.65pt;width:378pt;" o:ole="t" filled="f" o:preferrelative="t" stroked="f" coordsize="21600,21600">
                  <v:path/>
                  <v:fill on="f" focussize="0,0"/>
                  <v:stroke on="f" joinstyle="miter"/>
                  <v:imagedata r:id="rId25" o:title=""/>
                  <o:lock v:ext="edit" aspectratio="t"/>
                  <w10:wrap type="none"/>
                  <w10:anchorlock/>
                </v:shape>
                <o:OLEObject Type="Embed" ProgID="Visio.Drawing.11" ShapeID="_x0000_i1026" DrawAspect="Content" ObjectID="_1468075726" r:id="rId24">
                  <o:LockedField>false</o:LockedField>
                </o:OLEObject>
              </w:object>
            </w:r>
          </w:p>
          <w:p w14:paraId="4D74186B">
            <w:pPr>
              <w:pStyle w:val="31"/>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项目食品级硫磺/工业级硫磺生产流程及产污环节</w:t>
            </w:r>
          </w:p>
          <w:p w14:paraId="7964A43D">
            <w:pPr>
              <w:keepNext w:val="0"/>
              <w:keepLines w:val="0"/>
              <w:suppressLineNumbers w:val="0"/>
              <w:spacing w:before="0" w:beforeAutospacing="0" w:after="0" w:afterAutospacing="0"/>
              <w:ind w:left="0" w:right="0" w:firstLine="482"/>
              <w:rPr>
                <w:rFonts w:hint="default" w:cs="Times New Roman"/>
                <w:color w:val="auto"/>
              </w:rPr>
            </w:pPr>
            <w:r>
              <w:rPr>
                <w:rFonts w:hint="default" w:cs="Times New Roman"/>
                <w:b/>
                <w:bCs/>
                <w:color w:val="auto"/>
              </w:rPr>
              <w:t>工艺原理：</w:t>
            </w:r>
            <w:r>
              <w:rPr>
                <w:rFonts w:hint="default" w:cs="Times New Roman"/>
                <w:bCs/>
                <w:color w:val="auto"/>
              </w:rPr>
              <w:t>原料来自</w:t>
            </w:r>
            <w:r>
              <w:rPr>
                <w:rFonts w:hint="default" w:cs="Times New Roman"/>
                <w:color w:val="auto"/>
              </w:rPr>
              <w:t>园区的中石化净化厂或就近的净化厂的工业级硫磺，原料质量标准满足《工业硫磺 第2部分：液体产品》（GB/T 2449.2-2015）中一等品，即硫含量99.5%以上，原料液体硫磺，卸车进入液硫重力沉降池（中转池），经过重力沉降将原料中的杂质沉降在液硫底部，上部纯净硫液经过液硫泵加压，经过滤分离后的产品达到食品级标准，然后去食品级造粒机造粒或食品级刮片、粉碎后包装。未达到食品级的硫磺，按工业级硫磺生产，进入湿法造粒机。</w:t>
            </w:r>
          </w:p>
          <w:p w14:paraId="367E42E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本项目生产工艺较为简单，不涉及化学反应过程，仅为物理变化过程。生产过程采用电加热来预热开车前的管道，开车后无需使用电加热。</w:t>
            </w:r>
          </w:p>
          <w:p w14:paraId="4B58CE3F">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工艺简述：</w:t>
            </w:r>
          </w:p>
          <w:p w14:paraId="48D7F18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1）原料进厂：工业级液体硫磺，约140℃，专用槽车运输进厂。</w:t>
            </w:r>
          </w:p>
          <w:p w14:paraId="0D2EE76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2）液硫池沉淀：从界区外来液体硫磺，该硫磺来自中石化净化厂或就近的净化厂，原料符合《工业硫磺 第2部分：液体产品》（GB/T 2449.2-2015）液体工业硫磺一等品质量标准（硫含量99.5%以上）。液体硫磺卸车进入密闭的液硫池，液硫池通过电加热保温在125℃左右。液硫池沉淀主要有3个作用，一是硫磺原料的缓冲，实现生产工艺的连续。二是静置使液体硫磺中游离的含硫气体（主要成分为H</w:t>
            </w:r>
            <w:r>
              <w:rPr>
                <w:rFonts w:hint="default" w:cs="Times New Roman"/>
                <w:color w:val="auto"/>
                <w:vertAlign w:val="subscript"/>
              </w:rPr>
              <w:t>2</w:t>
            </w:r>
            <w:r>
              <w:rPr>
                <w:rFonts w:hint="default" w:cs="Times New Roman"/>
                <w:color w:val="auto"/>
              </w:rPr>
              <w:t>S，含量为0.0015%）逸出。该工序产生含硫气体经液硫池呼吸阀由风机送入车间废气治理装置处理，处理达标后经1#排气筒引至楼顶排放；三是物理沉降，原料中的含杂质部分沉降在液硫底部，根据《工业硫磺 第2部分：液体产品》（GB/T2449.2-2015）液体工业硫磺一等品质量标准，该部分杂质主要为铁和砷的硫化物颗粒（硫化砷密度3.5g/cm</w:t>
            </w:r>
            <w:r>
              <w:rPr>
                <w:rFonts w:hint="default" w:cs="Times New Roman"/>
                <w:color w:val="auto"/>
                <w:vertAlign w:val="superscript"/>
              </w:rPr>
              <w:t>3</w:t>
            </w:r>
            <w:r>
              <w:rPr>
                <w:rFonts w:hint="default" w:cs="Times New Roman"/>
                <w:color w:val="auto"/>
              </w:rPr>
              <w:t>，熔点350℃；硫化铁密度5.7g/cm</w:t>
            </w:r>
            <w:r>
              <w:rPr>
                <w:rFonts w:hint="default" w:cs="Times New Roman"/>
                <w:color w:val="auto"/>
                <w:vertAlign w:val="superscript"/>
              </w:rPr>
              <w:t>3</w:t>
            </w:r>
            <w:r>
              <w:rPr>
                <w:rFonts w:hint="default" w:cs="Times New Roman"/>
                <w:color w:val="auto"/>
              </w:rPr>
              <w:t>、熔点1171℃），占比最大为0.006%。杂质沉淀在液硫池底部，定期清掏作为固体废物处理。</w:t>
            </w:r>
          </w:p>
          <w:p w14:paraId="26FEB57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提纯：液硫池上部纯净硫液经过液硫泵加压进入提纯塔，采用重力沉降+精密过滤原理将液硫提纯，精密过滤滤芯采用烧结滤芯，通过滤芯分离得到食品级硫磺，塔底得到工业级硫磺，然后食品级硫磺进入滚筒造粒机进行造粒，工业级硫磺进入湿法造粒机进行造粒。该过程滤芯在长期使用后会定期报废，一般五年更换一次，由生产厂家回收利用。</w:t>
            </w:r>
          </w:p>
          <w:p w14:paraId="04CA5D4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造粒：由于食品级硫磺对含水量要求较高，因此食品级硫磺生产采用滚筒造粒机进行造粒，橡胶用硫磺粉、农药用硫磺粉、土壤改良硫磺粉由于对水分要求较高，采用刮片机、粉碎机进行。工业级硫磺、硫自养填料、沥青混凝土添加剂采用湿法造粒机进行造粒。</w:t>
            </w:r>
          </w:p>
          <w:p w14:paraId="2F2E276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滚筒造粒：通过液硫泵将液硫送至旋转的硫磺滚筒喷浆造粒机中，当液硫由雾化喷嘴喷入转筒内后，将脱盐水以雾化的状态喷入转筒内对液硫进行冷却固化。该过程会有废气产生，废气主要含有水蒸气、硫磺粉尘和少量硫化氢。硫磺转筒造粒工序产生的废气</w:t>
            </w:r>
            <w:bookmarkStart w:id="81" w:name="OLE_LINK12"/>
            <w:bookmarkStart w:id="82" w:name="OLE_LINK11"/>
            <w:r>
              <w:rPr>
                <w:rFonts w:hint="default" w:cs="Times New Roman"/>
                <w:color w:val="auto"/>
              </w:rPr>
              <w:t>由负压风机送至</w:t>
            </w:r>
            <w:bookmarkStart w:id="83" w:name="OLE_LINK10"/>
            <w:bookmarkStart w:id="84" w:name="OLE_LINK9"/>
            <w:r>
              <w:rPr>
                <w:rFonts w:hint="default" w:cs="Times New Roman"/>
                <w:color w:val="auto"/>
              </w:rPr>
              <w:t>车间废气治理装置处理，处理达标后经1#排气筒引至楼顶排放。</w:t>
            </w:r>
            <w:bookmarkEnd w:id="81"/>
            <w:bookmarkEnd w:id="82"/>
            <w:bookmarkEnd w:id="83"/>
            <w:bookmarkEnd w:id="84"/>
          </w:p>
          <w:p w14:paraId="0903818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制片：约125℃的液态硫磺通过管道进入滚筒刮片机外接触面，在滚筒表面冷却凝结，通过刮刀制片。该过程会有废气产生，废气主要含有水蒸气、硫磺粉尘和少量硫化氢，废气通过设置的集气罩收集送至车间废气治理装置处理，处理达标后经1#排气筒引至楼顶排放。滚筒刮片机的冷却循环水不与硫磺接触，循环冷却水入口8℃，出口32℃，经过冷却塔降温后，不断循环，保证刮片机的正常运行。</w:t>
            </w:r>
          </w:p>
          <w:p w14:paraId="488E16F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粉碎：经刮片机制成的硫磺块进入粉碎机研磨，形成规格为150-300目的硫磺粉。拟建项目采用惰性气体保护超微粉碎机，在整个粉碎过程为全密闭，且设备自带布袋除尘器，粉尘不外排，因此本次评价粉碎工艺不考虑粉尘排放。</w:t>
            </w:r>
          </w:p>
          <w:p w14:paraId="67B2097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湿法造粒：通过液硫泵将液硫送至造粒塔顶端，经液硫分配器将液硫分成许多流束，进入冷水池中，流束在重力和表面张力的共同作用下，形成一个个粒，产生的硫磺颗粒进入脱水筛脱水得到工业级产品。该过程会有废气产生，废气主要含有水蒸气，极少量硫磺和硫化氢。废水主要含有硫磺颗粒及硫化氢，由造粒塔出来的冷却水（温度为60~70℃），进入自建2#冷却循环水系统处理后回用。硫磺湿法造粒工序产生的废气由负压风机送至车间废气治理装置处理，处理达标后经1#排气筒引至楼顶排放。</w:t>
            </w:r>
          </w:p>
          <w:p w14:paraId="78602F37">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5）筛分</w:t>
            </w:r>
          </w:p>
          <w:p w14:paraId="642878E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通过筛分机将固体硫磺和循环冷却水分离，</w:t>
            </w:r>
            <w:r>
              <w:rPr>
                <w:rFonts w:hint="eastAsia" w:cs="Times New Roman"/>
                <w:color w:val="auto"/>
              </w:rPr>
              <w:t>分级</w:t>
            </w:r>
            <w:r>
              <w:rPr>
                <w:rFonts w:hint="default" w:cs="Times New Roman"/>
                <w:color w:val="auto"/>
              </w:rPr>
              <w:t>孔径小于0.2mm，而固体硫磺颗粒的直径均超过0.3mm，故筛分机可截留固体硫磺颗粒。分出来的固体硫磺经过溜槽进入矩形料仓，循环冷却水经过换热器冷却后回用。固体硫磺的粒径在0.3mm以上，粒径较大，产生粉尘很少，忽略不计。</w:t>
            </w:r>
          </w:p>
          <w:p w14:paraId="20EB510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6）包装</w:t>
            </w:r>
          </w:p>
          <w:p w14:paraId="0D62B6E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硫磺从滚筒造粒机至吨袋包装机，粉碎机至50kg级包装机进行包装入库。该过程会有废气产生，废气主要含有硫磺粉尘，由于硫磺粉尘粒径在2mm-3mm之间，能够快速自然沉降，因此，包装粉尘量很小。</w:t>
            </w:r>
          </w:p>
          <w:p w14:paraId="2B42BD18">
            <w:pPr>
              <w:keepNext w:val="0"/>
              <w:keepLines w:val="0"/>
              <w:suppressLineNumbers w:val="0"/>
              <w:spacing w:before="0" w:beforeAutospacing="0" w:after="0" w:afterAutospacing="0"/>
              <w:ind w:left="0" w:right="0" w:firstLine="482"/>
              <w:rPr>
                <w:rFonts w:hint="default" w:cs="Times New Roman"/>
                <w:b/>
                <w:color w:val="auto"/>
              </w:rPr>
            </w:pPr>
            <w:r>
              <w:rPr>
                <w:rFonts w:hint="default" w:cs="Times New Roman"/>
                <w:b/>
                <w:color w:val="auto"/>
              </w:rPr>
              <w:t>（2）干冰生产</w:t>
            </w:r>
          </w:p>
          <w:p w14:paraId="395B1ED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1）原料进厂：</w:t>
            </w:r>
            <w:bookmarkStart w:id="85" w:name="OLE_LINK130"/>
            <w:bookmarkStart w:id="86" w:name="OLE_LINK131"/>
            <w:r>
              <w:rPr>
                <w:rFonts w:hint="default" w:cs="Times New Roman"/>
                <w:color w:val="auto"/>
              </w:rPr>
              <w:t>食品级液体二氧化碳</w:t>
            </w:r>
            <w:bookmarkEnd w:id="85"/>
            <w:bookmarkEnd w:id="86"/>
            <w:r>
              <w:rPr>
                <w:rFonts w:hint="default" w:cs="Times New Roman"/>
                <w:color w:val="auto"/>
              </w:rPr>
              <w:t>，专用槽车运输进厂。</w:t>
            </w:r>
          </w:p>
          <w:p w14:paraId="6D826C7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2）暂存：从界区外来液体二氧化碳，原料符合《食品添加剂 二氧化碳》（GB1886.228-2016）。液体二氧化碳进入压力罐暂存。</w:t>
            </w:r>
          </w:p>
          <w:p w14:paraId="08276DF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3）制干冰</w:t>
            </w:r>
          </w:p>
          <w:p w14:paraId="448FC4C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项目干冰机利用中压液体CO</w:t>
            </w:r>
            <w:r>
              <w:rPr>
                <w:rFonts w:hint="default" w:cs="Times New Roman"/>
                <w:color w:val="auto"/>
                <w:vertAlign w:val="subscript"/>
              </w:rPr>
              <w:t>2</w:t>
            </w:r>
            <w:r>
              <w:rPr>
                <w:rFonts w:hint="default" w:cs="Times New Roman"/>
                <w:color w:val="auto"/>
              </w:rPr>
              <w:t>的节流膨胀降温，使部分液体CO</w:t>
            </w:r>
            <w:r>
              <w:rPr>
                <w:rFonts w:hint="default" w:cs="Times New Roman"/>
                <w:color w:val="auto"/>
                <w:vertAlign w:val="subscript"/>
              </w:rPr>
              <w:t>2</w:t>
            </w:r>
            <w:r>
              <w:rPr>
                <w:rFonts w:hint="default" w:cs="Times New Roman"/>
                <w:color w:val="auto"/>
              </w:rPr>
              <w:t>凝结成固体雪状CO</w:t>
            </w:r>
            <w:r>
              <w:rPr>
                <w:rFonts w:hint="default" w:cs="Times New Roman"/>
                <w:color w:val="auto"/>
                <w:vertAlign w:val="subscript"/>
              </w:rPr>
              <w:t>2</w:t>
            </w:r>
            <w:r>
              <w:rPr>
                <w:rFonts w:hint="default" w:cs="Times New Roman"/>
                <w:color w:val="auto"/>
              </w:rPr>
              <w:t>，然后在干冰机内经柱塞紧压成密实的块状或粒状产品。将液态</w:t>
            </w:r>
            <w:bookmarkStart w:id="87" w:name="OLE_LINK7"/>
            <w:bookmarkStart w:id="88" w:name="OLE_LINK8"/>
            <w:r>
              <w:rPr>
                <w:rFonts w:hint="default" w:cs="Times New Roman"/>
                <w:color w:val="auto"/>
              </w:rPr>
              <w:t>CO</w:t>
            </w:r>
            <w:r>
              <w:rPr>
                <w:rFonts w:hint="default" w:cs="Times New Roman"/>
                <w:color w:val="auto"/>
                <w:vertAlign w:val="subscript"/>
              </w:rPr>
              <w:t>2</w:t>
            </w:r>
            <w:bookmarkEnd w:id="87"/>
            <w:bookmarkEnd w:id="88"/>
            <w:r>
              <w:rPr>
                <w:rFonts w:hint="default" w:cs="Times New Roman"/>
                <w:color w:val="auto"/>
              </w:rPr>
              <w:t>在中压（1.6MPa~2.5MPa）下通过自动加料阀引入干冰机的雪桶，桶内压力稍高于三相点压力（约0.55MPa）；加料量由定时器控制或根据雪桶内液面高度进行调节。节流膨胀降压使部分液态CO</w:t>
            </w:r>
            <w:r>
              <w:rPr>
                <w:rFonts w:hint="default" w:cs="Times New Roman"/>
                <w:color w:val="auto"/>
                <w:vertAlign w:val="subscript"/>
              </w:rPr>
              <w:t>2</w:t>
            </w:r>
            <w:r>
              <w:rPr>
                <w:rFonts w:hint="default" w:cs="Times New Roman"/>
                <w:color w:val="auto"/>
              </w:rPr>
              <w:t>汽化，产生的冷蒸汽通过热交换使液态CO</w:t>
            </w:r>
            <w:r>
              <w:rPr>
                <w:rFonts w:hint="default" w:cs="Times New Roman"/>
                <w:color w:val="auto"/>
                <w:vertAlign w:val="subscript"/>
              </w:rPr>
              <w:t>2</w:t>
            </w:r>
            <w:r>
              <w:rPr>
                <w:rFonts w:hint="default" w:cs="Times New Roman"/>
                <w:color w:val="auto"/>
              </w:rPr>
              <w:t>进一步冷却。当冷却到三相点温度（-56.6℃）以下，压力降到0.518MPa时，液态CO</w:t>
            </w:r>
            <w:r>
              <w:rPr>
                <w:rFonts w:hint="default" w:cs="Times New Roman"/>
                <w:color w:val="auto"/>
                <w:vertAlign w:val="subscript"/>
              </w:rPr>
              <w:t>2</w:t>
            </w:r>
            <w:r>
              <w:rPr>
                <w:rFonts w:hint="default" w:cs="Times New Roman"/>
                <w:color w:val="auto"/>
              </w:rPr>
              <w:t>固化成雪状干冰。</w:t>
            </w:r>
          </w:p>
          <w:p w14:paraId="2D08D5B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4）压块、包装</w:t>
            </w:r>
          </w:p>
          <w:p w14:paraId="2D56CAE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最后用压块机把生成的雪状CO</w:t>
            </w:r>
            <w:r>
              <w:rPr>
                <w:rFonts w:hint="default" w:cs="Times New Roman"/>
                <w:color w:val="auto"/>
                <w:vertAlign w:val="subscript"/>
              </w:rPr>
              <w:t>2</w:t>
            </w:r>
            <w:r>
              <w:rPr>
                <w:rFonts w:hint="default" w:cs="Times New Roman"/>
                <w:color w:val="auto"/>
              </w:rPr>
              <w:t>压成干冰块或颗粒，利用包装机卷膜密封包装后即成干冰成品，于干冰专用保温箱（300kg）内储存。</w:t>
            </w:r>
          </w:p>
          <w:p w14:paraId="4E0B6E3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干冰的生产无废气、废水产生。</w:t>
            </w:r>
          </w:p>
          <w:p w14:paraId="0C826C0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（3）柴油撬装站</w:t>
            </w:r>
          </w:p>
          <w:p w14:paraId="2976EE06">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本项目配套了内部车辆柴油撬装站，主要包括卸油、加油及清罐三部分；运营期柴油加油工艺流程及产排污节点见图2-3。</w:t>
            </w:r>
          </w:p>
          <w:p w14:paraId="220DFB1A">
            <w:pPr>
              <w:pStyle w:val="28"/>
              <w:keepNext w:val="0"/>
              <w:keepLines w:val="0"/>
              <w:suppressLineNumbers w:val="0"/>
              <w:spacing w:before="0" w:beforeAutospacing="0" w:after="0" w:afterAutospacing="0"/>
              <w:ind w:left="0" w:right="0"/>
              <w:rPr>
                <w:rFonts w:hint="default"/>
                <w:bCs/>
                <w:color w:val="auto"/>
                <w:szCs w:val="21"/>
              </w:rPr>
            </w:pPr>
            <w:r>
              <w:rPr>
                <w:rFonts w:hint="default"/>
                <w:color w:val="auto"/>
              </w:rPr>
              <w:drawing>
                <wp:inline distT="0" distB="0" distL="0" distR="0">
                  <wp:extent cx="4740275" cy="159639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47627" cy="1598761"/>
                          </a:xfrm>
                          <a:prstGeom prst="rect">
                            <a:avLst/>
                          </a:prstGeom>
                          <a:noFill/>
                          <a:ln>
                            <a:noFill/>
                          </a:ln>
                          <a:effectLst/>
                        </pic:spPr>
                      </pic:pic>
                    </a:graphicData>
                  </a:graphic>
                </wp:inline>
              </w:drawing>
            </w:r>
          </w:p>
          <w:p w14:paraId="305EEED7">
            <w:pPr>
              <w:pStyle w:val="31"/>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项目柴油加油工艺流程及产污环节</w:t>
            </w:r>
          </w:p>
          <w:p w14:paraId="26FE48E2">
            <w:pPr>
              <w:keepNext w:val="0"/>
              <w:keepLines w:val="0"/>
              <w:suppressLineNumbers w:val="0"/>
              <w:spacing w:before="0" w:beforeAutospacing="0" w:after="0" w:afterAutospacing="0"/>
              <w:ind w:left="0" w:right="0" w:firstLine="482"/>
              <w:rPr>
                <w:rFonts w:hint="default" w:cs="Times New Roman"/>
                <w:b/>
                <w:bCs/>
                <w:color w:val="auto"/>
                <w:szCs w:val="32"/>
              </w:rPr>
            </w:pPr>
            <w:r>
              <w:rPr>
                <w:rFonts w:hint="default" w:cs="Times New Roman"/>
                <w:b/>
                <w:bCs/>
                <w:color w:val="auto"/>
                <w:szCs w:val="32"/>
              </w:rPr>
              <w:t>柴油加油工艺流程简述：</w:t>
            </w:r>
          </w:p>
          <w:p w14:paraId="2C11E625">
            <w:pPr>
              <w:keepNext w:val="0"/>
              <w:keepLines w:val="0"/>
              <w:suppressLineNumbers w:val="0"/>
              <w:spacing w:before="0" w:beforeAutospacing="0" w:after="0" w:afterAutospacing="0"/>
              <w:ind w:left="0" w:right="0" w:firstLine="480"/>
              <w:rPr>
                <w:rFonts w:hint="default" w:cs="Times New Roman"/>
                <w:color w:val="auto"/>
                <w:szCs w:val="32"/>
              </w:rPr>
            </w:pPr>
            <w:r>
              <w:rPr>
                <w:rFonts w:hint="eastAsia" w:ascii="宋体" w:hAnsi="宋体" w:cs="宋体"/>
                <w:color w:val="auto"/>
                <w:szCs w:val="32"/>
              </w:rPr>
              <w:t>①</w:t>
            </w:r>
            <w:r>
              <w:rPr>
                <w:rFonts w:hint="default" w:cs="Times New Roman"/>
                <w:color w:val="auto"/>
                <w:szCs w:val="32"/>
              </w:rPr>
              <w:t>卸油过程：运油油罐车停在装卸油停车位，再将阻隔防爆撬装加油装置配套的静电接地装置夹到油罐车相应的地方，把配套卸油泵管路系统的密封快速接头（DN80自封式加球阀）与油罐车卸油端口连接，将油罐车内的油卸入阻隔防爆撬装加油装置的双层防爆油罐内储存；在油罐车卸油过程中，储油车内压力减小，油罐内压力增加，油罐与油罐车内的压力差，使卸油过程中油罐装料蒸汽排放（大呼吸）产生的油气通过阻隔防爆撬装加油装置配套油气回收系统回收后，再经通气立管排放。</w:t>
            </w:r>
          </w:p>
          <w:p w14:paraId="4A79E121">
            <w:pPr>
              <w:keepNext w:val="0"/>
              <w:keepLines w:val="0"/>
              <w:suppressLineNumbers w:val="0"/>
              <w:spacing w:before="0" w:beforeAutospacing="0" w:after="0" w:afterAutospacing="0"/>
              <w:ind w:left="0" w:right="0" w:firstLine="480"/>
              <w:rPr>
                <w:rFonts w:hint="default" w:cs="Times New Roman"/>
                <w:color w:val="auto"/>
                <w:szCs w:val="32"/>
              </w:rPr>
            </w:pPr>
            <w:r>
              <w:rPr>
                <w:rFonts w:hint="eastAsia" w:ascii="宋体" w:hAnsi="宋体" w:cs="宋体"/>
                <w:color w:val="auto"/>
                <w:szCs w:val="32"/>
              </w:rPr>
              <w:t>②</w:t>
            </w:r>
            <w:r>
              <w:rPr>
                <w:rFonts w:hint="default" w:cs="Times New Roman"/>
                <w:color w:val="auto"/>
                <w:szCs w:val="32"/>
              </w:rPr>
              <w:t>加油过程：柴油通过潜油泵从油罐输送至加油机，再通过配套加油枪给加油车辆加油；加油过程中通过计量器进行计量，加油车辆油箱随着柴油的注入，油箱内产生的油气逸散至大气中。提枪加油时，控制系统启动安装在油罐入孔上的油泵将油品经加油枪向汽车油箱加油，加油完毕后收枪复位，控制系统终止油泵运行。加油过程产生加油机的运行噪声。</w:t>
            </w:r>
          </w:p>
          <w:p w14:paraId="0CB14FD4">
            <w:pPr>
              <w:keepNext w:val="0"/>
              <w:keepLines w:val="0"/>
              <w:suppressLineNumbers w:val="0"/>
              <w:spacing w:before="0" w:beforeAutospacing="0" w:after="0" w:afterAutospacing="0"/>
              <w:ind w:left="0" w:right="0" w:firstLine="480"/>
              <w:rPr>
                <w:rFonts w:hint="default" w:cs="Times New Roman"/>
                <w:color w:val="auto"/>
                <w:szCs w:val="32"/>
              </w:rPr>
            </w:pPr>
            <w:r>
              <w:rPr>
                <w:rFonts w:hint="eastAsia" w:ascii="宋体" w:hAnsi="宋体" w:cs="宋体"/>
                <w:color w:val="auto"/>
                <w:szCs w:val="32"/>
              </w:rPr>
              <w:t>③</w:t>
            </w:r>
            <w:r>
              <w:rPr>
                <w:rFonts w:hint="default" w:cs="Times New Roman"/>
                <w:color w:val="auto"/>
                <w:szCs w:val="32"/>
              </w:rPr>
              <w:t>油罐维护：一般情况下新建油罐装油之前、换装不同种类的油料、装油时间较长这三种情形需对油罐进行维护清洁。本项目仅针对柴油加注，根据加油站实际清罐情况，主要针对油罐每3年清洗一次，油罐检修之前，先尽量将油体排空，然后拆卸输油管线，脱离开油罐与其他管的连接，并加盲板封堵，将阀门关闭，防止油气进入；打开人孔、通气孔和排污口，使罐内充分通风；清洗油罐，最后将场地清理干净。建设单位委托专业公司进行清理，产生清罐油渣和清罐废水等统称为清罐废物；由有资质单位清理、转运、处置。</w:t>
            </w:r>
          </w:p>
          <w:p w14:paraId="3B95FF2F">
            <w:pPr>
              <w:keepNext w:val="0"/>
              <w:keepLines w:val="0"/>
              <w:suppressLineNumbers w:val="0"/>
              <w:spacing w:before="0" w:beforeAutospacing="0" w:after="0" w:afterAutospacing="0"/>
              <w:ind w:left="0" w:right="0" w:firstLine="480"/>
              <w:rPr>
                <w:rFonts w:hint="default" w:cs="Times New Roman"/>
                <w:color w:val="auto"/>
                <w:szCs w:val="18"/>
              </w:rPr>
            </w:pPr>
            <w:r>
              <w:rPr>
                <w:rFonts w:hint="default" w:cs="Times New Roman"/>
                <w:color w:val="auto"/>
                <w:szCs w:val="32"/>
              </w:rPr>
              <w:t>同时，本项目储罐柴油分多次加入内</w:t>
            </w:r>
            <w:r>
              <w:rPr>
                <w:rFonts w:hint="default" w:cs="Times New Roman"/>
                <w:color w:val="auto"/>
                <w:szCs w:val="18"/>
              </w:rPr>
              <w:t>部车辆，柴油在油罐内有一个短时间储存过程，储存时随温度等变化油罐会有一个呼吸排放（小呼吸）以平衡内外压，</w:t>
            </w:r>
            <w:r>
              <w:rPr>
                <w:rFonts w:hint="default" w:cs="Times New Roman"/>
                <w:color w:val="auto"/>
                <w:szCs w:val="32"/>
              </w:rPr>
              <w:t>阻隔防爆撬装加油装置配套</w:t>
            </w:r>
            <w:r>
              <w:rPr>
                <w:rFonts w:hint="default" w:cs="Times New Roman"/>
                <w:color w:val="auto"/>
                <w:szCs w:val="18"/>
              </w:rPr>
              <w:t>设置有通气立管排放。</w:t>
            </w:r>
          </w:p>
          <w:p w14:paraId="268439F2">
            <w:pPr>
              <w:keepNext w:val="0"/>
              <w:keepLines w:val="0"/>
              <w:suppressLineNumbers w:val="0"/>
              <w:spacing w:before="0" w:beforeAutospacing="0" w:after="0" w:afterAutospacing="0"/>
              <w:ind w:left="0" w:right="0" w:firstLine="480"/>
              <w:rPr>
                <w:rFonts w:hint="default" w:cs="Times New Roman"/>
                <w:color w:val="auto"/>
                <w:szCs w:val="18"/>
              </w:rPr>
            </w:pPr>
            <w:r>
              <w:rPr>
                <w:rFonts w:hint="default" w:cs="Times New Roman"/>
                <w:color w:val="auto"/>
                <w:szCs w:val="18"/>
              </w:rPr>
              <w:t>（4）</w:t>
            </w:r>
            <w:bookmarkStart w:id="89" w:name="OLE_LINK132"/>
            <w:bookmarkStart w:id="90" w:name="OLE_LINK133"/>
            <w:r>
              <w:rPr>
                <w:rFonts w:hint="default" w:cs="Times New Roman"/>
                <w:color w:val="auto"/>
                <w:szCs w:val="18"/>
              </w:rPr>
              <w:t>LNG充装撬</w:t>
            </w:r>
            <w:bookmarkEnd w:id="89"/>
            <w:bookmarkEnd w:id="90"/>
          </w:p>
          <w:p w14:paraId="3D2FC06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NG加气站工艺流程可以分为卸车、调压、加气以及卸压等四部分。LNG产品通过LNG槽车运送至站内，充至LNG储罐，充装完毕后，对储罐内液体进行调压，将罐内LNG调至工艺设定压力（饱和压力）。当有车辆来加气时，通过LNG潜液泵和LNG加气机给LNG车辆加气。</w:t>
            </w:r>
          </w:p>
          <w:p w14:paraId="2880AC2D">
            <w:pPr>
              <w:keepNext w:val="0"/>
              <w:keepLines w:val="0"/>
              <w:suppressLineNumbers w:val="0"/>
              <w:spacing w:before="0" w:beforeAutospacing="0" w:after="0" w:afterAutospacing="0"/>
              <w:ind w:left="0" w:right="0" w:firstLine="480"/>
              <w:rPr>
                <w:rFonts w:hint="default" w:cs="Times New Roman"/>
                <w:color w:val="auto"/>
              </w:rPr>
            </w:pPr>
          </w:p>
          <w:p w14:paraId="167D1FD9">
            <w:pPr>
              <w:keepNext w:val="0"/>
              <w:keepLines w:val="0"/>
              <w:suppressLineNumbers w:val="0"/>
              <w:spacing w:before="0" w:beforeAutospacing="0" w:after="0" w:afterAutospacing="0"/>
              <w:ind w:left="0" w:right="0" w:firstLine="480"/>
              <w:rPr>
                <w:rFonts w:hint="default" w:cs="Times New Roman"/>
                <w:color w:val="auto"/>
              </w:rPr>
            </w:pPr>
          </w:p>
          <w:p w14:paraId="4A2496E8">
            <w:pPr>
              <w:keepNext w:val="0"/>
              <w:keepLines w:val="0"/>
              <w:suppressLineNumbers w:val="0"/>
              <w:spacing w:before="0" w:beforeAutospacing="0" w:after="0" w:afterAutospacing="0"/>
              <w:ind w:left="0" w:right="0" w:firstLine="480"/>
              <w:rPr>
                <w:rFonts w:hint="default" w:cs="Times New Roman"/>
                <w:color w:val="auto"/>
              </w:rPr>
            </w:pPr>
          </w:p>
          <w:p w14:paraId="09EB9243">
            <w:pPr>
              <w:keepNext w:val="0"/>
              <w:keepLines w:val="0"/>
              <w:suppressLineNumbers w:val="0"/>
              <w:spacing w:before="0" w:beforeAutospacing="0" w:after="0" w:afterAutospacing="0"/>
              <w:ind w:left="0" w:right="0" w:firstLine="480"/>
              <w:rPr>
                <w:rFonts w:hint="default" w:cs="Times New Roman"/>
                <w:color w:val="auto"/>
              </w:rPr>
            </w:pPr>
          </w:p>
          <w:p w14:paraId="03C77E70">
            <w:pPr>
              <w:keepNext w:val="0"/>
              <w:keepLines w:val="0"/>
              <w:suppressLineNumbers w:val="0"/>
              <w:spacing w:before="0" w:beforeAutospacing="0" w:after="0" w:afterAutospacing="0"/>
              <w:ind w:left="0" w:right="0" w:firstLine="480"/>
              <w:rPr>
                <w:rFonts w:hint="default" w:cs="Times New Roman"/>
                <w:color w:val="auto"/>
              </w:rPr>
            </w:pPr>
          </w:p>
          <w:p w14:paraId="150A159D">
            <w:pPr>
              <w:keepNext w:val="0"/>
              <w:keepLines w:val="0"/>
              <w:suppressLineNumbers w:val="0"/>
              <w:spacing w:before="0" w:beforeAutospacing="0" w:after="0" w:afterAutospacing="0"/>
              <w:ind w:left="0" w:right="0" w:firstLine="480"/>
              <w:rPr>
                <w:rFonts w:hint="default" w:cs="Times New Roman"/>
                <w:color w:val="auto"/>
              </w:rPr>
            </w:pPr>
          </w:p>
          <w:p w14:paraId="272585D3">
            <w:pPr>
              <w:keepNext w:val="0"/>
              <w:keepLines w:val="0"/>
              <w:suppressLineNumbers w:val="0"/>
              <w:spacing w:before="0" w:beforeAutospacing="0" w:after="0" w:afterAutospacing="0"/>
              <w:ind w:left="0" w:right="0" w:firstLine="480"/>
              <w:rPr>
                <w:rFonts w:hint="eastAsia" w:cs="Times New Roman"/>
                <w:color w:val="auto"/>
              </w:rPr>
            </w:pPr>
          </w:p>
          <w:p w14:paraId="60217D4C">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object>
                <v:shape id="_x0000_i1027" o:spt="75" type="#_x0000_t75" style="height:212.75pt;width:287.45pt;" o:ole="t" filled="f" o:preferrelative="t" stroked="f" coordsize="21600,21600">
                  <v:path/>
                  <v:fill on="f" focussize="0,0"/>
                  <v:stroke on="f" joinstyle="miter"/>
                  <v:imagedata r:id="rId28" o:title=""/>
                  <o:lock v:ext="edit" aspectratio="t"/>
                  <w10:wrap type="none"/>
                  <w10:anchorlock/>
                </v:shape>
                <o:OLEObject Type="Embed" ProgID="Visio.Drawing.15" ShapeID="_x0000_i1027" DrawAspect="Content" ObjectID="_1468075727" r:id="rId27">
                  <o:LockedField>false</o:LockedField>
                </o:OLEObject>
              </w:object>
            </w:r>
          </w:p>
          <w:p w14:paraId="596990D7">
            <w:pPr>
              <w:pStyle w:val="31"/>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 xml:space="preserve"> LNG存储加注工艺流程及产污环节图</w:t>
            </w:r>
          </w:p>
          <w:p w14:paraId="669DBBE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工艺流程简述：</w:t>
            </w:r>
          </w:p>
          <w:p w14:paraId="7C60077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LNG潜液泵撬构成：将LNG低温潜液泵、真空泵池、气化器（卸车增压器）、真空管路及阀门等集成在一个撬体上，具有卸车、调压、加气等功能。</w:t>
            </w:r>
          </w:p>
          <w:p w14:paraId="4540D56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（1）卸车</w:t>
            </w:r>
          </w:p>
          <w:p w14:paraId="133601E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把汽车槽车内的LNG转移至LNG低温储罐内。</w:t>
            </w:r>
          </w:p>
          <w:p w14:paraId="4918BB5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卸车方式：汽化器卸车、LNG潜液泵卸车或两种方式联合卸车。</w:t>
            </w:r>
          </w:p>
          <w:p w14:paraId="6506829B">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汽化器卸车：采用300m3/h增压汽化器卸车，LNG通过槽车的增压口进入增压汽化器，增压汽化器将LNG汽化，再将汽化后的气态天然气通过LNG槽车气相口进入车内给槽车增压，使LNG槽车的压力升高，与加气站内的低温储罐形成压差，在压力作用下，使LNG进入LNG低温储罐。</w:t>
            </w:r>
          </w:p>
          <w:p w14:paraId="60DF5CD3">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潜液泵卸车：将LNG槽车的出液口和气相口与储罐的进液口和气相口相连，对潜液泵和管道充分完全预冷后，按下卸车启动按钮，潜液泵开始运行，通过LNG潜液泵系统自动卸车，将槽车内的LNG卸入LNG低温储罐。</w:t>
            </w:r>
          </w:p>
          <w:p w14:paraId="40ABACD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此过程产生污染物主要为潜液泵等设备产生的噪声，采用卸车（增压）汽化器卸车时，LNG槽车会进行释压放散天然气，采用潜液泵卸车时，卸车管线也会释放少量的天然气。</w:t>
            </w:r>
          </w:p>
          <w:p w14:paraId="1C40C6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（2）调压</w:t>
            </w:r>
          </w:p>
          <w:p w14:paraId="0A126E1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由于目前汽车上的车载瓶本身不带增压器，因此车载瓶中的液体必须是饱和液体，为此在给汽车加液化天然气之前首先对储罐中的LNG进行调压，使之成为饱和液体方可给汽车加气。调压过程中低温储罐的LNG从储罐出液口流出</w:t>
            </w:r>
            <w:r>
              <w:rPr>
                <w:rFonts w:hint="eastAsia" w:cs="Times New Roman"/>
                <w:color w:val="auto"/>
              </w:rPr>
              <w:t>，</w:t>
            </w:r>
            <w:r>
              <w:rPr>
                <w:rFonts w:hint="default" w:cs="Times New Roman"/>
                <w:color w:val="auto"/>
              </w:rPr>
              <w:t>经过工艺管线流到增压汽化器中，通过汽化器与大气换热。升温</w:t>
            </w:r>
            <w:r>
              <w:rPr>
                <w:rFonts w:hint="eastAsia" w:cs="Times New Roman"/>
                <w:color w:val="auto"/>
              </w:rPr>
              <w:t>汽化后</w:t>
            </w:r>
            <w:r>
              <w:rPr>
                <w:rFonts w:hint="default" w:cs="Times New Roman"/>
                <w:color w:val="auto"/>
              </w:rPr>
              <w:t>的天然气在经过储罐的下进液口进入储罐，在此过程中升温后的天然气与储罐中LNG充分混合达到对LNG增压升温的目的。</w:t>
            </w:r>
          </w:p>
          <w:p w14:paraId="08A9802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（3）加气</w:t>
            </w:r>
          </w:p>
          <w:p w14:paraId="4E5E940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潜液泵和管道充分完全预冷后，储罐中的饱和液体LNG通过潜液泵将液体打入LNG加注机，经计量后加注到以LNG为燃料的车载瓶中。在给车载瓶加气前首先应给车载瓶卸压，将加液枪和回气枪连接到汽车加液口和回气口上，通过回气口回收车载瓶中余气以降低车载储瓶内的压力。</w:t>
            </w:r>
          </w:p>
          <w:p w14:paraId="63F1DAF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此过程产生污染物主要为加气机等设备产生的噪声，以及加气结束时释放少量天然气。</w:t>
            </w:r>
          </w:p>
          <w:p w14:paraId="17C91F6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（4）卸压</w:t>
            </w:r>
          </w:p>
          <w:p w14:paraId="0529A31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在给储罐调压过程中，储罐中的液体同时在不断</w:t>
            </w:r>
            <w:r>
              <w:rPr>
                <w:rFonts w:hint="eastAsia" w:cs="Times New Roman"/>
                <w:color w:val="auto"/>
              </w:rPr>
              <w:t>地</w:t>
            </w:r>
            <w:r>
              <w:rPr>
                <w:rFonts w:hint="default" w:cs="Times New Roman"/>
                <w:color w:val="auto"/>
              </w:rPr>
              <w:t>蒸发和气化，这部分气化了的气体如不及时排出，储罐压力会越来越大，当储罐压力大于设定值时，相关阀门打开，释放储罐中的气体，降低压力，保证储罐安全。</w:t>
            </w:r>
          </w:p>
          <w:p w14:paraId="0EAFDD7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这部分气体经过低压EAG加热器加热</w:t>
            </w:r>
            <w:r>
              <w:rPr>
                <w:rFonts w:hint="eastAsia" w:cs="Times New Roman"/>
                <w:color w:val="auto"/>
              </w:rPr>
              <w:t>汽化后</w:t>
            </w:r>
            <w:r>
              <w:rPr>
                <w:rFonts w:hint="default" w:cs="Times New Roman"/>
                <w:color w:val="auto"/>
              </w:rPr>
              <w:t>，经站内低压放散立管高点排入大气。</w:t>
            </w:r>
          </w:p>
          <w:p w14:paraId="4A8DF37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（5）设备及储罐检修过程</w:t>
            </w:r>
          </w:p>
          <w:p w14:paraId="448FF5B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NG储罐：储罐的整体外观情况（周期：一年）；真空粉末绝热储罐夹层真空度的测定（周期：一年）；储罐基础牢固、变损情况（周期：三个月）；必要时可对储罐焊缝进行复检。同时，应检查储罐的原始运行记录。</w:t>
            </w:r>
          </w:p>
          <w:p w14:paraId="7C1D1DA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LNG加气机、气化器：外观整体状况；翅片有无变形，焊口有无开裂；设备基础是否牢固；必要时可对焊口进行无损检测。检查周期：一年。</w:t>
            </w:r>
          </w:p>
          <w:p w14:paraId="46481CF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加气过程中污染物主要为LNG槽车卸车、加气、泄压</w:t>
            </w:r>
            <w:r>
              <w:rPr>
                <w:rFonts w:hint="eastAsia" w:cs="Times New Roman"/>
                <w:color w:val="auto"/>
              </w:rPr>
              <w:t>，以及</w:t>
            </w:r>
            <w:r>
              <w:rPr>
                <w:rFonts w:hint="default" w:cs="Times New Roman"/>
                <w:color w:val="auto"/>
              </w:rPr>
              <w:t>管线等检修过程前的放散时产生废气。</w:t>
            </w:r>
          </w:p>
          <w:p w14:paraId="1D950AA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根据以上工艺流程分析，本项目污染物产生情况如</w:t>
            </w:r>
            <w:r>
              <w:rPr>
                <w:rFonts w:hint="default" w:cs="Times New Roman"/>
                <w:color w:val="auto"/>
              </w:rPr>
              <w:fldChar w:fldCharType="begin"/>
            </w:r>
            <w:r>
              <w:rPr>
                <w:rFonts w:hint="default" w:cs="Times New Roman"/>
                <w:color w:val="auto"/>
              </w:rPr>
              <w:instrText xml:space="preserve"> REF _Ref22730 \n \h </w:instrText>
            </w:r>
            <w:r>
              <w:rPr>
                <w:rFonts w:hint="default" w:cs="Times New Roman"/>
                <w:color w:val="auto"/>
              </w:rPr>
              <w:fldChar w:fldCharType="separate"/>
            </w:r>
            <w:r>
              <w:rPr>
                <w:rFonts w:hint="default" w:cs="Times New Roman"/>
                <w:color w:val="auto"/>
              </w:rPr>
              <w:t xml:space="preserve">表2-20 </w:t>
            </w:r>
            <w:r>
              <w:rPr>
                <w:rFonts w:hint="default" w:cs="Times New Roman"/>
                <w:color w:val="auto"/>
              </w:rPr>
              <w:fldChar w:fldCharType="end"/>
            </w:r>
            <w:r>
              <w:rPr>
                <w:rFonts w:hint="default" w:cs="Times New Roman"/>
                <w:color w:val="auto"/>
              </w:rPr>
              <w:t>：</w:t>
            </w:r>
          </w:p>
          <w:p w14:paraId="19AE4715">
            <w:pPr>
              <w:pStyle w:val="34"/>
              <w:keepNext w:val="0"/>
              <w:keepLines w:val="0"/>
              <w:suppressLineNumbers w:val="0"/>
              <w:spacing w:before="0" w:beforeAutospacing="0" w:after="0" w:afterAutospacing="0"/>
              <w:ind w:left="0" w:right="0"/>
              <w:rPr>
                <w:rFonts w:hint="default"/>
                <w:color w:val="auto"/>
              </w:rPr>
            </w:pPr>
            <w:bookmarkStart w:id="91" w:name="_Ref22730"/>
            <w:r>
              <w:rPr>
                <w:rFonts w:hint="default"/>
                <w:color w:val="auto"/>
              </w:rPr>
              <w:t>污染物产生情况汇总表</w:t>
            </w:r>
            <w:bookmarkEnd w:id="91"/>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0"/>
              <w:gridCol w:w="980"/>
              <w:gridCol w:w="980"/>
              <w:gridCol w:w="1218"/>
              <w:gridCol w:w="3525"/>
              <w:gridCol w:w="725"/>
            </w:tblGrid>
            <w:tr w14:paraId="35EA06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98" w:type="pct"/>
                  <w:tcBorders>
                    <w:tl2br w:val="nil"/>
                    <w:tr2bl w:val="nil"/>
                  </w:tcBorders>
                  <w:shd w:val="clear" w:color="auto" w:fill="auto"/>
                  <w:noWrap/>
                  <w:vAlign w:val="center"/>
                </w:tcPr>
                <w:p w14:paraId="5B3557B9">
                  <w:pPr>
                    <w:pStyle w:val="26"/>
                    <w:keepNext w:val="0"/>
                    <w:keepLines w:val="0"/>
                    <w:suppressLineNumbers w:val="0"/>
                    <w:spacing w:before="0" w:beforeAutospacing="0" w:after="0" w:afterAutospacing="0"/>
                    <w:ind w:left="0" w:right="0"/>
                    <w:rPr>
                      <w:rFonts w:hint="default"/>
                    </w:rPr>
                  </w:pPr>
                  <w:r>
                    <w:rPr>
                      <w:rFonts w:hint="default"/>
                    </w:rPr>
                    <w:t>类别</w:t>
                  </w:r>
                </w:p>
              </w:tc>
              <w:tc>
                <w:tcPr>
                  <w:tcW w:w="620" w:type="pct"/>
                  <w:tcBorders>
                    <w:tl2br w:val="nil"/>
                    <w:tr2bl w:val="nil"/>
                  </w:tcBorders>
                  <w:shd w:val="clear" w:color="auto" w:fill="auto"/>
                  <w:noWrap/>
                  <w:vAlign w:val="center"/>
                </w:tcPr>
                <w:p w14:paraId="53BA2734">
                  <w:pPr>
                    <w:pStyle w:val="26"/>
                    <w:keepNext w:val="0"/>
                    <w:keepLines w:val="0"/>
                    <w:suppressLineNumbers w:val="0"/>
                    <w:spacing w:before="0" w:beforeAutospacing="0" w:after="0" w:afterAutospacing="0"/>
                    <w:ind w:left="0" w:right="0"/>
                    <w:rPr>
                      <w:rFonts w:hint="default"/>
                    </w:rPr>
                  </w:pPr>
                  <w:r>
                    <w:rPr>
                      <w:rFonts w:hint="default"/>
                    </w:rPr>
                    <w:t>产生位置</w:t>
                  </w:r>
                </w:p>
              </w:tc>
              <w:tc>
                <w:tcPr>
                  <w:tcW w:w="620" w:type="pct"/>
                  <w:tcBorders>
                    <w:tl2br w:val="nil"/>
                    <w:tr2bl w:val="nil"/>
                  </w:tcBorders>
                  <w:shd w:val="clear" w:color="auto" w:fill="auto"/>
                  <w:noWrap/>
                  <w:vAlign w:val="center"/>
                </w:tcPr>
                <w:p w14:paraId="08D59B09">
                  <w:pPr>
                    <w:pStyle w:val="26"/>
                    <w:keepNext w:val="0"/>
                    <w:keepLines w:val="0"/>
                    <w:suppressLineNumbers w:val="0"/>
                    <w:spacing w:before="0" w:beforeAutospacing="0" w:after="0" w:afterAutospacing="0"/>
                    <w:ind w:left="0" w:right="0"/>
                    <w:rPr>
                      <w:rFonts w:hint="default"/>
                    </w:rPr>
                  </w:pPr>
                  <w:r>
                    <w:rPr>
                      <w:rFonts w:hint="default"/>
                    </w:rPr>
                    <w:t>产污节点名称</w:t>
                  </w:r>
                </w:p>
              </w:tc>
              <w:tc>
                <w:tcPr>
                  <w:tcW w:w="771" w:type="pct"/>
                  <w:tcBorders>
                    <w:tl2br w:val="nil"/>
                    <w:tr2bl w:val="nil"/>
                  </w:tcBorders>
                  <w:shd w:val="clear" w:color="auto" w:fill="auto"/>
                  <w:noWrap/>
                  <w:vAlign w:val="center"/>
                </w:tcPr>
                <w:p w14:paraId="702EBDEB">
                  <w:pPr>
                    <w:pStyle w:val="26"/>
                    <w:keepNext w:val="0"/>
                    <w:keepLines w:val="0"/>
                    <w:suppressLineNumbers w:val="0"/>
                    <w:spacing w:before="0" w:beforeAutospacing="0" w:after="0" w:afterAutospacing="0"/>
                    <w:ind w:left="0" w:right="0"/>
                    <w:rPr>
                      <w:rFonts w:hint="default"/>
                    </w:rPr>
                  </w:pPr>
                  <w:r>
                    <w:rPr>
                      <w:rFonts w:hint="default"/>
                    </w:rPr>
                    <w:t>产生工序</w:t>
                  </w:r>
                </w:p>
              </w:tc>
              <w:tc>
                <w:tcPr>
                  <w:tcW w:w="2232" w:type="pct"/>
                  <w:tcBorders>
                    <w:tl2br w:val="nil"/>
                    <w:tr2bl w:val="nil"/>
                  </w:tcBorders>
                  <w:shd w:val="clear" w:color="auto" w:fill="auto"/>
                  <w:noWrap/>
                  <w:vAlign w:val="center"/>
                </w:tcPr>
                <w:p w14:paraId="62F0F51E">
                  <w:pPr>
                    <w:pStyle w:val="26"/>
                    <w:keepNext w:val="0"/>
                    <w:keepLines w:val="0"/>
                    <w:suppressLineNumbers w:val="0"/>
                    <w:spacing w:before="0" w:beforeAutospacing="0" w:after="0" w:afterAutospacing="0"/>
                    <w:ind w:left="0" w:right="0"/>
                    <w:rPr>
                      <w:rFonts w:hint="default"/>
                    </w:rPr>
                  </w:pPr>
                  <w:r>
                    <w:rPr>
                      <w:rFonts w:hint="default"/>
                    </w:rPr>
                    <w:t>主要污染物</w:t>
                  </w:r>
                </w:p>
              </w:tc>
              <w:tc>
                <w:tcPr>
                  <w:tcW w:w="459" w:type="pct"/>
                  <w:tcBorders>
                    <w:tl2br w:val="nil"/>
                    <w:tr2bl w:val="nil"/>
                  </w:tcBorders>
                  <w:shd w:val="clear" w:color="auto" w:fill="auto"/>
                  <w:noWrap/>
                  <w:vAlign w:val="center"/>
                </w:tcPr>
                <w:p w14:paraId="030CB5D4">
                  <w:pPr>
                    <w:pStyle w:val="26"/>
                    <w:keepNext w:val="0"/>
                    <w:keepLines w:val="0"/>
                    <w:suppressLineNumbers w:val="0"/>
                    <w:spacing w:before="0" w:beforeAutospacing="0" w:after="0" w:afterAutospacing="0"/>
                    <w:ind w:left="0" w:right="0"/>
                    <w:rPr>
                      <w:rFonts w:hint="default"/>
                    </w:rPr>
                  </w:pPr>
                  <w:r>
                    <w:rPr>
                      <w:rFonts w:hint="default"/>
                    </w:rPr>
                    <w:t>产排特征</w:t>
                  </w:r>
                </w:p>
              </w:tc>
            </w:tr>
            <w:tr w14:paraId="19E99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restart"/>
                  <w:tcBorders>
                    <w:tl2br w:val="nil"/>
                    <w:tr2bl w:val="nil"/>
                  </w:tcBorders>
                  <w:shd w:val="clear" w:color="auto" w:fill="auto"/>
                  <w:noWrap/>
                  <w:vAlign w:val="center"/>
                </w:tcPr>
                <w:p w14:paraId="7F0BD9DD">
                  <w:pPr>
                    <w:pStyle w:val="26"/>
                    <w:keepNext w:val="0"/>
                    <w:keepLines w:val="0"/>
                    <w:suppressLineNumbers w:val="0"/>
                    <w:spacing w:before="0" w:beforeAutospacing="0" w:after="0" w:afterAutospacing="0"/>
                    <w:ind w:left="0" w:right="0"/>
                    <w:rPr>
                      <w:rFonts w:hint="default"/>
                    </w:rPr>
                  </w:pPr>
                  <w:r>
                    <w:rPr>
                      <w:rFonts w:hint="default"/>
                    </w:rPr>
                    <w:t>废气</w:t>
                  </w:r>
                </w:p>
              </w:tc>
              <w:tc>
                <w:tcPr>
                  <w:tcW w:w="620" w:type="pct"/>
                  <w:vMerge w:val="restart"/>
                  <w:tcBorders>
                    <w:tl2br w:val="nil"/>
                    <w:tr2bl w:val="nil"/>
                  </w:tcBorders>
                  <w:shd w:val="clear" w:color="auto" w:fill="auto"/>
                  <w:vAlign w:val="center"/>
                </w:tcPr>
                <w:p w14:paraId="56587F87">
                  <w:pPr>
                    <w:pStyle w:val="26"/>
                    <w:keepNext w:val="0"/>
                    <w:keepLines w:val="0"/>
                    <w:suppressLineNumbers w:val="0"/>
                    <w:spacing w:before="0" w:beforeAutospacing="0" w:after="0" w:afterAutospacing="0"/>
                    <w:ind w:left="0" w:right="0"/>
                    <w:rPr>
                      <w:rFonts w:hint="default"/>
                    </w:rPr>
                  </w:pPr>
                  <w:r>
                    <w:rPr>
                      <w:rFonts w:hint="default"/>
                    </w:rPr>
                    <w:t>生产车间</w:t>
                  </w:r>
                </w:p>
                <w:p w14:paraId="38A4940A">
                  <w:pPr>
                    <w:pStyle w:val="26"/>
                    <w:keepNext w:val="0"/>
                    <w:keepLines w:val="0"/>
                    <w:suppressLineNumbers w:val="0"/>
                    <w:spacing w:before="0" w:beforeAutospacing="0" w:after="0" w:afterAutospacing="0"/>
                    <w:ind w:left="0" w:right="0"/>
                    <w:rPr>
                      <w:rFonts w:hint="default"/>
                    </w:rPr>
                  </w:pPr>
                  <w:r>
                    <w:rPr>
                      <w:rFonts w:hint="default"/>
                    </w:rPr>
                    <w:t>（硫磺生产）</w:t>
                  </w:r>
                </w:p>
              </w:tc>
              <w:tc>
                <w:tcPr>
                  <w:tcW w:w="620" w:type="pct"/>
                  <w:tcBorders>
                    <w:tl2br w:val="nil"/>
                    <w:tr2bl w:val="nil"/>
                  </w:tcBorders>
                  <w:shd w:val="clear" w:color="auto" w:fill="auto"/>
                  <w:noWrap/>
                  <w:vAlign w:val="center"/>
                </w:tcPr>
                <w:p w14:paraId="7606D358">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1-1</w:t>
                  </w:r>
                </w:p>
              </w:tc>
              <w:tc>
                <w:tcPr>
                  <w:tcW w:w="771" w:type="pct"/>
                  <w:tcBorders>
                    <w:tl2br w:val="nil"/>
                    <w:tr2bl w:val="nil"/>
                  </w:tcBorders>
                  <w:shd w:val="clear" w:color="auto" w:fill="auto"/>
                  <w:noWrap/>
                  <w:vAlign w:val="center"/>
                </w:tcPr>
                <w:p w14:paraId="4747DD47">
                  <w:pPr>
                    <w:pStyle w:val="26"/>
                    <w:keepNext w:val="0"/>
                    <w:keepLines w:val="0"/>
                    <w:suppressLineNumbers w:val="0"/>
                    <w:spacing w:before="0" w:beforeAutospacing="0" w:after="0" w:afterAutospacing="0"/>
                    <w:ind w:left="0" w:right="0"/>
                    <w:rPr>
                      <w:rFonts w:hint="default"/>
                    </w:rPr>
                  </w:pPr>
                  <w:r>
                    <w:rPr>
                      <w:rFonts w:hint="default"/>
                    </w:rPr>
                    <w:t>液硫池沉淀</w:t>
                  </w:r>
                </w:p>
              </w:tc>
              <w:tc>
                <w:tcPr>
                  <w:tcW w:w="2232" w:type="pct"/>
                  <w:tcBorders>
                    <w:tl2br w:val="nil"/>
                    <w:tr2bl w:val="nil"/>
                  </w:tcBorders>
                  <w:shd w:val="clear" w:color="auto" w:fill="auto"/>
                  <w:noWrap/>
                  <w:vAlign w:val="center"/>
                </w:tcPr>
                <w:p w14:paraId="5C7094E8">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w:t>
                  </w:r>
                </w:p>
              </w:tc>
              <w:tc>
                <w:tcPr>
                  <w:tcW w:w="459" w:type="pct"/>
                  <w:tcBorders>
                    <w:tl2br w:val="nil"/>
                    <w:tr2bl w:val="nil"/>
                  </w:tcBorders>
                  <w:shd w:val="clear" w:color="auto" w:fill="auto"/>
                  <w:noWrap/>
                  <w:vAlign w:val="center"/>
                </w:tcPr>
                <w:p w14:paraId="1D4C363A">
                  <w:pPr>
                    <w:pStyle w:val="26"/>
                    <w:keepNext w:val="0"/>
                    <w:keepLines w:val="0"/>
                    <w:suppressLineNumbers w:val="0"/>
                    <w:spacing w:before="0" w:beforeAutospacing="0" w:after="0" w:afterAutospacing="0"/>
                    <w:ind w:left="0" w:right="0"/>
                    <w:rPr>
                      <w:rFonts w:hint="default"/>
                    </w:rPr>
                  </w:pPr>
                  <w:r>
                    <w:rPr>
                      <w:rFonts w:hint="default"/>
                    </w:rPr>
                    <w:t>连续</w:t>
                  </w:r>
                </w:p>
              </w:tc>
            </w:tr>
            <w:tr w14:paraId="0B343A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047FC0BF">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17E1F029">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31C14EBD">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1-2</w:t>
                  </w:r>
                </w:p>
              </w:tc>
              <w:tc>
                <w:tcPr>
                  <w:tcW w:w="771" w:type="pct"/>
                  <w:tcBorders>
                    <w:tl2br w:val="nil"/>
                    <w:tr2bl w:val="nil"/>
                  </w:tcBorders>
                  <w:shd w:val="clear" w:color="auto" w:fill="auto"/>
                  <w:noWrap/>
                  <w:vAlign w:val="center"/>
                </w:tcPr>
                <w:p w14:paraId="495DA2C5">
                  <w:pPr>
                    <w:pStyle w:val="26"/>
                    <w:keepNext w:val="0"/>
                    <w:keepLines w:val="0"/>
                    <w:suppressLineNumbers w:val="0"/>
                    <w:spacing w:before="0" w:beforeAutospacing="0" w:after="0" w:afterAutospacing="0"/>
                    <w:ind w:left="0" w:right="0"/>
                    <w:rPr>
                      <w:rFonts w:hint="default"/>
                    </w:rPr>
                  </w:pPr>
                  <w:r>
                    <w:rPr>
                      <w:rFonts w:hint="default"/>
                    </w:rPr>
                    <w:t>提纯</w:t>
                  </w:r>
                </w:p>
              </w:tc>
              <w:tc>
                <w:tcPr>
                  <w:tcW w:w="2232" w:type="pct"/>
                  <w:tcBorders>
                    <w:tl2br w:val="nil"/>
                    <w:tr2bl w:val="nil"/>
                  </w:tcBorders>
                  <w:shd w:val="clear" w:color="auto" w:fill="auto"/>
                  <w:noWrap/>
                  <w:vAlign w:val="center"/>
                </w:tcPr>
                <w:p w14:paraId="188944BA">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w:t>
                  </w:r>
                </w:p>
              </w:tc>
              <w:tc>
                <w:tcPr>
                  <w:tcW w:w="459" w:type="pct"/>
                  <w:tcBorders>
                    <w:tl2br w:val="nil"/>
                    <w:tr2bl w:val="nil"/>
                  </w:tcBorders>
                  <w:shd w:val="clear" w:color="auto" w:fill="auto"/>
                  <w:noWrap/>
                  <w:vAlign w:val="center"/>
                </w:tcPr>
                <w:p w14:paraId="27E74C09">
                  <w:pPr>
                    <w:pStyle w:val="26"/>
                    <w:keepNext w:val="0"/>
                    <w:keepLines w:val="0"/>
                    <w:suppressLineNumbers w:val="0"/>
                    <w:spacing w:before="0" w:beforeAutospacing="0" w:after="0" w:afterAutospacing="0"/>
                    <w:ind w:left="0" w:right="0"/>
                    <w:rPr>
                      <w:rFonts w:hint="default"/>
                    </w:rPr>
                  </w:pPr>
                  <w:r>
                    <w:rPr>
                      <w:rFonts w:hint="default"/>
                    </w:rPr>
                    <w:t>连续</w:t>
                  </w:r>
                </w:p>
              </w:tc>
            </w:tr>
            <w:tr w14:paraId="5F2AB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42E5F727">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11499598">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09CCED4A">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1-3</w:t>
                  </w:r>
                </w:p>
              </w:tc>
              <w:tc>
                <w:tcPr>
                  <w:tcW w:w="771" w:type="pct"/>
                  <w:tcBorders>
                    <w:tl2br w:val="nil"/>
                    <w:tr2bl w:val="nil"/>
                  </w:tcBorders>
                  <w:shd w:val="clear" w:color="auto" w:fill="auto"/>
                  <w:noWrap/>
                  <w:vAlign w:val="center"/>
                </w:tcPr>
                <w:p w14:paraId="30765C53">
                  <w:pPr>
                    <w:pStyle w:val="26"/>
                    <w:keepNext w:val="0"/>
                    <w:keepLines w:val="0"/>
                    <w:suppressLineNumbers w:val="0"/>
                    <w:spacing w:before="0" w:beforeAutospacing="0" w:after="0" w:afterAutospacing="0"/>
                    <w:ind w:left="0" w:right="0"/>
                    <w:rPr>
                      <w:rFonts w:hint="default"/>
                    </w:rPr>
                  </w:pPr>
                  <w:r>
                    <w:rPr>
                      <w:rFonts w:hint="default"/>
                    </w:rPr>
                    <w:t>滚筒造粒机</w:t>
                  </w:r>
                </w:p>
              </w:tc>
              <w:tc>
                <w:tcPr>
                  <w:tcW w:w="2232" w:type="pct"/>
                  <w:tcBorders>
                    <w:tl2br w:val="nil"/>
                    <w:tr2bl w:val="nil"/>
                  </w:tcBorders>
                  <w:shd w:val="clear" w:color="auto" w:fill="auto"/>
                  <w:noWrap/>
                  <w:vAlign w:val="center"/>
                </w:tcPr>
                <w:p w14:paraId="29BC57E4">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S、水蒸气、粉尘</w:t>
                  </w:r>
                </w:p>
              </w:tc>
              <w:tc>
                <w:tcPr>
                  <w:tcW w:w="459" w:type="pct"/>
                  <w:tcBorders>
                    <w:tl2br w:val="nil"/>
                    <w:tr2bl w:val="nil"/>
                  </w:tcBorders>
                  <w:shd w:val="clear" w:color="auto" w:fill="auto"/>
                  <w:noWrap/>
                  <w:vAlign w:val="center"/>
                </w:tcPr>
                <w:p w14:paraId="16E79D48">
                  <w:pPr>
                    <w:pStyle w:val="26"/>
                    <w:keepNext w:val="0"/>
                    <w:keepLines w:val="0"/>
                    <w:suppressLineNumbers w:val="0"/>
                    <w:spacing w:before="0" w:beforeAutospacing="0" w:after="0" w:afterAutospacing="0"/>
                    <w:ind w:left="0" w:right="0"/>
                    <w:rPr>
                      <w:rFonts w:hint="default"/>
                    </w:rPr>
                  </w:pPr>
                  <w:r>
                    <w:rPr>
                      <w:rFonts w:hint="default"/>
                    </w:rPr>
                    <w:t>连续</w:t>
                  </w:r>
                </w:p>
              </w:tc>
            </w:tr>
            <w:tr w14:paraId="24191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69DD3EC7">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40C5F0E1">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6C2C6D9A">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1-4</w:t>
                  </w:r>
                </w:p>
              </w:tc>
              <w:tc>
                <w:tcPr>
                  <w:tcW w:w="771" w:type="pct"/>
                  <w:tcBorders>
                    <w:tl2br w:val="nil"/>
                    <w:tr2bl w:val="nil"/>
                  </w:tcBorders>
                  <w:shd w:val="clear" w:color="auto" w:fill="auto"/>
                  <w:noWrap/>
                  <w:vAlign w:val="center"/>
                </w:tcPr>
                <w:p w14:paraId="3EFD31BE">
                  <w:pPr>
                    <w:pStyle w:val="26"/>
                    <w:keepNext w:val="0"/>
                    <w:keepLines w:val="0"/>
                    <w:suppressLineNumbers w:val="0"/>
                    <w:spacing w:before="0" w:beforeAutospacing="0" w:after="0" w:afterAutospacing="0"/>
                    <w:ind w:left="0" w:right="0"/>
                    <w:rPr>
                      <w:rFonts w:hint="default"/>
                    </w:rPr>
                  </w:pPr>
                  <w:r>
                    <w:rPr>
                      <w:rFonts w:hint="default"/>
                    </w:rPr>
                    <w:t>刮片机</w:t>
                  </w:r>
                </w:p>
              </w:tc>
              <w:tc>
                <w:tcPr>
                  <w:tcW w:w="2232" w:type="pct"/>
                  <w:tcBorders>
                    <w:tl2br w:val="nil"/>
                    <w:tr2bl w:val="nil"/>
                  </w:tcBorders>
                  <w:shd w:val="clear" w:color="auto" w:fill="auto"/>
                  <w:noWrap/>
                  <w:vAlign w:val="center"/>
                </w:tcPr>
                <w:p w14:paraId="26C2D3CB">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S、水蒸气、粉尘</w:t>
                  </w:r>
                </w:p>
              </w:tc>
              <w:tc>
                <w:tcPr>
                  <w:tcW w:w="459" w:type="pct"/>
                  <w:tcBorders>
                    <w:tl2br w:val="nil"/>
                    <w:tr2bl w:val="nil"/>
                  </w:tcBorders>
                  <w:shd w:val="clear" w:color="auto" w:fill="auto"/>
                  <w:noWrap/>
                  <w:vAlign w:val="center"/>
                </w:tcPr>
                <w:p w14:paraId="44E05F91">
                  <w:pPr>
                    <w:pStyle w:val="26"/>
                    <w:keepNext w:val="0"/>
                    <w:keepLines w:val="0"/>
                    <w:suppressLineNumbers w:val="0"/>
                    <w:spacing w:before="0" w:beforeAutospacing="0" w:after="0" w:afterAutospacing="0"/>
                    <w:ind w:left="0" w:right="0"/>
                    <w:rPr>
                      <w:rFonts w:hint="default"/>
                    </w:rPr>
                  </w:pPr>
                  <w:r>
                    <w:rPr>
                      <w:rFonts w:hint="default"/>
                    </w:rPr>
                    <w:t>连续</w:t>
                  </w:r>
                </w:p>
              </w:tc>
            </w:tr>
            <w:tr w14:paraId="2C5B44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1864C6CA">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0FC17EEE">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0C48D430">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1-5</w:t>
                  </w:r>
                </w:p>
              </w:tc>
              <w:tc>
                <w:tcPr>
                  <w:tcW w:w="771" w:type="pct"/>
                  <w:tcBorders>
                    <w:tl2br w:val="nil"/>
                    <w:tr2bl w:val="nil"/>
                  </w:tcBorders>
                  <w:shd w:val="clear" w:color="auto" w:fill="auto"/>
                  <w:noWrap/>
                  <w:vAlign w:val="center"/>
                </w:tcPr>
                <w:p w14:paraId="757ECBA5">
                  <w:pPr>
                    <w:pStyle w:val="26"/>
                    <w:keepNext w:val="0"/>
                    <w:keepLines w:val="0"/>
                    <w:suppressLineNumbers w:val="0"/>
                    <w:spacing w:before="0" w:beforeAutospacing="0" w:after="0" w:afterAutospacing="0"/>
                    <w:ind w:left="0" w:right="0"/>
                    <w:rPr>
                      <w:rFonts w:hint="default"/>
                    </w:rPr>
                  </w:pPr>
                  <w:r>
                    <w:rPr>
                      <w:rFonts w:hint="default"/>
                    </w:rPr>
                    <w:t>湿法造粒机</w:t>
                  </w:r>
                </w:p>
              </w:tc>
              <w:tc>
                <w:tcPr>
                  <w:tcW w:w="2232" w:type="pct"/>
                  <w:tcBorders>
                    <w:tl2br w:val="nil"/>
                    <w:tr2bl w:val="nil"/>
                  </w:tcBorders>
                  <w:shd w:val="clear" w:color="auto" w:fill="auto"/>
                  <w:noWrap/>
                  <w:vAlign w:val="center"/>
                </w:tcPr>
                <w:p w14:paraId="42EE57B3">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S、水蒸气、粉尘</w:t>
                  </w:r>
                </w:p>
              </w:tc>
              <w:tc>
                <w:tcPr>
                  <w:tcW w:w="459" w:type="pct"/>
                  <w:tcBorders>
                    <w:tl2br w:val="nil"/>
                    <w:tr2bl w:val="nil"/>
                  </w:tcBorders>
                  <w:shd w:val="clear" w:color="auto" w:fill="auto"/>
                  <w:noWrap/>
                  <w:vAlign w:val="center"/>
                </w:tcPr>
                <w:p w14:paraId="199F8469">
                  <w:pPr>
                    <w:pStyle w:val="26"/>
                    <w:keepNext w:val="0"/>
                    <w:keepLines w:val="0"/>
                    <w:suppressLineNumbers w:val="0"/>
                    <w:spacing w:before="0" w:beforeAutospacing="0" w:after="0" w:afterAutospacing="0"/>
                    <w:ind w:left="0" w:right="0"/>
                    <w:rPr>
                      <w:rFonts w:hint="default"/>
                    </w:rPr>
                  </w:pPr>
                  <w:r>
                    <w:rPr>
                      <w:rFonts w:hint="default"/>
                    </w:rPr>
                    <w:t>连续</w:t>
                  </w:r>
                </w:p>
              </w:tc>
            </w:tr>
            <w:tr w14:paraId="50CEC0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17EA9038">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1044EF85">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76DE8819">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1-6</w:t>
                  </w:r>
                </w:p>
              </w:tc>
              <w:tc>
                <w:tcPr>
                  <w:tcW w:w="771" w:type="pct"/>
                  <w:tcBorders>
                    <w:tl2br w:val="nil"/>
                    <w:tr2bl w:val="nil"/>
                  </w:tcBorders>
                  <w:shd w:val="clear" w:color="auto" w:fill="auto"/>
                  <w:noWrap/>
                  <w:vAlign w:val="center"/>
                </w:tcPr>
                <w:p w14:paraId="71CFC328">
                  <w:pPr>
                    <w:pStyle w:val="26"/>
                    <w:keepNext w:val="0"/>
                    <w:keepLines w:val="0"/>
                    <w:suppressLineNumbers w:val="0"/>
                    <w:spacing w:before="0" w:beforeAutospacing="0" w:after="0" w:afterAutospacing="0"/>
                    <w:ind w:left="0" w:right="0"/>
                    <w:rPr>
                      <w:rFonts w:hint="default"/>
                    </w:rPr>
                  </w:pPr>
                  <w:r>
                    <w:rPr>
                      <w:rFonts w:hint="default"/>
                    </w:rPr>
                    <w:t>吨袋包装机</w:t>
                  </w:r>
                </w:p>
              </w:tc>
              <w:tc>
                <w:tcPr>
                  <w:tcW w:w="2232" w:type="pct"/>
                  <w:tcBorders>
                    <w:tl2br w:val="nil"/>
                    <w:tr2bl w:val="nil"/>
                  </w:tcBorders>
                  <w:shd w:val="clear" w:color="auto" w:fill="auto"/>
                  <w:noWrap/>
                  <w:vAlign w:val="center"/>
                </w:tcPr>
                <w:p w14:paraId="62760E6E">
                  <w:pPr>
                    <w:pStyle w:val="26"/>
                    <w:keepNext w:val="0"/>
                    <w:keepLines w:val="0"/>
                    <w:suppressLineNumbers w:val="0"/>
                    <w:spacing w:before="0" w:beforeAutospacing="0" w:after="0" w:afterAutospacing="0"/>
                    <w:ind w:left="0" w:right="0"/>
                    <w:rPr>
                      <w:rFonts w:hint="default"/>
                    </w:rPr>
                  </w:pPr>
                  <w:r>
                    <w:rPr>
                      <w:rFonts w:hint="default"/>
                    </w:rPr>
                    <w:t>粉尘</w:t>
                  </w:r>
                </w:p>
              </w:tc>
              <w:tc>
                <w:tcPr>
                  <w:tcW w:w="459" w:type="pct"/>
                  <w:tcBorders>
                    <w:tl2br w:val="nil"/>
                    <w:tr2bl w:val="nil"/>
                  </w:tcBorders>
                  <w:shd w:val="clear" w:color="auto" w:fill="auto"/>
                  <w:noWrap/>
                  <w:vAlign w:val="center"/>
                </w:tcPr>
                <w:p w14:paraId="76F988B5">
                  <w:pPr>
                    <w:pStyle w:val="26"/>
                    <w:keepNext w:val="0"/>
                    <w:keepLines w:val="0"/>
                    <w:suppressLineNumbers w:val="0"/>
                    <w:spacing w:before="0" w:beforeAutospacing="0" w:after="0" w:afterAutospacing="0"/>
                    <w:ind w:left="0" w:right="0"/>
                    <w:rPr>
                      <w:rFonts w:hint="default"/>
                    </w:rPr>
                  </w:pPr>
                  <w:r>
                    <w:rPr>
                      <w:rFonts w:hint="default"/>
                    </w:rPr>
                    <w:t>连续</w:t>
                  </w:r>
                </w:p>
              </w:tc>
            </w:tr>
            <w:tr w14:paraId="146269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29C8391E">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05A95AA2">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7D886598">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1-7</w:t>
                  </w:r>
                </w:p>
              </w:tc>
              <w:tc>
                <w:tcPr>
                  <w:tcW w:w="771" w:type="pct"/>
                  <w:tcBorders>
                    <w:tl2br w:val="nil"/>
                    <w:tr2bl w:val="nil"/>
                  </w:tcBorders>
                  <w:shd w:val="clear" w:color="auto" w:fill="auto"/>
                  <w:noWrap/>
                  <w:vAlign w:val="center"/>
                </w:tcPr>
                <w:p w14:paraId="5EC9CC33">
                  <w:pPr>
                    <w:pStyle w:val="26"/>
                    <w:keepNext w:val="0"/>
                    <w:keepLines w:val="0"/>
                    <w:suppressLineNumbers w:val="0"/>
                    <w:spacing w:before="0" w:beforeAutospacing="0" w:after="0" w:afterAutospacing="0"/>
                    <w:ind w:left="0" w:right="0"/>
                    <w:rPr>
                      <w:rFonts w:hint="default"/>
                    </w:rPr>
                  </w:pPr>
                  <w:r>
                    <w:rPr>
                      <w:rFonts w:hint="default"/>
                    </w:rPr>
                    <w:t>50kg包装机</w:t>
                  </w:r>
                </w:p>
              </w:tc>
              <w:tc>
                <w:tcPr>
                  <w:tcW w:w="2232" w:type="pct"/>
                  <w:tcBorders>
                    <w:tl2br w:val="nil"/>
                    <w:tr2bl w:val="nil"/>
                  </w:tcBorders>
                  <w:shd w:val="clear" w:color="auto" w:fill="auto"/>
                  <w:noWrap/>
                  <w:vAlign w:val="center"/>
                </w:tcPr>
                <w:p w14:paraId="69253438">
                  <w:pPr>
                    <w:pStyle w:val="26"/>
                    <w:keepNext w:val="0"/>
                    <w:keepLines w:val="0"/>
                    <w:suppressLineNumbers w:val="0"/>
                    <w:spacing w:before="0" w:beforeAutospacing="0" w:after="0" w:afterAutospacing="0"/>
                    <w:ind w:left="0" w:right="0"/>
                    <w:rPr>
                      <w:rFonts w:hint="default"/>
                    </w:rPr>
                  </w:pPr>
                  <w:r>
                    <w:rPr>
                      <w:rFonts w:hint="default"/>
                    </w:rPr>
                    <w:t>粉尘</w:t>
                  </w:r>
                </w:p>
              </w:tc>
              <w:tc>
                <w:tcPr>
                  <w:tcW w:w="459" w:type="pct"/>
                  <w:tcBorders>
                    <w:tl2br w:val="nil"/>
                    <w:tr2bl w:val="nil"/>
                  </w:tcBorders>
                  <w:shd w:val="clear" w:color="auto" w:fill="auto"/>
                  <w:noWrap/>
                  <w:vAlign w:val="center"/>
                </w:tcPr>
                <w:p w14:paraId="250A04D3">
                  <w:pPr>
                    <w:pStyle w:val="26"/>
                    <w:keepNext w:val="0"/>
                    <w:keepLines w:val="0"/>
                    <w:suppressLineNumbers w:val="0"/>
                    <w:spacing w:before="0" w:beforeAutospacing="0" w:after="0" w:afterAutospacing="0"/>
                    <w:ind w:left="0" w:right="0"/>
                    <w:rPr>
                      <w:rFonts w:hint="default"/>
                    </w:rPr>
                  </w:pPr>
                  <w:r>
                    <w:rPr>
                      <w:rFonts w:hint="default"/>
                    </w:rPr>
                    <w:t>连续</w:t>
                  </w:r>
                </w:p>
              </w:tc>
            </w:tr>
            <w:tr w14:paraId="60FDF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63C68449">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449FA4BE">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16C37401">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1-8</w:t>
                  </w:r>
                </w:p>
              </w:tc>
              <w:tc>
                <w:tcPr>
                  <w:tcW w:w="771" w:type="pct"/>
                  <w:tcBorders>
                    <w:tl2br w:val="nil"/>
                    <w:tr2bl w:val="nil"/>
                  </w:tcBorders>
                  <w:shd w:val="clear" w:color="auto" w:fill="auto"/>
                  <w:noWrap/>
                  <w:vAlign w:val="center"/>
                </w:tcPr>
                <w:p w14:paraId="4BC36DAC">
                  <w:pPr>
                    <w:pStyle w:val="26"/>
                    <w:keepNext w:val="0"/>
                    <w:keepLines w:val="0"/>
                    <w:suppressLineNumbers w:val="0"/>
                    <w:spacing w:before="0" w:beforeAutospacing="0" w:after="0" w:afterAutospacing="0"/>
                    <w:ind w:left="0" w:right="0"/>
                    <w:rPr>
                      <w:rFonts w:hint="default"/>
                    </w:rPr>
                  </w:pPr>
                  <w:r>
                    <w:rPr>
                      <w:rFonts w:hint="default"/>
                    </w:rPr>
                    <w:t>矩形料仓</w:t>
                  </w:r>
                </w:p>
              </w:tc>
              <w:tc>
                <w:tcPr>
                  <w:tcW w:w="2232" w:type="pct"/>
                  <w:tcBorders>
                    <w:tl2br w:val="nil"/>
                    <w:tr2bl w:val="nil"/>
                  </w:tcBorders>
                  <w:shd w:val="clear" w:color="auto" w:fill="auto"/>
                  <w:noWrap/>
                  <w:vAlign w:val="center"/>
                </w:tcPr>
                <w:p w14:paraId="67CB7B81">
                  <w:pPr>
                    <w:pStyle w:val="26"/>
                    <w:keepNext w:val="0"/>
                    <w:keepLines w:val="0"/>
                    <w:suppressLineNumbers w:val="0"/>
                    <w:spacing w:before="0" w:beforeAutospacing="0" w:after="0" w:afterAutospacing="0"/>
                    <w:ind w:left="0" w:right="0"/>
                    <w:rPr>
                      <w:rFonts w:hint="default"/>
                    </w:rPr>
                  </w:pPr>
                  <w:r>
                    <w:rPr>
                      <w:rFonts w:hint="default"/>
                    </w:rPr>
                    <w:t>粉尘</w:t>
                  </w:r>
                </w:p>
              </w:tc>
              <w:tc>
                <w:tcPr>
                  <w:tcW w:w="459" w:type="pct"/>
                  <w:tcBorders>
                    <w:tl2br w:val="nil"/>
                    <w:tr2bl w:val="nil"/>
                  </w:tcBorders>
                  <w:shd w:val="clear" w:color="auto" w:fill="auto"/>
                  <w:noWrap/>
                  <w:vAlign w:val="center"/>
                </w:tcPr>
                <w:p w14:paraId="394199B6">
                  <w:pPr>
                    <w:pStyle w:val="26"/>
                    <w:keepNext w:val="0"/>
                    <w:keepLines w:val="0"/>
                    <w:suppressLineNumbers w:val="0"/>
                    <w:spacing w:before="0" w:beforeAutospacing="0" w:after="0" w:afterAutospacing="0"/>
                    <w:ind w:left="0" w:right="0"/>
                    <w:rPr>
                      <w:rFonts w:hint="default"/>
                    </w:rPr>
                  </w:pPr>
                  <w:r>
                    <w:rPr>
                      <w:rFonts w:hint="default"/>
                    </w:rPr>
                    <w:t>连续</w:t>
                  </w:r>
                </w:p>
              </w:tc>
            </w:tr>
            <w:tr w14:paraId="01B47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74C202F0">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vAlign w:val="center"/>
                </w:tcPr>
                <w:p w14:paraId="354BB893">
                  <w:pPr>
                    <w:pStyle w:val="26"/>
                    <w:keepNext w:val="0"/>
                    <w:keepLines w:val="0"/>
                    <w:suppressLineNumbers w:val="0"/>
                    <w:spacing w:before="0" w:beforeAutospacing="0" w:after="0" w:afterAutospacing="0"/>
                    <w:ind w:left="0" w:right="0"/>
                    <w:rPr>
                      <w:rFonts w:hint="default"/>
                    </w:rPr>
                  </w:pPr>
                  <w:r>
                    <w:rPr>
                      <w:rFonts w:hint="default"/>
                    </w:rPr>
                    <w:t>柴油</w:t>
                  </w:r>
                </w:p>
                <w:p w14:paraId="11F64BDA">
                  <w:pPr>
                    <w:pStyle w:val="26"/>
                    <w:keepNext w:val="0"/>
                    <w:keepLines w:val="0"/>
                    <w:suppressLineNumbers w:val="0"/>
                    <w:spacing w:before="0" w:beforeAutospacing="0" w:after="0" w:afterAutospacing="0"/>
                    <w:ind w:left="0" w:right="0"/>
                    <w:rPr>
                      <w:rFonts w:hint="default"/>
                    </w:rPr>
                  </w:pPr>
                  <w:r>
                    <w:rPr>
                      <w:rFonts w:hint="default"/>
                    </w:rPr>
                    <w:t>撬装站</w:t>
                  </w:r>
                </w:p>
              </w:tc>
              <w:tc>
                <w:tcPr>
                  <w:tcW w:w="620" w:type="pct"/>
                  <w:tcBorders>
                    <w:tl2br w:val="nil"/>
                    <w:tr2bl w:val="nil"/>
                  </w:tcBorders>
                  <w:shd w:val="clear" w:color="auto" w:fill="auto"/>
                  <w:noWrap/>
                  <w:vAlign w:val="center"/>
                </w:tcPr>
                <w:p w14:paraId="58A3AC96">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2-1</w:t>
                  </w:r>
                </w:p>
              </w:tc>
              <w:tc>
                <w:tcPr>
                  <w:tcW w:w="771" w:type="pct"/>
                  <w:tcBorders>
                    <w:tl2br w:val="nil"/>
                    <w:tr2bl w:val="nil"/>
                  </w:tcBorders>
                  <w:shd w:val="clear" w:color="auto" w:fill="auto"/>
                  <w:noWrap/>
                  <w:vAlign w:val="center"/>
                </w:tcPr>
                <w:p w14:paraId="5EC631A6">
                  <w:pPr>
                    <w:pStyle w:val="28"/>
                    <w:keepNext w:val="0"/>
                    <w:keepLines w:val="0"/>
                    <w:suppressLineNumbers w:val="0"/>
                    <w:spacing w:before="0" w:beforeAutospacing="0" w:after="0" w:afterAutospacing="0"/>
                    <w:ind w:left="0" w:right="0"/>
                    <w:rPr>
                      <w:rFonts w:hint="default"/>
                      <w:color w:val="auto"/>
                    </w:rPr>
                  </w:pPr>
                  <w:r>
                    <w:rPr>
                      <w:rFonts w:hint="default"/>
                      <w:color w:val="auto"/>
                    </w:rPr>
                    <w:t>卸油（大呼吸）</w:t>
                  </w:r>
                </w:p>
              </w:tc>
              <w:tc>
                <w:tcPr>
                  <w:tcW w:w="2232" w:type="pct"/>
                  <w:tcBorders>
                    <w:tl2br w:val="nil"/>
                    <w:tr2bl w:val="nil"/>
                  </w:tcBorders>
                  <w:shd w:val="clear" w:color="auto" w:fill="auto"/>
                  <w:noWrap/>
                  <w:vAlign w:val="center"/>
                </w:tcPr>
                <w:p w14:paraId="2DB17B3D">
                  <w:pPr>
                    <w:pStyle w:val="28"/>
                    <w:keepNext w:val="0"/>
                    <w:keepLines w:val="0"/>
                    <w:suppressLineNumbers w:val="0"/>
                    <w:spacing w:before="0" w:beforeAutospacing="0" w:after="0" w:afterAutospacing="0"/>
                    <w:ind w:left="0" w:right="0"/>
                    <w:rPr>
                      <w:rFonts w:hint="default"/>
                      <w:color w:val="auto"/>
                    </w:rPr>
                  </w:pPr>
                  <w:r>
                    <w:rPr>
                      <w:rFonts w:hint="default"/>
                      <w:color w:val="auto"/>
                    </w:rPr>
                    <w:t>非甲烷总烃</w:t>
                  </w:r>
                </w:p>
              </w:tc>
              <w:tc>
                <w:tcPr>
                  <w:tcW w:w="459" w:type="pct"/>
                  <w:tcBorders>
                    <w:tl2br w:val="nil"/>
                    <w:tr2bl w:val="nil"/>
                  </w:tcBorders>
                  <w:shd w:val="clear" w:color="auto" w:fill="auto"/>
                  <w:noWrap/>
                  <w:vAlign w:val="center"/>
                </w:tcPr>
                <w:p w14:paraId="62FC3BDA">
                  <w:pPr>
                    <w:pStyle w:val="26"/>
                    <w:keepNext w:val="0"/>
                    <w:keepLines w:val="0"/>
                    <w:suppressLineNumbers w:val="0"/>
                    <w:spacing w:before="0" w:beforeAutospacing="0" w:after="0" w:afterAutospacing="0"/>
                    <w:ind w:left="0" w:right="0"/>
                    <w:rPr>
                      <w:rFonts w:hint="default"/>
                    </w:rPr>
                  </w:pPr>
                  <w:r>
                    <w:rPr>
                      <w:rFonts w:hint="default"/>
                    </w:rPr>
                    <w:t>间歇</w:t>
                  </w:r>
                </w:p>
              </w:tc>
            </w:tr>
            <w:tr w14:paraId="6E8360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continue"/>
                  <w:tcBorders>
                    <w:tl2br w:val="nil"/>
                    <w:tr2bl w:val="nil"/>
                  </w:tcBorders>
                  <w:shd w:val="clear" w:color="auto" w:fill="auto"/>
                  <w:noWrap/>
                  <w:vAlign w:val="center"/>
                </w:tcPr>
                <w:p w14:paraId="353145A3">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44A74D1F">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2BA709EE">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2-2</w:t>
                  </w:r>
                </w:p>
              </w:tc>
              <w:tc>
                <w:tcPr>
                  <w:tcW w:w="771" w:type="pct"/>
                  <w:tcBorders>
                    <w:tl2br w:val="nil"/>
                    <w:tr2bl w:val="nil"/>
                  </w:tcBorders>
                  <w:shd w:val="clear" w:color="auto" w:fill="auto"/>
                  <w:noWrap/>
                  <w:vAlign w:val="center"/>
                </w:tcPr>
                <w:p w14:paraId="69635419">
                  <w:pPr>
                    <w:pStyle w:val="28"/>
                    <w:keepNext w:val="0"/>
                    <w:keepLines w:val="0"/>
                    <w:suppressLineNumbers w:val="0"/>
                    <w:spacing w:before="0" w:beforeAutospacing="0" w:after="0" w:afterAutospacing="0"/>
                    <w:ind w:left="0" w:right="0"/>
                    <w:rPr>
                      <w:rFonts w:hint="default"/>
                      <w:color w:val="auto"/>
                    </w:rPr>
                  </w:pPr>
                  <w:r>
                    <w:rPr>
                      <w:rFonts w:hint="default"/>
                      <w:color w:val="auto"/>
                    </w:rPr>
                    <w:t>储油（小呼吸）</w:t>
                  </w:r>
                </w:p>
              </w:tc>
              <w:tc>
                <w:tcPr>
                  <w:tcW w:w="2232" w:type="pct"/>
                  <w:tcBorders>
                    <w:tl2br w:val="nil"/>
                    <w:tr2bl w:val="nil"/>
                  </w:tcBorders>
                  <w:shd w:val="clear" w:color="auto" w:fill="auto"/>
                  <w:noWrap/>
                  <w:vAlign w:val="center"/>
                </w:tcPr>
                <w:p w14:paraId="7550620B">
                  <w:pPr>
                    <w:pStyle w:val="28"/>
                    <w:keepNext w:val="0"/>
                    <w:keepLines w:val="0"/>
                    <w:suppressLineNumbers w:val="0"/>
                    <w:spacing w:before="0" w:beforeAutospacing="0" w:after="0" w:afterAutospacing="0"/>
                    <w:ind w:left="0" w:right="0"/>
                    <w:rPr>
                      <w:rFonts w:hint="default"/>
                      <w:color w:val="auto"/>
                    </w:rPr>
                  </w:pPr>
                  <w:r>
                    <w:rPr>
                      <w:rFonts w:hint="default"/>
                      <w:color w:val="auto"/>
                    </w:rPr>
                    <w:t>非甲烷总烃</w:t>
                  </w:r>
                </w:p>
              </w:tc>
              <w:tc>
                <w:tcPr>
                  <w:tcW w:w="459" w:type="pct"/>
                  <w:tcBorders>
                    <w:tl2br w:val="nil"/>
                    <w:tr2bl w:val="nil"/>
                  </w:tcBorders>
                  <w:shd w:val="clear" w:color="auto" w:fill="auto"/>
                  <w:noWrap/>
                  <w:vAlign w:val="center"/>
                </w:tcPr>
                <w:p w14:paraId="50CA8516">
                  <w:pPr>
                    <w:pStyle w:val="26"/>
                    <w:keepNext w:val="0"/>
                    <w:keepLines w:val="0"/>
                    <w:suppressLineNumbers w:val="0"/>
                    <w:spacing w:before="0" w:beforeAutospacing="0" w:after="0" w:afterAutospacing="0"/>
                    <w:ind w:left="0" w:right="0"/>
                    <w:rPr>
                      <w:rFonts w:hint="default"/>
                    </w:rPr>
                  </w:pPr>
                  <w:r>
                    <w:rPr>
                      <w:rFonts w:hint="default"/>
                    </w:rPr>
                    <w:t>间歇</w:t>
                  </w:r>
                </w:p>
              </w:tc>
            </w:tr>
            <w:tr w14:paraId="177697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continue"/>
                  <w:tcBorders>
                    <w:tl2br w:val="nil"/>
                    <w:tr2bl w:val="nil"/>
                  </w:tcBorders>
                  <w:shd w:val="clear" w:color="auto" w:fill="auto"/>
                  <w:noWrap/>
                  <w:vAlign w:val="center"/>
                </w:tcPr>
                <w:p w14:paraId="1C244DD6">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50396D40">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42842DE6">
                  <w:pPr>
                    <w:pStyle w:val="26"/>
                    <w:keepNext w:val="0"/>
                    <w:keepLines w:val="0"/>
                    <w:suppressLineNumbers w:val="0"/>
                    <w:spacing w:before="0" w:beforeAutospacing="0" w:after="0" w:afterAutospacing="0"/>
                    <w:ind w:left="0" w:right="0"/>
                    <w:rPr>
                      <w:rFonts w:hint="default"/>
                    </w:rPr>
                  </w:pPr>
                  <w:r>
                    <w:rPr>
                      <w:rFonts w:hint="default"/>
                    </w:rPr>
                    <w:t>G</w:t>
                  </w:r>
                  <w:r>
                    <w:rPr>
                      <w:rFonts w:hint="default"/>
                      <w:vertAlign w:val="subscript"/>
                    </w:rPr>
                    <w:t>2-3</w:t>
                  </w:r>
                </w:p>
              </w:tc>
              <w:tc>
                <w:tcPr>
                  <w:tcW w:w="771" w:type="pct"/>
                  <w:tcBorders>
                    <w:tl2br w:val="nil"/>
                    <w:tr2bl w:val="nil"/>
                  </w:tcBorders>
                  <w:shd w:val="clear" w:color="auto" w:fill="auto"/>
                  <w:noWrap/>
                  <w:vAlign w:val="center"/>
                </w:tcPr>
                <w:p w14:paraId="3A900823">
                  <w:pPr>
                    <w:pStyle w:val="28"/>
                    <w:keepNext w:val="0"/>
                    <w:keepLines w:val="0"/>
                    <w:suppressLineNumbers w:val="0"/>
                    <w:spacing w:before="0" w:beforeAutospacing="0" w:after="0" w:afterAutospacing="0"/>
                    <w:ind w:left="0" w:right="0"/>
                    <w:rPr>
                      <w:rFonts w:hint="default"/>
                      <w:color w:val="auto"/>
                    </w:rPr>
                  </w:pPr>
                  <w:r>
                    <w:rPr>
                      <w:rFonts w:hint="default"/>
                      <w:color w:val="auto"/>
                    </w:rPr>
                    <w:t>加油</w:t>
                  </w:r>
                </w:p>
              </w:tc>
              <w:tc>
                <w:tcPr>
                  <w:tcW w:w="2232" w:type="pct"/>
                  <w:tcBorders>
                    <w:tl2br w:val="nil"/>
                    <w:tr2bl w:val="nil"/>
                  </w:tcBorders>
                  <w:shd w:val="clear" w:color="auto" w:fill="auto"/>
                  <w:noWrap/>
                  <w:vAlign w:val="center"/>
                </w:tcPr>
                <w:p w14:paraId="145C946F">
                  <w:pPr>
                    <w:pStyle w:val="28"/>
                    <w:keepNext w:val="0"/>
                    <w:keepLines w:val="0"/>
                    <w:suppressLineNumbers w:val="0"/>
                    <w:spacing w:before="0" w:beforeAutospacing="0" w:after="0" w:afterAutospacing="0"/>
                    <w:ind w:left="0" w:right="0"/>
                    <w:rPr>
                      <w:rFonts w:hint="default"/>
                      <w:color w:val="auto"/>
                    </w:rPr>
                  </w:pPr>
                  <w:r>
                    <w:rPr>
                      <w:rFonts w:hint="default"/>
                      <w:color w:val="auto"/>
                    </w:rPr>
                    <w:t>非甲烷总烃</w:t>
                  </w:r>
                </w:p>
              </w:tc>
              <w:tc>
                <w:tcPr>
                  <w:tcW w:w="459" w:type="pct"/>
                  <w:tcBorders>
                    <w:tl2br w:val="nil"/>
                    <w:tr2bl w:val="nil"/>
                  </w:tcBorders>
                  <w:shd w:val="clear" w:color="auto" w:fill="auto"/>
                  <w:noWrap/>
                  <w:vAlign w:val="center"/>
                </w:tcPr>
                <w:p w14:paraId="7F00CCC7">
                  <w:pPr>
                    <w:pStyle w:val="26"/>
                    <w:keepNext w:val="0"/>
                    <w:keepLines w:val="0"/>
                    <w:suppressLineNumbers w:val="0"/>
                    <w:spacing w:before="0" w:beforeAutospacing="0" w:after="0" w:afterAutospacing="0"/>
                    <w:ind w:left="0" w:right="0"/>
                    <w:rPr>
                      <w:rFonts w:hint="default"/>
                    </w:rPr>
                  </w:pPr>
                  <w:r>
                    <w:rPr>
                      <w:rFonts w:hint="default"/>
                    </w:rPr>
                    <w:t>间歇</w:t>
                  </w:r>
                </w:p>
              </w:tc>
            </w:tr>
            <w:tr w14:paraId="4AA43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continue"/>
                  <w:tcBorders>
                    <w:tl2br w:val="nil"/>
                    <w:tr2bl w:val="nil"/>
                  </w:tcBorders>
                  <w:shd w:val="clear" w:color="auto" w:fill="auto"/>
                  <w:noWrap/>
                  <w:vAlign w:val="center"/>
                </w:tcPr>
                <w:p w14:paraId="0C3E72D0">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vAlign w:val="center"/>
                </w:tcPr>
                <w:p w14:paraId="1B1B1514">
                  <w:pPr>
                    <w:pStyle w:val="26"/>
                    <w:keepNext w:val="0"/>
                    <w:keepLines w:val="0"/>
                    <w:suppressLineNumbers w:val="0"/>
                    <w:spacing w:before="0" w:beforeAutospacing="0" w:after="0" w:afterAutospacing="0"/>
                    <w:ind w:left="0" w:right="0"/>
                    <w:rPr>
                      <w:rFonts w:hint="default"/>
                    </w:rPr>
                  </w:pPr>
                  <w:r>
                    <w:rPr>
                      <w:rFonts w:hint="default"/>
                    </w:rPr>
                    <w:t>LNG</w:t>
                  </w:r>
                </w:p>
                <w:p w14:paraId="671FA8FF">
                  <w:pPr>
                    <w:pStyle w:val="26"/>
                    <w:keepNext w:val="0"/>
                    <w:keepLines w:val="0"/>
                    <w:suppressLineNumbers w:val="0"/>
                    <w:spacing w:before="0" w:beforeAutospacing="0" w:after="0" w:afterAutospacing="0"/>
                    <w:ind w:left="0" w:right="0"/>
                    <w:rPr>
                      <w:rFonts w:hint="default"/>
                    </w:rPr>
                  </w:pPr>
                  <w:r>
                    <w:rPr>
                      <w:rFonts w:hint="default"/>
                    </w:rPr>
                    <w:t>充装撬</w:t>
                  </w:r>
                </w:p>
              </w:tc>
              <w:tc>
                <w:tcPr>
                  <w:tcW w:w="620" w:type="pct"/>
                  <w:tcBorders>
                    <w:tl2br w:val="nil"/>
                    <w:tr2bl w:val="nil"/>
                  </w:tcBorders>
                  <w:shd w:val="clear" w:color="auto" w:fill="auto"/>
                  <w:noWrap/>
                  <w:vAlign w:val="center"/>
                </w:tcPr>
                <w:p w14:paraId="2E099154">
                  <w:pPr>
                    <w:pStyle w:val="28"/>
                    <w:keepNext w:val="0"/>
                    <w:keepLines w:val="0"/>
                    <w:suppressLineNumbers w:val="0"/>
                    <w:spacing w:before="0" w:beforeAutospacing="0" w:after="0" w:afterAutospacing="0"/>
                    <w:ind w:left="0" w:right="0"/>
                    <w:rPr>
                      <w:rFonts w:hint="default"/>
                      <w:color w:val="auto"/>
                    </w:rPr>
                  </w:pPr>
                  <w:r>
                    <w:rPr>
                      <w:rFonts w:hint="default"/>
                      <w:color w:val="auto"/>
                    </w:rPr>
                    <w:t>G</w:t>
                  </w:r>
                  <w:r>
                    <w:rPr>
                      <w:rFonts w:hint="default"/>
                      <w:color w:val="auto"/>
                      <w:vertAlign w:val="subscript"/>
                    </w:rPr>
                    <w:t>3-1</w:t>
                  </w:r>
                </w:p>
              </w:tc>
              <w:tc>
                <w:tcPr>
                  <w:tcW w:w="771" w:type="pct"/>
                  <w:tcBorders>
                    <w:tl2br w:val="nil"/>
                    <w:tr2bl w:val="nil"/>
                  </w:tcBorders>
                  <w:shd w:val="clear" w:color="auto" w:fill="auto"/>
                  <w:noWrap/>
                  <w:vAlign w:val="center"/>
                </w:tcPr>
                <w:p w14:paraId="647F1862">
                  <w:pPr>
                    <w:pStyle w:val="28"/>
                    <w:keepNext w:val="0"/>
                    <w:keepLines w:val="0"/>
                    <w:suppressLineNumbers w:val="0"/>
                    <w:spacing w:before="0" w:beforeAutospacing="0" w:after="0" w:afterAutospacing="0"/>
                    <w:ind w:left="0" w:right="0"/>
                    <w:rPr>
                      <w:rFonts w:hint="default"/>
                      <w:color w:val="auto"/>
                    </w:rPr>
                  </w:pPr>
                  <w:r>
                    <w:rPr>
                      <w:rFonts w:hint="default"/>
                      <w:color w:val="auto"/>
                    </w:rPr>
                    <w:t>卸车放空气</w:t>
                  </w:r>
                </w:p>
              </w:tc>
              <w:tc>
                <w:tcPr>
                  <w:tcW w:w="2232" w:type="pct"/>
                  <w:tcBorders>
                    <w:tl2br w:val="nil"/>
                    <w:tr2bl w:val="nil"/>
                  </w:tcBorders>
                  <w:shd w:val="clear" w:color="auto" w:fill="auto"/>
                  <w:noWrap/>
                  <w:vAlign w:val="center"/>
                </w:tcPr>
                <w:p w14:paraId="6E2676A8">
                  <w:pPr>
                    <w:pStyle w:val="28"/>
                    <w:keepNext w:val="0"/>
                    <w:keepLines w:val="0"/>
                    <w:suppressLineNumbers w:val="0"/>
                    <w:spacing w:before="0" w:beforeAutospacing="0" w:after="0" w:afterAutospacing="0"/>
                    <w:ind w:left="0" w:right="0"/>
                    <w:rPr>
                      <w:rFonts w:hint="default"/>
                      <w:color w:val="auto"/>
                    </w:rPr>
                  </w:pPr>
                  <w:r>
                    <w:rPr>
                      <w:rFonts w:hint="default"/>
                      <w:color w:val="auto"/>
                    </w:rPr>
                    <w:t>甲烷、乙烷等</w:t>
                  </w:r>
                </w:p>
              </w:tc>
              <w:tc>
                <w:tcPr>
                  <w:tcW w:w="459" w:type="pct"/>
                  <w:tcBorders>
                    <w:tl2br w:val="nil"/>
                    <w:tr2bl w:val="nil"/>
                  </w:tcBorders>
                  <w:shd w:val="clear" w:color="auto" w:fill="auto"/>
                  <w:noWrap/>
                  <w:vAlign w:val="center"/>
                </w:tcPr>
                <w:p w14:paraId="063FD19B">
                  <w:pPr>
                    <w:pStyle w:val="26"/>
                    <w:keepNext w:val="0"/>
                    <w:keepLines w:val="0"/>
                    <w:suppressLineNumbers w:val="0"/>
                    <w:spacing w:before="0" w:beforeAutospacing="0" w:after="0" w:afterAutospacing="0"/>
                    <w:ind w:left="0" w:right="0"/>
                    <w:rPr>
                      <w:rFonts w:hint="default"/>
                    </w:rPr>
                  </w:pPr>
                  <w:r>
                    <w:rPr>
                      <w:rFonts w:hint="default"/>
                    </w:rPr>
                    <w:t>间歇</w:t>
                  </w:r>
                </w:p>
              </w:tc>
            </w:tr>
            <w:tr w14:paraId="5244ED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continue"/>
                  <w:tcBorders>
                    <w:tl2br w:val="nil"/>
                    <w:tr2bl w:val="nil"/>
                  </w:tcBorders>
                  <w:shd w:val="clear" w:color="auto" w:fill="auto"/>
                  <w:noWrap/>
                  <w:vAlign w:val="center"/>
                </w:tcPr>
                <w:p w14:paraId="465ED286">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13948CE8">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5C7322E3">
                  <w:pPr>
                    <w:pStyle w:val="28"/>
                    <w:keepNext w:val="0"/>
                    <w:keepLines w:val="0"/>
                    <w:suppressLineNumbers w:val="0"/>
                    <w:spacing w:before="0" w:beforeAutospacing="0" w:after="0" w:afterAutospacing="0"/>
                    <w:ind w:left="0" w:right="0"/>
                    <w:rPr>
                      <w:rFonts w:hint="default"/>
                      <w:color w:val="auto"/>
                    </w:rPr>
                  </w:pPr>
                  <w:r>
                    <w:rPr>
                      <w:rFonts w:hint="default"/>
                      <w:color w:val="auto"/>
                    </w:rPr>
                    <w:t>G</w:t>
                  </w:r>
                  <w:r>
                    <w:rPr>
                      <w:rFonts w:hint="default"/>
                      <w:color w:val="auto"/>
                      <w:vertAlign w:val="subscript"/>
                    </w:rPr>
                    <w:t>3-2</w:t>
                  </w:r>
                </w:p>
              </w:tc>
              <w:tc>
                <w:tcPr>
                  <w:tcW w:w="771" w:type="pct"/>
                  <w:tcBorders>
                    <w:tl2br w:val="nil"/>
                    <w:tr2bl w:val="nil"/>
                  </w:tcBorders>
                  <w:shd w:val="clear" w:color="auto" w:fill="auto"/>
                  <w:noWrap/>
                  <w:vAlign w:val="center"/>
                </w:tcPr>
                <w:p w14:paraId="7CEB9B6F">
                  <w:pPr>
                    <w:pStyle w:val="28"/>
                    <w:keepNext w:val="0"/>
                    <w:keepLines w:val="0"/>
                    <w:suppressLineNumbers w:val="0"/>
                    <w:spacing w:before="0" w:beforeAutospacing="0" w:after="0" w:afterAutospacing="0"/>
                    <w:ind w:left="0" w:right="0"/>
                    <w:rPr>
                      <w:rFonts w:hint="default"/>
                      <w:color w:val="auto"/>
                    </w:rPr>
                  </w:pPr>
                  <w:r>
                    <w:rPr>
                      <w:rFonts w:hint="default"/>
                      <w:color w:val="auto"/>
                    </w:rPr>
                    <w:t>加气</w:t>
                  </w:r>
                </w:p>
              </w:tc>
              <w:tc>
                <w:tcPr>
                  <w:tcW w:w="2232" w:type="pct"/>
                  <w:tcBorders>
                    <w:tl2br w:val="nil"/>
                    <w:tr2bl w:val="nil"/>
                  </w:tcBorders>
                  <w:shd w:val="clear" w:color="auto" w:fill="auto"/>
                  <w:noWrap/>
                  <w:vAlign w:val="center"/>
                </w:tcPr>
                <w:p w14:paraId="695F484D">
                  <w:pPr>
                    <w:pStyle w:val="28"/>
                    <w:keepNext w:val="0"/>
                    <w:keepLines w:val="0"/>
                    <w:suppressLineNumbers w:val="0"/>
                    <w:spacing w:before="0" w:beforeAutospacing="0" w:after="0" w:afterAutospacing="0"/>
                    <w:ind w:left="0" w:right="0"/>
                    <w:rPr>
                      <w:rFonts w:hint="default"/>
                      <w:color w:val="auto"/>
                    </w:rPr>
                  </w:pPr>
                  <w:r>
                    <w:rPr>
                      <w:rFonts w:hint="default"/>
                      <w:color w:val="auto"/>
                    </w:rPr>
                    <w:t>甲烷、乙烷等</w:t>
                  </w:r>
                </w:p>
              </w:tc>
              <w:tc>
                <w:tcPr>
                  <w:tcW w:w="459" w:type="pct"/>
                  <w:tcBorders>
                    <w:tl2br w:val="nil"/>
                    <w:tr2bl w:val="nil"/>
                  </w:tcBorders>
                  <w:shd w:val="clear" w:color="auto" w:fill="auto"/>
                  <w:noWrap/>
                  <w:vAlign w:val="center"/>
                </w:tcPr>
                <w:p w14:paraId="0A5E137D">
                  <w:pPr>
                    <w:pStyle w:val="26"/>
                    <w:keepNext w:val="0"/>
                    <w:keepLines w:val="0"/>
                    <w:suppressLineNumbers w:val="0"/>
                    <w:spacing w:before="0" w:beforeAutospacing="0" w:after="0" w:afterAutospacing="0"/>
                    <w:ind w:left="0" w:right="0"/>
                    <w:rPr>
                      <w:rFonts w:hint="default"/>
                    </w:rPr>
                  </w:pPr>
                  <w:r>
                    <w:rPr>
                      <w:rFonts w:hint="default"/>
                    </w:rPr>
                    <w:t>间歇</w:t>
                  </w:r>
                </w:p>
              </w:tc>
            </w:tr>
            <w:tr w14:paraId="30AEA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continue"/>
                  <w:tcBorders>
                    <w:tl2br w:val="nil"/>
                    <w:tr2bl w:val="nil"/>
                  </w:tcBorders>
                  <w:shd w:val="clear" w:color="auto" w:fill="auto"/>
                  <w:noWrap/>
                  <w:vAlign w:val="center"/>
                </w:tcPr>
                <w:p w14:paraId="618A2837">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vAlign w:val="center"/>
                </w:tcPr>
                <w:p w14:paraId="53D2AB4E">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7A36808E">
                  <w:pPr>
                    <w:pStyle w:val="28"/>
                    <w:keepNext w:val="0"/>
                    <w:keepLines w:val="0"/>
                    <w:suppressLineNumbers w:val="0"/>
                    <w:spacing w:before="0" w:beforeAutospacing="0" w:after="0" w:afterAutospacing="0"/>
                    <w:ind w:left="0" w:right="0"/>
                    <w:rPr>
                      <w:rFonts w:hint="default"/>
                      <w:color w:val="auto"/>
                    </w:rPr>
                  </w:pPr>
                  <w:r>
                    <w:rPr>
                      <w:rFonts w:hint="default"/>
                      <w:color w:val="auto"/>
                    </w:rPr>
                    <w:t>G</w:t>
                  </w:r>
                  <w:r>
                    <w:rPr>
                      <w:rFonts w:hint="default"/>
                      <w:color w:val="auto"/>
                      <w:vertAlign w:val="subscript"/>
                    </w:rPr>
                    <w:t>3-3</w:t>
                  </w:r>
                </w:p>
              </w:tc>
              <w:tc>
                <w:tcPr>
                  <w:tcW w:w="771" w:type="pct"/>
                  <w:tcBorders>
                    <w:tl2br w:val="nil"/>
                    <w:tr2bl w:val="nil"/>
                  </w:tcBorders>
                  <w:shd w:val="clear" w:color="auto" w:fill="auto"/>
                  <w:noWrap/>
                  <w:vAlign w:val="center"/>
                </w:tcPr>
                <w:p w14:paraId="4ECB7B97">
                  <w:pPr>
                    <w:pStyle w:val="28"/>
                    <w:keepNext w:val="0"/>
                    <w:keepLines w:val="0"/>
                    <w:suppressLineNumbers w:val="0"/>
                    <w:spacing w:before="0" w:beforeAutospacing="0" w:after="0" w:afterAutospacing="0"/>
                    <w:ind w:left="0" w:right="0"/>
                    <w:rPr>
                      <w:rFonts w:hint="default"/>
                      <w:color w:val="auto"/>
                    </w:rPr>
                  </w:pPr>
                  <w:r>
                    <w:rPr>
                      <w:rFonts w:hint="default"/>
                      <w:color w:val="auto"/>
                    </w:rPr>
                    <w:t>泄压放空气</w:t>
                  </w:r>
                </w:p>
              </w:tc>
              <w:tc>
                <w:tcPr>
                  <w:tcW w:w="2232" w:type="pct"/>
                  <w:tcBorders>
                    <w:tl2br w:val="nil"/>
                    <w:tr2bl w:val="nil"/>
                  </w:tcBorders>
                  <w:shd w:val="clear" w:color="auto" w:fill="auto"/>
                  <w:noWrap/>
                  <w:vAlign w:val="center"/>
                </w:tcPr>
                <w:p w14:paraId="1AE78CBF">
                  <w:pPr>
                    <w:pStyle w:val="28"/>
                    <w:keepNext w:val="0"/>
                    <w:keepLines w:val="0"/>
                    <w:suppressLineNumbers w:val="0"/>
                    <w:spacing w:before="0" w:beforeAutospacing="0" w:after="0" w:afterAutospacing="0"/>
                    <w:ind w:left="0" w:right="0"/>
                    <w:rPr>
                      <w:rFonts w:hint="default"/>
                      <w:color w:val="auto"/>
                    </w:rPr>
                  </w:pPr>
                  <w:r>
                    <w:rPr>
                      <w:rFonts w:hint="default"/>
                      <w:color w:val="auto"/>
                    </w:rPr>
                    <w:t>甲烷、乙烷等</w:t>
                  </w:r>
                </w:p>
              </w:tc>
              <w:tc>
                <w:tcPr>
                  <w:tcW w:w="459" w:type="pct"/>
                  <w:tcBorders>
                    <w:tl2br w:val="nil"/>
                    <w:tr2bl w:val="nil"/>
                  </w:tcBorders>
                  <w:shd w:val="clear" w:color="auto" w:fill="auto"/>
                  <w:noWrap/>
                  <w:vAlign w:val="center"/>
                </w:tcPr>
                <w:p w14:paraId="64752CA1">
                  <w:pPr>
                    <w:pStyle w:val="26"/>
                    <w:keepNext w:val="0"/>
                    <w:keepLines w:val="0"/>
                    <w:suppressLineNumbers w:val="0"/>
                    <w:spacing w:before="0" w:beforeAutospacing="0" w:after="0" w:afterAutospacing="0"/>
                    <w:ind w:left="0" w:right="0"/>
                    <w:rPr>
                      <w:rFonts w:hint="default"/>
                    </w:rPr>
                  </w:pPr>
                  <w:r>
                    <w:rPr>
                      <w:rFonts w:hint="default"/>
                    </w:rPr>
                    <w:t>间歇</w:t>
                  </w:r>
                </w:p>
              </w:tc>
            </w:tr>
            <w:tr w14:paraId="399FC2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8" w:type="pct"/>
                  <w:vMerge w:val="restart"/>
                  <w:tcBorders>
                    <w:tl2br w:val="nil"/>
                    <w:tr2bl w:val="nil"/>
                  </w:tcBorders>
                  <w:shd w:val="clear" w:color="auto" w:fill="auto"/>
                  <w:noWrap/>
                  <w:vAlign w:val="center"/>
                </w:tcPr>
                <w:p w14:paraId="52D9AF7B">
                  <w:pPr>
                    <w:pStyle w:val="26"/>
                    <w:keepNext w:val="0"/>
                    <w:keepLines w:val="0"/>
                    <w:suppressLineNumbers w:val="0"/>
                    <w:spacing w:before="0" w:beforeAutospacing="0" w:after="0" w:afterAutospacing="0"/>
                    <w:ind w:left="0" w:right="0"/>
                    <w:rPr>
                      <w:rFonts w:hint="default"/>
                    </w:rPr>
                  </w:pPr>
                  <w:r>
                    <w:rPr>
                      <w:rFonts w:hint="default"/>
                    </w:rPr>
                    <w:t>废水</w:t>
                  </w:r>
                </w:p>
              </w:tc>
              <w:tc>
                <w:tcPr>
                  <w:tcW w:w="620" w:type="pct"/>
                  <w:tcBorders>
                    <w:tl2br w:val="nil"/>
                    <w:tr2bl w:val="nil"/>
                  </w:tcBorders>
                  <w:shd w:val="clear" w:color="auto" w:fill="auto"/>
                  <w:vAlign w:val="center"/>
                </w:tcPr>
                <w:p w14:paraId="2CEEE672">
                  <w:pPr>
                    <w:pStyle w:val="26"/>
                    <w:keepNext w:val="0"/>
                    <w:keepLines w:val="0"/>
                    <w:suppressLineNumbers w:val="0"/>
                    <w:spacing w:before="0" w:beforeAutospacing="0" w:after="0" w:afterAutospacing="0"/>
                    <w:ind w:left="0" w:right="0"/>
                    <w:rPr>
                      <w:rFonts w:hint="default"/>
                    </w:rPr>
                  </w:pPr>
                  <w:r>
                    <w:rPr>
                      <w:rFonts w:hint="default"/>
                    </w:rPr>
                    <w:t>公用工程</w:t>
                  </w:r>
                </w:p>
              </w:tc>
              <w:tc>
                <w:tcPr>
                  <w:tcW w:w="620" w:type="pct"/>
                  <w:tcBorders>
                    <w:tl2br w:val="nil"/>
                    <w:tr2bl w:val="nil"/>
                  </w:tcBorders>
                  <w:shd w:val="clear" w:color="auto" w:fill="auto"/>
                  <w:noWrap/>
                  <w:vAlign w:val="center"/>
                </w:tcPr>
                <w:p w14:paraId="5735A8E1">
                  <w:pPr>
                    <w:pStyle w:val="26"/>
                    <w:keepNext w:val="0"/>
                    <w:keepLines w:val="0"/>
                    <w:suppressLineNumbers w:val="0"/>
                    <w:spacing w:before="0" w:beforeAutospacing="0" w:after="0" w:afterAutospacing="0"/>
                    <w:ind w:left="0" w:right="0"/>
                    <w:rPr>
                      <w:rFonts w:hint="default"/>
                    </w:rPr>
                  </w:pPr>
                  <w:r>
                    <w:rPr>
                      <w:rFonts w:hint="default"/>
                    </w:rPr>
                    <w:t>W</w:t>
                  </w:r>
                  <w:r>
                    <w:rPr>
                      <w:rFonts w:hint="default"/>
                      <w:vertAlign w:val="subscript"/>
                    </w:rPr>
                    <w:t>1-1</w:t>
                  </w:r>
                </w:p>
              </w:tc>
              <w:tc>
                <w:tcPr>
                  <w:tcW w:w="771" w:type="pct"/>
                  <w:tcBorders>
                    <w:tl2br w:val="nil"/>
                    <w:tr2bl w:val="nil"/>
                  </w:tcBorders>
                  <w:shd w:val="clear" w:color="auto" w:fill="auto"/>
                  <w:noWrap/>
                  <w:vAlign w:val="center"/>
                </w:tcPr>
                <w:p w14:paraId="1D60FE84">
                  <w:pPr>
                    <w:pStyle w:val="26"/>
                    <w:keepNext w:val="0"/>
                    <w:keepLines w:val="0"/>
                    <w:suppressLineNumbers w:val="0"/>
                    <w:spacing w:before="0" w:beforeAutospacing="0" w:after="0" w:afterAutospacing="0"/>
                    <w:ind w:left="0" w:right="0"/>
                    <w:rPr>
                      <w:rFonts w:hint="default"/>
                    </w:rPr>
                  </w:pPr>
                  <w:r>
                    <w:rPr>
                      <w:rFonts w:hint="default"/>
                    </w:rPr>
                    <w:t>软水制备</w:t>
                  </w:r>
                </w:p>
              </w:tc>
              <w:tc>
                <w:tcPr>
                  <w:tcW w:w="2232" w:type="pct"/>
                  <w:tcBorders>
                    <w:tl2br w:val="nil"/>
                    <w:tr2bl w:val="nil"/>
                  </w:tcBorders>
                  <w:shd w:val="clear" w:color="auto" w:fill="auto"/>
                  <w:noWrap/>
                  <w:vAlign w:val="center"/>
                </w:tcPr>
                <w:p w14:paraId="3A7AD6C7">
                  <w:pPr>
                    <w:pStyle w:val="26"/>
                    <w:keepNext w:val="0"/>
                    <w:keepLines w:val="0"/>
                    <w:suppressLineNumbers w:val="0"/>
                    <w:spacing w:before="0" w:beforeAutospacing="0" w:after="0" w:afterAutospacing="0"/>
                    <w:ind w:left="0" w:right="0"/>
                    <w:rPr>
                      <w:rFonts w:hint="default"/>
                    </w:rPr>
                  </w:pPr>
                  <w:r>
                    <w:rPr>
                      <w:rFonts w:hint="default"/>
                    </w:rPr>
                    <w:t>COD、BOD</w:t>
                  </w:r>
                  <w:r>
                    <w:rPr>
                      <w:rFonts w:hint="default"/>
                      <w:vertAlign w:val="subscript"/>
                    </w:rPr>
                    <w:t>5</w:t>
                  </w:r>
                  <w:r>
                    <w:rPr>
                      <w:rFonts w:hint="default"/>
                    </w:rPr>
                    <w:t>、氨氮、SS、全盐量</w:t>
                  </w:r>
                </w:p>
              </w:tc>
              <w:tc>
                <w:tcPr>
                  <w:tcW w:w="459" w:type="pct"/>
                  <w:tcBorders>
                    <w:tl2br w:val="nil"/>
                    <w:tr2bl w:val="nil"/>
                  </w:tcBorders>
                  <w:shd w:val="clear" w:color="auto" w:fill="auto"/>
                  <w:noWrap/>
                  <w:vAlign w:val="center"/>
                </w:tcPr>
                <w:p w14:paraId="076D1C4A">
                  <w:pPr>
                    <w:pStyle w:val="26"/>
                    <w:keepNext w:val="0"/>
                    <w:keepLines w:val="0"/>
                    <w:suppressLineNumbers w:val="0"/>
                    <w:spacing w:before="0" w:beforeAutospacing="0" w:after="0" w:afterAutospacing="0"/>
                    <w:ind w:left="0" w:right="0"/>
                    <w:rPr>
                      <w:rFonts w:hint="default"/>
                    </w:rPr>
                  </w:pPr>
                  <w:r>
                    <w:rPr>
                      <w:rFonts w:hint="default"/>
                    </w:rPr>
                    <w:t>间歇</w:t>
                  </w:r>
                </w:p>
              </w:tc>
            </w:tr>
            <w:tr w14:paraId="662186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1DD55351">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vAlign w:val="center"/>
                </w:tcPr>
                <w:p w14:paraId="17C55BBD">
                  <w:pPr>
                    <w:pStyle w:val="26"/>
                    <w:keepNext w:val="0"/>
                    <w:keepLines w:val="0"/>
                    <w:suppressLineNumbers w:val="0"/>
                    <w:spacing w:before="0" w:beforeAutospacing="0" w:after="0" w:afterAutospacing="0"/>
                    <w:ind w:left="0" w:right="0"/>
                    <w:rPr>
                      <w:rFonts w:hint="default"/>
                    </w:rPr>
                  </w:pPr>
                  <w:r>
                    <w:rPr>
                      <w:rFonts w:hint="default"/>
                    </w:rPr>
                    <w:t>辅助工程</w:t>
                  </w:r>
                </w:p>
              </w:tc>
              <w:tc>
                <w:tcPr>
                  <w:tcW w:w="620" w:type="pct"/>
                  <w:tcBorders>
                    <w:tl2br w:val="nil"/>
                    <w:tr2bl w:val="nil"/>
                  </w:tcBorders>
                  <w:shd w:val="clear" w:color="auto" w:fill="auto"/>
                  <w:noWrap/>
                  <w:vAlign w:val="center"/>
                </w:tcPr>
                <w:p w14:paraId="4C2E6E77">
                  <w:pPr>
                    <w:pStyle w:val="26"/>
                    <w:keepNext w:val="0"/>
                    <w:keepLines w:val="0"/>
                    <w:suppressLineNumbers w:val="0"/>
                    <w:spacing w:before="0" w:beforeAutospacing="0" w:after="0" w:afterAutospacing="0"/>
                    <w:ind w:left="0" w:right="0"/>
                    <w:rPr>
                      <w:rFonts w:hint="default"/>
                    </w:rPr>
                  </w:pPr>
                  <w:r>
                    <w:rPr>
                      <w:rFonts w:hint="default"/>
                    </w:rPr>
                    <w:t>W</w:t>
                  </w:r>
                  <w:r>
                    <w:rPr>
                      <w:rFonts w:hint="default"/>
                      <w:vertAlign w:val="subscript"/>
                    </w:rPr>
                    <w:t>1-2</w:t>
                  </w:r>
                </w:p>
              </w:tc>
              <w:tc>
                <w:tcPr>
                  <w:tcW w:w="771" w:type="pct"/>
                  <w:tcBorders>
                    <w:tl2br w:val="nil"/>
                    <w:tr2bl w:val="nil"/>
                  </w:tcBorders>
                  <w:shd w:val="clear" w:color="auto" w:fill="auto"/>
                  <w:noWrap/>
                  <w:vAlign w:val="center"/>
                </w:tcPr>
                <w:p w14:paraId="2A8424E8">
                  <w:pPr>
                    <w:pStyle w:val="26"/>
                    <w:keepNext w:val="0"/>
                    <w:keepLines w:val="0"/>
                    <w:suppressLineNumbers w:val="0"/>
                    <w:spacing w:before="0" w:beforeAutospacing="0" w:after="0" w:afterAutospacing="0"/>
                    <w:ind w:left="0" w:right="0"/>
                    <w:rPr>
                      <w:rFonts w:hint="default"/>
                    </w:rPr>
                  </w:pPr>
                  <w:r>
                    <w:rPr>
                      <w:rFonts w:hint="default"/>
                    </w:rPr>
                    <w:t>办公生活</w:t>
                  </w:r>
                </w:p>
              </w:tc>
              <w:tc>
                <w:tcPr>
                  <w:tcW w:w="2232" w:type="pct"/>
                  <w:vMerge w:val="restart"/>
                  <w:tcBorders>
                    <w:tl2br w:val="nil"/>
                    <w:tr2bl w:val="nil"/>
                  </w:tcBorders>
                  <w:shd w:val="clear" w:color="auto" w:fill="auto"/>
                  <w:noWrap/>
                  <w:vAlign w:val="center"/>
                </w:tcPr>
                <w:p w14:paraId="30954F9C">
                  <w:pPr>
                    <w:pStyle w:val="26"/>
                    <w:keepNext w:val="0"/>
                    <w:keepLines w:val="0"/>
                    <w:suppressLineNumbers w:val="0"/>
                    <w:spacing w:before="0" w:beforeAutospacing="0" w:after="0" w:afterAutospacing="0"/>
                    <w:ind w:left="0" w:right="0"/>
                    <w:rPr>
                      <w:rFonts w:hint="default"/>
                    </w:rPr>
                  </w:pPr>
                  <w:r>
                    <w:rPr>
                      <w:rFonts w:hint="default"/>
                    </w:rPr>
                    <w:t>COD、BOD</w:t>
                  </w:r>
                  <w:r>
                    <w:rPr>
                      <w:rFonts w:hint="default"/>
                      <w:vertAlign w:val="subscript"/>
                    </w:rPr>
                    <w:t>5</w:t>
                  </w:r>
                  <w:r>
                    <w:rPr>
                      <w:rFonts w:hint="default"/>
                    </w:rPr>
                    <w:t>、氨氮、SS、TP、</w:t>
                  </w:r>
                </w:p>
                <w:p w14:paraId="3B41D5F9">
                  <w:pPr>
                    <w:pStyle w:val="26"/>
                    <w:keepNext w:val="0"/>
                    <w:keepLines w:val="0"/>
                    <w:suppressLineNumbers w:val="0"/>
                    <w:spacing w:before="0" w:beforeAutospacing="0" w:after="0" w:afterAutospacing="0"/>
                    <w:ind w:left="0" w:right="0"/>
                    <w:rPr>
                      <w:rFonts w:hint="default"/>
                    </w:rPr>
                  </w:pPr>
                  <w:r>
                    <w:rPr>
                      <w:rFonts w:hint="default"/>
                    </w:rPr>
                    <w:t>动植物油</w:t>
                  </w:r>
                </w:p>
              </w:tc>
              <w:tc>
                <w:tcPr>
                  <w:tcW w:w="459" w:type="pct"/>
                  <w:tcBorders>
                    <w:tl2br w:val="nil"/>
                    <w:tr2bl w:val="nil"/>
                  </w:tcBorders>
                  <w:shd w:val="clear" w:color="auto" w:fill="auto"/>
                  <w:noWrap/>
                  <w:vAlign w:val="center"/>
                </w:tcPr>
                <w:p w14:paraId="6C2436C2">
                  <w:pPr>
                    <w:pStyle w:val="26"/>
                    <w:keepNext w:val="0"/>
                    <w:keepLines w:val="0"/>
                    <w:suppressLineNumbers w:val="0"/>
                    <w:spacing w:before="0" w:beforeAutospacing="0" w:after="0" w:afterAutospacing="0"/>
                    <w:ind w:left="0" w:right="0"/>
                    <w:rPr>
                      <w:rFonts w:hint="default"/>
                    </w:rPr>
                  </w:pPr>
                  <w:r>
                    <w:rPr>
                      <w:rFonts w:hint="default"/>
                    </w:rPr>
                    <w:t>间歇</w:t>
                  </w:r>
                </w:p>
              </w:tc>
            </w:tr>
            <w:tr w14:paraId="63684D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2163E65B">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3A9DCB4B">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6B6B0252">
                  <w:pPr>
                    <w:pStyle w:val="26"/>
                    <w:keepNext w:val="0"/>
                    <w:keepLines w:val="0"/>
                    <w:suppressLineNumbers w:val="0"/>
                    <w:spacing w:before="0" w:beforeAutospacing="0" w:after="0" w:afterAutospacing="0"/>
                    <w:ind w:left="0" w:right="0"/>
                    <w:rPr>
                      <w:rFonts w:hint="default"/>
                    </w:rPr>
                  </w:pPr>
                  <w:r>
                    <w:rPr>
                      <w:rFonts w:hint="default"/>
                    </w:rPr>
                    <w:t>W</w:t>
                  </w:r>
                  <w:r>
                    <w:rPr>
                      <w:rFonts w:hint="default"/>
                      <w:vertAlign w:val="subscript"/>
                    </w:rPr>
                    <w:t>1-3</w:t>
                  </w:r>
                </w:p>
              </w:tc>
              <w:tc>
                <w:tcPr>
                  <w:tcW w:w="771" w:type="pct"/>
                  <w:tcBorders>
                    <w:tl2br w:val="nil"/>
                    <w:tr2bl w:val="nil"/>
                  </w:tcBorders>
                  <w:shd w:val="clear" w:color="auto" w:fill="auto"/>
                  <w:noWrap/>
                  <w:vAlign w:val="center"/>
                </w:tcPr>
                <w:p w14:paraId="498C6007">
                  <w:pPr>
                    <w:pStyle w:val="26"/>
                    <w:keepNext w:val="0"/>
                    <w:keepLines w:val="0"/>
                    <w:suppressLineNumbers w:val="0"/>
                    <w:spacing w:before="0" w:beforeAutospacing="0" w:after="0" w:afterAutospacing="0"/>
                    <w:ind w:left="0" w:right="0"/>
                    <w:rPr>
                      <w:rFonts w:hint="default"/>
                    </w:rPr>
                  </w:pPr>
                  <w:r>
                    <w:rPr>
                      <w:rFonts w:hint="default"/>
                    </w:rPr>
                    <w:t>食堂</w:t>
                  </w:r>
                </w:p>
              </w:tc>
              <w:tc>
                <w:tcPr>
                  <w:tcW w:w="2232" w:type="pct"/>
                  <w:vMerge w:val="continue"/>
                  <w:tcBorders>
                    <w:tl2br w:val="nil"/>
                    <w:tr2bl w:val="nil"/>
                  </w:tcBorders>
                  <w:shd w:val="clear" w:color="auto" w:fill="auto"/>
                  <w:vAlign w:val="center"/>
                </w:tcPr>
                <w:p w14:paraId="15804380">
                  <w:pPr>
                    <w:pStyle w:val="26"/>
                    <w:keepNext w:val="0"/>
                    <w:keepLines w:val="0"/>
                    <w:suppressLineNumbers w:val="0"/>
                    <w:spacing w:before="0" w:beforeAutospacing="0" w:after="0" w:afterAutospacing="0"/>
                    <w:ind w:left="0" w:right="0"/>
                    <w:rPr>
                      <w:rFonts w:hint="default"/>
                    </w:rPr>
                  </w:pPr>
                </w:p>
              </w:tc>
              <w:tc>
                <w:tcPr>
                  <w:tcW w:w="459" w:type="pct"/>
                  <w:tcBorders>
                    <w:tl2br w:val="nil"/>
                    <w:tr2bl w:val="nil"/>
                  </w:tcBorders>
                  <w:shd w:val="clear" w:color="auto" w:fill="auto"/>
                  <w:noWrap/>
                  <w:vAlign w:val="center"/>
                </w:tcPr>
                <w:p w14:paraId="58281F60">
                  <w:pPr>
                    <w:pStyle w:val="26"/>
                    <w:keepNext w:val="0"/>
                    <w:keepLines w:val="0"/>
                    <w:suppressLineNumbers w:val="0"/>
                    <w:spacing w:before="0" w:beforeAutospacing="0" w:after="0" w:afterAutospacing="0"/>
                    <w:ind w:left="0" w:right="0"/>
                    <w:rPr>
                      <w:rFonts w:hint="default"/>
                    </w:rPr>
                  </w:pPr>
                  <w:r>
                    <w:rPr>
                      <w:rFonts w:hint="default"/>
                    </w:rPr>
                    <w:t>间歇</w:t>
                  </w:r>
                </w:p>
              </w:tc>
            </w:tr>
            <w:tr w14:paraId="779AE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restart"/>
                  <w:tcBorders>
                    <w:tl2br w:val="nil"/>
                    <w:tr2bl w:val="nil"/>
                  </w:tcBorders>
                  <w:shd w:val="clear" w:color="auto" w:fill="auto"/>
                  <w:noWrap/>
                  <w:vAlign w:val="center"/>
                </w:tcPr>
                <w:p w14:paraId="632E725B">
                  <w:pPr>
                    <w:pStyle w:val="26"/>
                    <w:keepNext w:val="0"/>
                    <w:keepLines w:val="0"/>
                    <w:suppressLineNumbers w:val="0"/>
                    <w:spacing w:before="0" w:beforeAutospacing="0" w:after="0" w:afterAutospacing="0"/>
                    <w:ind w:left="0" w:right="0"/>
                    <w:rPr>
                      <w:rFonts w:hint="default"/>
                    </w:rPr>
                  </w:pPr>
                  <w:r>
                    <w:rPr>
                      <w:rFonts w:hint="default"/>
                    </w:rPr>
                    <w:t>噪声</w:t>
                  </w:r>
                </w:p>
              </w:tc>
              <w:tc>
                <w:tcPr>
                  <w:tcW w:w="620" w:type="pct"/>
                  <w:tcBorders>
                    <w:tl2br w:val="nil"/>
                    <w:tr2bl w:val="nil"/>
                  </w:tcBorders>
                  <w:shd w:val="clear" w:color="auto" w:fill="auto"/>
                  <w:noWrap/>
                  <w:vAlign w:val="center"/>
                </w:tcPr>
                <w:p w14:paraId="1C11B243">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1391" w:type="pct"/>
                  <w:gridSpan w:val="2"/>
                  <w:tcBorders>
                    <w:tl2br w:val="nil"/>
                    <w:tr2bl w:val="nil"/>
                  </w:tcBorders>
                  <w:shd w:val="clear" w:color="auto" w:fill="auto"/>
                  <w:noWrap/>
                  <w:vAlign w:val="center"/>
                </w:tcPr>
                <w:p w14:paraId="5892D09B">
                  <w:pPr>
                    <w:pStyle w:val="26"/>
                    <w:keepNext w:val="0"/>
                    <w:keepLines w:val="0"/>
                    <w:suppressLineNumbers w:val="0"/>
                    <w:spacing w:before="0" w:beforeAutospacing="0" w:after="0" w:afterAutospacing="0"/>
                    <w:ind w:left="0" w:right="0"/>
                    <w:rPr>
                      <w:rFonts w:hint="default"/>
                    </w:rPr>
                  </w:pPr>
                  <w:r>
                    <w:rPr>
                      <w:rFonts w:hint="default"/>
                    </w:rPr>
                    <w:t>工艺设备运行噪声</w:t>
                  </w:r>
                </w:p>
              </w:tc>
              <w:tc>
                <w:tcPr>
                  <w:tcW w:w="2232" w:type="pct"/>
                  <w:tcBorders>
                    <w:tl2br w:val="nil"/>
                    <w:tr2bl w:val="nil"/>
                  </w:tcBorders>
                  <w:shd w:val="clear" w:color="auto" w:fill="auto"/>
                  <w:noWrap/>
                  <w:vAlign w:val="center"/>
                </w:tcPr>
                <w:p w14:paraId="4BD6CBE3">
                  <w:pPr>
                    <w:pStyle w:val="26"/>
                    <w:keepNext w:val="0"/>
                    <w:keepLines w:val="0"/>
                    <w:suppressLineNumbers w:val="0"/>
                    <w:spacing w:before="0" w:beforeAutospacing="0" w:after="0" w:afterAutospacing="0"/>
                    <w:ind w:left="0" w:right="0"/>
                    <w:rPr>
                      <w:rFonts w:hint="default"/>
                    </w:rPr>
                  </w:pPr>
                  <w:r>
                    <w:rPr>
                      <w:rFonts w:hint="default"/>
                    </w:rPr>
                    <w:t>提纯塔、造粒机、刮片机、粉碎机、筛分机、包装机等设备</w:t>
                  </w:r>
                </w:p>
              </w:tc>
              <w:tc>
                <w:tcPr>
                  <w:tcW w:w="459" w:type="pct"/>
                  <w:tcBorders>
                    <w:tl2br w:val="nil"/>
                    <w:tr2bl w:val="nil"/>
                  </w:tcBorders>
                  <w:shd w:val="clear" w:color="auto" w:fill="auto"/>
                  <w:noWrap/>
                  <w:vAlign w:val="center"/>
                </w:tcPr>
                <w:p w14:paraId="154909DE">
                  <w:pPr>
                    <w:pStyle w:val="26"/>
                    <w:keepNext w:val="0"/>
                    <w:keepLines w:val="0"/>
                    <w:suppressLineNumbers w:val="0"/>
                    <w:spacing w:before="0" w:beforeAutospacing="0" w:after="0" w:afterAutospacing="0"/>
                    <w:ind w:left="0" w:right="0"/>
                    <w:rPr>
                      <w:rFonts w:hint="default"/>
                    </w:rPr>
                  </w:pPr>
                  <w:r>
                    <w:rPr>
                      <w:rFonts w:hint="default"/>
                    </w:rPr>
                    <w:t>连续</w:t>
                  </w:r>
                </w:p>
              </w:tc>
            </w:tr>
            <w:tr w14:paraId="338E9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53DE0750">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4F70A4BC">
                  <w:pPr>
                    <w:pStyle w:val="26"/>
                    <w:keepNext w:val="0"/>
                    <w:keepLines w:val="0"/>
                    <w:suppressLineNumbers w:val="0"/>
                    <w:spacing w:before="0" w:beforeAutospacing="0" w:after="0" w:afterAutospacing="0"/>
                    <w:ind w:left="0" w:right="0"/>
                    <w:rPr>
                      <w:rFonts w:hint="default"/>
                    </w:rPr>
                  </w:pPr>
                  <w:r>
                    <w:rPr>
                      <w:rFonts w:hint="default"/>
                    </w:rPr>
                    <w:t>干冰车间</w:t>
                  </w:r>
                </w:p>
              </w:tc>
              <w:tc>
                <w:tcPr>
                  <w:tcW w:w="1391" w:type="pct"/>
                  <w:gridSpan w:val="2"/>
                  <w:tcBorders>
                    <w:tl2br w:val="nil"/>
                    <w:tr2bl w:val="nil"/>
                  </w:tcBorders>
                  <w:shd w:val="clear" w:color="auto" w:fill="auto"/>
                  <w:noWrap/>
                  <w:vAlign w:val="center"/>
                </w:tcPr>
                <w:p w14:paraId="18C8C471">
                  <w:pPr>
                    <w:pStyle w:val="26"/>
                    <w:keepNext w:val="0"/>
                    <w:keepLines w:val="0"/>
                    <w:suppressLineNumbers w:val="0"/>
                    <w:spacing w:before="0" w:beforeAutospacing="0" w:after="0" w:afterAutospacing="0"/>
                    <w:ind w:left="0" w:right="0"/>
                    <w:rPr>
                      <w:rFonts w:hint="default"/>
                    </w:rPr>
                  </w:pPr>
                  <w:r>
                    <w:rPr>
                      <w:rFonts w:hint="default"/>
                    </w:rPr>
                    <w:t>工艺设备运行噪声</w:t>
                  </w:r>
                </w:p>
              </w:tc>
              <w:tc>
                <w:tcPr>
                  <w:tcW w:w="2232" w:type="pct"/>
                  <w:tcBorders>
                    <w:tl2br w:val="nil"/>
                    <w:tr2bl w:val="nil"/>
                  </w:tcBorders>
                  <w:shd w:val="clear" w:color="auto" w:fill="auto"/>
                  <w:noWrap/>
                  <w:vAlign w:val="center"/>
                </w:tcPr>
                <w:p w14:paraId="2A173566">
                  <w:pPr>
                    <w:pStyle w:val="26"/>
                    <w:keepNext w:val="0"/>
                    <w:keepLines w:val="0"/>
                    <w:suppressLineNumbers w:val="0"/>
                    <w:spacing w:before="0" w:beforeAutospacing="0" w:after="0" w:afterAutospacing="0"/>
                    <w:ind w:left="0" w:right="0"/>
                    <w:rPr>
                      <w:rFonts w:hint="default"/>
                    </w:rPr>
                  </w:pPr>
                  <w:r>
                    <w:rPr>
                      <w:rFonts w:hint="default"/>
                    </w:rPr>
                    <w:t>干冰机、颗粒机、包装机等设备</w:t>
                  </w:r>
                </w:p>
              </w:tc>
              <w:tc>
                <w:tcPr>
                  <w:tcW w:w="459" w:type="pct"/>
                  <w:tcBorders>
                    <w:tl2br w:val="nil"/>
                    <w:tr2bl w:val="nil"/>
                  </w:tcBorders>
                  <w:shd w:val="clear" w:color="auto" w:fill="auto"/>
                  <w:noWrap/>
                  <w:vAlign w:val="center"/>
                </w:tcPr>
                <w:p w14:paraId="4EAA08C7">
                  <w:pPr>
                    <w:pStyle w:val="26"/>
                    <w:keepNext w:val="0"/>
                    <w:keepLines w:val="0"/>
                    <w:suppressLineNumbers w:val="0"/>
                    <w:spacing w:before="0" w:beforeAutospacing="0" w:after="0" w:afterAutospacing="0"/>
                    <w:ind w:left="0" w:right="0"/>
                    <w:rPr>
                      <w:rFonts w:hint="default"/>
                    </w:rPr>
                  </w:pPr>
                  <w:r>
                    <w:rPr>
                      <w:rFonts w:hint="default"/>
                    </w:rPr>
                    <w:t>连续</w:t>
                  </w:r>
                </w:p>
              </w:tc>
            </w:tr>
            <w:tr w14:paraId="60EAF8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234EE8F0">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72A5A078">
                  <w:pPr>
                    <w:pStyle w:val="26"/>
                    <w:keepNext w:val="0"/>
                    <w:keepLines w:val="0"/>
                    <w:suppressLineNumbers w:val="0"/>
                    <w:spacing w:before="0" w:beforeAutospacing="0" w:after="0" w:afterAutospacing="0"/>
                    <w:ind w:left="0" w:right="0"/>
                    <w:rPr>
                      <w:rFonts w:hint="default"/>
                    </w:rPr>
                  </w:pPr>
                  <w:r>
                    <w:rPr>
                      <w:rFonts w:hint="default"/>
                    </w:rPr>
                    <w:t>柴油撬装站</w:t>
                  </w:r>
                </w:p>
              </w:tc>
              <w:tc>
                <w:tcPr>
                  <w:tcW w:w="1391" w:type="pct"/>
                  <w:gridSpan w:val="2"/>
                  <w:tcBorders>
                    <w:tl2br w:val="nil"/>
                    <w:tr2bl w:val="nil"/>
                  </w:tcBorders>
                  <w:shd w:val="clear" w:color="auto" w:fill="auto"/>
                  <w:noWrap/>
                  <w:vAlign w:val="center"/>
                </w:tcPr>
                <w:p w14:paraId="01C364CF">
                  <w:pPr>
                    <w:pStyle w:val="26"/>
                    <w:keepNext w:val="0"/>
                    <w:keepLines w:val="0"/>
                    <w:suppressLineNumbers w:val="0"/>
                    <w:spacing w:before="0" w:beforeAutospacing="0" w:after="0" w:afterAutospacing="0"/>
                    <w:ind w:left="0" w:right="0"/>
                    <w:rPr>
                      <w:rFonts w:hint="default"/>
                    </w:rPr>
                  </w:pPr>
                  <w:r>
                    <w:rPr>
                      <w:rFonts w:hint="default"/>
                    </w:rPr>
                    <w:t>加油机、卸油泵运行噪声</w:t>
                  </w:r>
                </w:p>
              </w:tc>
              <w:tc>
                <w:tcPr>
                  <w:tcW w:w="2232" w:type="pct"/>
                  <w:tcBorders>
                    <w:tl2br w:val="nil"/>
                    <w:tr2bl w:val="nil"/>
                  </w:tcBorders>
                  <w:shd w:val="clear" w:color="auto" w:fill="auto"/>
                  <w:noWrap/>
                  <w:vAlign w:val="center"/>
                </w:tcPr>
                <w:p w14:paraId="70C62634">
                  <w:pPr>
                    <w:pStyle w:val="26"/>
                    <w:keepNext w:val="0"/>
                    <w:keepLines w:val="0"/>
                    <w:suppressLineNumbers w:val="0"/>
                    <w:spacing w:before="0" w:beforeAutospacing="0" w:after="0" w:afterAutospacing="0"/>
                    <w:ind w:left="0" w:right="0"/>
                    <w:rPr>
                      <w:rFonts w:hint="default"/>
                    </w:rPr>
                  </w:pPr>
                  <w:r>
                    <w:rPr>
                      <w:rFonts w:hint="default"/>
                    </w:rPr>
                    <w:t>加油机、卸油泵等设备</w:t>
                  </w:r>
                </w:p>
              </w:tc>
              <w:tc>
                <w:tcPr>
                  <w:tcW w:w="459" w:type="pct"/>
                  <w:tcBorders>
                    <w:tl2br w:val="nil"/>
                    <w:tr2bl w:val="nil"/>
                  </w:tcBorders>
                  <w:shd w:val="clear" w:color="auto" w:fill="auto"/>
                  <w:noWrap/>
                  <w:vAlign w:val="center"/>
                </w:tcPr>
                <w:p w14:paraId="37466106">
                  <w:pPr>
                    <w:pStyle w:val="26"/>
                    <w:keepNext w:val="0"/>
                    <w:keepLines w:val="0"/>
                    <w:suppressLineNumbers w:val="0"/>
                    <w:spacing w:before="0" w:beforeAutospacing="0" w:after="0" w:afterAutospacing="0"/>
                    <w:ind w:left="0" w:right="0"/>
                    <w:rPr>
                      <w:rFonts w:hint="default"/>
                    </w:rPr>
                  </w:pPr>
                  <w:r>
                    <w:rPr>
                      <w:rFonts w:hint="default"/>
                    </w:rPr>
                    <w:t>间歇</w:t>
                  </w:r>
                </w:p>
              </w:tc>
            </w:tr>
            <w:tr w14:paraId="06A9E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restart"/>
                  <w:tcBorders>
                    <w:tl2br w:val="nil"/>
                    <w:tr2bl w:val="nil"/>
                  </w:tcBorders>
                  <w:shd w:val="clear" w:color="auto" w:fill="auto"/>
                  <w:noWrap/>
                  <w:vAlign w:val="center"/>
                </w:tcPr>
                <w:p w14:paraId="1C03E100">
                  <w:pPr>
                    <w:pStyle w:val="26"/>
                    <w:keepNext w:val="0"/>
                    <w:keepLines w:val="0"/>
                    <w:suppressLineNumbers w:val="0"/>
                    <w:spacing w:before="0" w:beforeAutospacing="0" w:after="0" w:afterAutospacing="0"/>
                    <w:ind w:left="0" w:right="0"/>
                    <w:rPr>
                      <w:rFonts w:hint="default"/>
                    </w:rPr>
                  </w:pPr>
                  <w:r>
                    <w:rPr>
                      <w:rFonts w:hint="default"/>
                    </w:rPr>
                    <w:t>固废</w:t>
                  </w:r>
                </w:p>
              </w:tc>
              <w:tc>
                <w:tcPr>
                  <w:tcW w:w="620" w:type="pct"/>
                  <w:tcBorders>
                    <w:tl2br w:val="nil"/>
                    <w:tr2bl w:val="nil"/>
                  </w:tcBorders>
                  <w:shd w:val="clear" w:color="auto" w:fill="auto"/>
                  <w:noWrap/>
                  <w:vAlign w:val="center"/>
                </w:tcPr>
                <w:p w14:paraId="41BCE0A3">
                  <w:pPr>
                    <w:pStyle w:val="26"/>
                    <w:keepNext w:val="0"/>
                    <w:keepLines w:val="0"/>
                    <w:suppressLineNumbers w:val="0"/>
                    <w:spacing w:before="0" w:beforeAutospacing="0" w:after="0" w:afterAutospacing="0"/>
                    <w:ind w:left="0" w:right="0"/>
                    <w:rPr>
                      <w:rFonts w:hint="default"/>
                    </w:rPr>
                  </w:pPr>
                  <w:r>
                    <w:rPr>
                      <w:rFonts w:hint="default"/>
                    </w:rPr>
                    <w:t>综合办公楼</w:t>
                  </w:r>
                </w:p>
              </w:tc>
              <w:tc>
                <w:tcPr>
                  <w:tcW w:w="620" w:type="pct"/>
                  <w:tcBorders>
                    <w:tl2br w:val="nil"/>
                    <w:tr2bl w:val="nil"/>
                  </w:tcBorders>
                  <w:shd w:val="clear" w:color="auto" w:fill="auto"/>
                  <w:noWrap/>
                  <w:vAlign w:val="center"/>
                </w:tcPr>
                <w:p w14:paraId="00DC9B79">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1-1</w:t>
                  </w:r>
                </w:p>
              </w:tc>
              <w:tc>
                <w:tcPr>
                  <w:tcW w:w="771" w:type="pct"/>
                  <w:tcBorders>
                    <w:tl2br w:val="nil"/>
                    <w:tr2bl w:val="nil"/>
                  </w:tcBorders>
                  <w:shd w:val="clear" w:color="auto" w:fill="auto"/>
                  <w:noWrap/>
                  <w:vAlign w:val="center"/>
                </w:tcPr>
                <w:p w14:paraId="48CE471D">
                  <w:pPr>
                    <w:pStyle w:val="26"/>
                    <w:keepNext w:val="0"/>
                    <w:keepLines w:val="0"/>
                    <w:suppressLineNumbers w:val="0"/>
                    <w:spacing w:before="0" w:beforeAutospacing="0" w:after="0" w:afterAutospacing="0"/>
                    <w:ind w:left="0" w:right="0"/>
                    <w:rPr>
                      <w:rFonts w:hint="default"/>
                    </w:rPr>
                  </w:pPr>
                  <w:r>
                    <w:rPr>
                      <w:rFonts w:hint="default"/>
                    </w:rPr>
                    <w:t>办公生活</w:t>
                  </w:r>
                </w:p>
              </w:tc>
              <w:tc>
                <w:tcPr>
                  <w:tcW w:w="2232" w:type="pct"/>
                  <w:tcBorders>
                    <w:tl2br w:val="nil"/>
                    <w:tr2bl w:val="nil"/>
                  </w:tcBorders>
                  <w:shd w:val="clear" w:color="auto" w:fill="auto"/>
                  <w:noWrap/>
                  <w:vAlign w:val="center"/>
                </w:tcPr>
                <w:p w14:paraId="6406F44A">
                  <w:pPr>
                    <w:pStyle w:val="26"/>
                    <w:keepNext w:val="0"/>
                    <w:keepLines w:val="0"/>
                    <w:suppressLineNumbers w:val="0"/>
                    <w:spacing w:before="0" w:beforeAutospacing="0" w:after="0" w:afterAutospacing="0"/>
                    <w:ind w:left="0" w:right="0"/>
                    <w:rPr>
                      <w:rFonts w:hint="default"/>
                    </w:rPr>
                  </w:pPr>
                  <w:r>
                    <w:rPr>
                      <w:rFonts w:hint="default"/>
                    </w:rPr>
                    <w:t>生活垃圾</w:t>
                  </w:r>
                </w:p>
              </w:tc>
              <w:tc>
                <w:tcPr>
                  <w:tcW w:w="459" w:type="pct"/>
                  <w:tcBorders>
                    <w:tl2br w:val="nil"/>
                    <w:tr2bl w:val="nil"/>
                  </w:tcBorders>
                  <w:shd w:val="clear" w:color="auto" w:fill="auto"/>
                  <w:noWrap/>
                  <w:vAlign w:val="center"/>
                </w:tcPr>
                <w:p w14:paraId="07711DE6">
                  <w:pPr>
                    <w:pStyle w:val="26"/>
                    <w:keepNext w:val="0"/>
                    <w:keepLines w:val="0"/>
                    <w:suppressLineNumbers w:val="0"/>
                    <w:spacing w:before="0" w:beforeAutospacing="0" w:after="0" w:afterAutospacing="0"/>
                    <w:ind w:left="0" w:right="0"/>
                    <w:rPr>
                      <w:rFonts w:hint="default"/>
                    </w:rPr>
                  </w:pPr>
                  <w:r>
                    <w:rPr>
                      <w:rFonts w:hint="default"/>
                    </w:rPr>
                    <w:t>间歇</w:t>
                  </w:r>
                </w:p>
              </w:tc>
            </w:tr>
            <w:tr w14:paraId="180850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69AD90A5">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noWrap/>
                  <w:vAlign w:val="center"/>
                </w:tcPr>
                <w:p w14:paraId="122A52B4">
                  <w:pPr>
                    <w:pStyle w:val="26"/>
                    <w:keepNext w:val="0"/>
                    <w:keepLines w:val="0"/>
                    <w:suppressLineNumbers w:val="0"/>
                    <w:spacing w:before="0" w:beforeAutospacing="0" w:after="0" w:afterAutospacing="0"/>
                    <w:ind w:left="0" w:right="0"/>
                    <w:rPr>
                      <w:rFonts w:hint="default"/>
                    </w:rPr>
                  </w:pPr>
                  <w:r>
                    <w:rPr>
                      <w:rFonts w:hint="default"/>
                    </w:rPr>
                    <w:t>硫磺生产</w:t>
                  </w:r>
                </w:p>
              </w:tc>
              <w:tc>
                <w:tcPr>
                  <w:tcW w:w="620" w:type="pct"/>
                  <w:tcBorders>
                    <w:tl2br w:val="nil"/>
                    <w:tr2bl w:val="nil"/>
                  </w:tcBorders>
                  <w:shd w:val="clear" w:color="auto" w:fill="auto"/>
                  <w:noWrap/>
                  <w:vAlign w:val="center"/>
                </w:tcPr>
                <w:p w14:paraId="37812100">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1-2</w:t>
                  </w:r>
                </w:p>
              </w:tc>
              <w:tc>
                <w:tcPr>
                  <w:tcW w:w="771" w:type="pct"/>
                  <w:tcBorders>
                    <w:tl2br w:val="nil"/>
                    <w:tr2bl w:val="nil"/>
                  </w:tcBorders>
                  <w:shd w:val="clear" w:color="auto" w:fill="auto"/>
                  <w:noWrap/>
                  <w:vAlign w:val="center"/>
                </w:tcPr>
                <w:p w14:paraId="620FD690">
                  <w:pPr>
                    <w:pStyle w:val="26"/>
                    <w:keepNext w:val="0"/>
                    <w:keepLines w:val="0"/>
                    <w:suppressLineNumbers w:val="0"/>
                    <w:spacing w:before="0" w:beforeAutospacing="0" w:after="0" w:afterAutospacing="0"/>
                    <w:ind w:left="0" w:right="0"/>
                    <w:rPr>
                      <w:rFonts w:hint="default"/>
                    </w:rPr>
                  </w:pPr>
                  <w:r>
                    <w:rPr>
                      <w:rFonts w:hint="default"/>
                    </w:rPr>
                    <w:t>液硫沉淀</w:t>
                  </w:r>
                </w:p>
              </w:tc>
              <w:tc>
                <w:tcPr>
                  <w:tcW w:w="2232" w:type="pct"/>
                  <w:tcBorders>
                    <w:tl2br w:val="nil"/>
                    <w:tr2bl w:val="nil"/>
                  </w:tcBorders>
                  <w:shd w:val="clear" w:color="auto" w:fill="auto"/>
                  <w:noWrap/>
                  <w:vAlign w:val="center"/>
                </w:tcPr>
                <w:p w14:paraId="288CE853">
                  <w:pPr>
                    <w:pStyle w:val="26"/>
                    <w:keepNext w:val="0"/>
                    <w:keepLines w:val="0"/>
                    <w:suppressLineNumbers w:val="0"/>
                    <w:spacing w:before="0" w:beforeAutospacing="0" w:after="0" w:afterAutospacing="0"/>
                    <w:ind w:left="0" w:right="0"/>
                    <w:rPr>
                      <w:rFonts w:hint="default"/>
                    </w:rPr>
                  </w:pPr>
                  <w:r>
                    <w:rPr>
                      <w:rFonts w:hint="default"/>
                    </w:rPr>
                    <w:t>液硫池沉淀渣</w:t>
                  </w:r>
                </w:p>
              </w:tc>
              <w:tc>
                <w:tcPr>
                  <w:tcW w:w="459" w:type="pct"/>
                  <w:tcBorders>
                    <w:tl2br w:val="nil"/>
                    <w:tr2bl w:val="nil"/>
                  </w:tcBorders>
                  <w:shd w:val="clear" w:color="auto" w:fill="auto"/>
                  <w:noWrap/>
                  <w:vAlign w:val="center"/>
                </w:tcPr>
                <w:p w14:paraId="48366059">
                  <w:pPr>
                    <w:pStyle w:val="26"/>
                    <w:keepNext w:val="0"/>
                    <w:keepLines w:val="0"/>
                    <w:suppressLineNumbers w:val="0"/>
                    <w:spacing w:before="0" w:beforeAutospacing="0" w:after="0" w:afterAutospacing="0"/>
                    <w:ind w:left="0" w:right="0"/>
                    <w:rPr>
                      <w:rFonts w:hint="default"/>
                    </w:rPr>
                  </w:pPr>
                  <w:r>
                    <w:rPr>
                      <w:rFonts w:hint="default"/>
                    </w:rPr>
                    <w:t>间歇</w:t>
                  </w:r>
                </w:p>
              </w:tc>
            </w:tr>
            <w:tr w14:paraId="25720D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008934B2">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154510FF">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5D037174">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1-3</w:t>
                  </w:r>
                </w:p>
              </w:tc>
              <w:tc>
                <w:tcPr>
                  <w:tcW w:w="771" w:type="pct"/>
                  <w:tcBorders>
                    <w:tl2br w:val="nil"/>
                    <w:tr2bl w:val="nil"/>
                  </w:tcBorders>
                  <w:shd w:val="clear" w:color="auto" w:fill="auto"/>
                  <w:noWrap/>
                  <w:vAlign w:val="center"/>
                </w:tcPr>
                <w:p w14:paraId="41BDB60D">
                  <w:pPr>
                    <w:pStyle w:val="26"/>
                    <w:keepNext w:val="0"/>
                    <w:keepLines w:val="0"/>
                    <w:suppressLineNumbers w:val="0"/>
                    <w:spacing w:before="0" w:beforeAutospacing="0" w:after="0" w:afterAutospacing="0"/>
                    <w:ind w:left="0" w:right="0"/>
                    <w:rPr>
                      <w:rFonts w:hint="default"/>
                    </w:rPr>
                  </w:pPr>
                  <w:r>
                    <w:rPr>
                      <w:rFonts w:hint="default"/>
                    </w:rPr>
                    <w:t>湿法造粒</w:t>
                  </w:r>
                </w:p>
              </w:tc>
              <w:tc>
                <w:tcPr>
                  <w:tcW w:w="2232" w:type="pct"/>
                  <w:tcBorders>
                    <w:tl2br w:val="nil"/>
                    <w:tr2bl w:val="nil"/>
                  </w:tcBorders>
                  <w:shd w:val="clear" w:color="auto" w:fill="auto"/>
                  <w:noWrap/>
                  <w:vAlign w:val="center"/>
                </w:tcPr>
                <w:p w14:paraId="6F9CEFBE">
                  <w:pPr>
                    <w:pStyle w:val="26"/>
                    <w:keepNext w:val="0"/>
                    <w:keepLines w:val="0"/>
                    <w:suppressLineNumbers w:val="0"/>
                    <w:spacing w:before="0" w:beforeAutospacing="0" w:after="0" w:afterAutospacing="0"/>
                    <w:ind w:left="0" w:right="0"/>
                    <w:rPr>
                      <w:rFonts w:hint="default"/>
                    </w:rPr>
                  </w:pPr>
                  <w:r>
                    <w:rPr>
                      <w:rFonts w:hint="default"/>
                    </w:rPr>
                    <w:t>2#循环水池沉淀渣</w:t>
                  </w:r>
                </w:p>
              </w:tc>
              <w:tc>
                <w:tcPr>
                  <w:tcW w:w="459" w:type="pct"/>
                  <w:tcBorders>
                    <w:tl2br w:val="nil"/>
                    <w:tr2bl w:val="nil"/>
                  </w:tcBorders>
                  <w:shd w:val="clear" w:color="auto" w:fill="auto"/>
                  <w:noWrap/>
                  <w:vAlign w:val="center"/>
                </w:tcPr>
                <w:p w14:paraId="5108E911">
                  <w:pPr>
                    <w:pStyle w:val="26"/>
                    <w:keepNext w:val="0"/>
                    <w:keepLines w:val="0"/>
                    <w:suppressLineNumbers w:val="0"/>
                    <w:spacing w:before="0" w:beforeAutospacing="0" w:after="0" w:afterAutospacing="0"/>
                    <w:ind w:left="0" w:right="0"/>
                    <w:rPr>
                      <w:rFonts w:hint="default"/>
                    </w:rPr>
                  </w:pPr>
                  <w:r>
                    <w:rPr>
                      <w:rFonts w:hint="default"/>
                    </w:rPr>
                    <w:t>间歇</w:t>
                  </w:r>
                </w:p>
              </w:tc>
            </w:tr>
            <w:tr w14:paraId="23842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63290840">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433E5AC1">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2B0D6A3A">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1-4</w:t>
                  </w:r>
                </w:p>
              </w:tc>
              <w:tc>
                <w:tcPr>
                  <w:tcW w:w="771" w:type="pct"/>
                  <w:tcBorders>
                    <w:tl2br w:val="nil"/>
                    <w:tr2bl w:val="nil"/>
                  </w:tcBorders>
                  <w:shd w:val="clear" w:color="auto" w:fill="auto"/>
                  <w:noWrap/>
                  <w:vAlign w:val="center"/>
                </w:tcPr>
                <w:p w14:paraId="14176E69">
                  <w:pPr>
                    <w:pStyle w:val="26"/>
                    <w:keepNext w:val="0"/>
                    <w:keepLines w:val="0"/>
                    <w:suppressLineNumbers w:val="0"/>
                    <w:spacing w:before="0" w:beforeAutospacing="0" w:after="0" w:afterAutospacing="0"/>
                    <w:ind w:left="0" w:right="0"/>
                    <w:rPr>
                      <w:rFonts w:hint="default"/>
                    </w:rPr>
                  </w:pPr>
                  <w:r>
                    <w:rPr>
                      <w:rFonts w:hint="default"/>
                    </w:rPr>
                    <w:t>提纯塔</w:t>
                  </w:r>
                </w:p>
              </w:tc>
              <w:tc>
                <w:tcPr>
                  <w:tcW w:w="2232" w:type="pct"/>
                  <w:tcBorders>
                    <w:tl2br w:val="nil"/>
                    <w:tr2bl w:val="nil"/>
                  </w:tcBorders>
                  <w:shd w:val="clear" w:color="auto" w:fill="auto"/>
                  <w:noWrap/>
                  <w:vAlign w:val="center"/>
                </w:tcPr>
                <w:p w14:paraId="349C428E">
                  <w:pPr>
                    <w:pStyle w:val="26"/>
                    <w:keepNext w:val="0"/>
                    <w:keepLines w:val="0"/>
                    <w:suppressLineNumbers w:val="0"/>
                    <w:spacing w:before="0" w:beforeAutospacing="0" w:after="0" w:afterAutospacing="0"/>
                    <w:ind w:left="0" w:right="0"/>
                    <w:rPr>
                      <w:rFonts w:hint="default"/>
                    </w:rPr>
                  </w:pPr>
                  <w:r>
                    <w:rPr>
                      <w:rFonts w:hint="default"/>
                    </w:rPr>
                    <w:t>提纯塔过滤废滤芯</w:t>
                  </w:r>
                </w:p>
              </w:tc>
              <w:tc>
                <w:tcPr>
                  <w:tcW w:w="459" w:type="pct"/>
                  <w:tcBorders>
                    <w:tl2br w:val="nil"/>
                    <w:tr2bl w:val="nil"/>
                  </w:tcBorders>
                  <w:shd w:val="clear" w:color="auto" w:fill="auto"/>
                  <w:noWrap/>
                  <w:vAlign w:val="center"/>
                </w:tcPr>
                <w:p w14:paraId="4E64CE04">
                  <w:pPr>
                    <w:pStyle w:val="26"/>
                    <w:keepNext w:val="0"/>
                    <w:keepLines w:val="0"/>
                    <w:suppressLineNumbers w:val="0"/>
                    <w:spacing w:before="0" w:beforeAutospacing="0" w:after="0" w:afterAutospacing="0"/>
                    <w:ind w:left="0" w:right="0"/>
                    <w:rPr>
                      <w:rFonts w:hint="default"/>
                    </w:rPr>
                  </w:pPr>
                  <w:r>
                    <w:rPr>
                      <w:rFonts w:hint="default"/>
                    </w:rPr>
                    <w:t>间歇</w:t>
                  </w:r>
                </w:p>
              </w:tc>
            </w:tr>
            <w:tr w14:paraId="76A00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77A3B7CE">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noWrap/>
                  <w:vAlign w:val="center"/>
                </w:tcPr>
                <w:p w14:paraId="40207269">
                  <w:pPr>
                    <w:pStyle w:val="26"/>
                    <w:keepNext w:val="0"/>
                    <w:keepLines w:val="0"/>
                    <w:suppressLineNumbers w:val="0"/>
                    <w:spacing w:before="0" w:beforeAutospacing="0" w:after="0" w:afterAutospacing="0"/>
                    <w:ind w:left="0" w:right="0"/>
                    <w:rPr>
                      <w:rFonts w:hint="default"/>
                    </w:rPr>
                  </w:pPr>
                  <w:r>
                    <w:rPr>
                      <w:rFonts w:hint="default"/>
                    </w:rPr>
                    <w:t>废气治理设施</w:t>
                  </w:r>
                </w:p>
              </w:tc>
              <w:tc>
                <w:tcPr>
                  <w:tcW w:w="620" w:type="pct"/>
                  <w:tcBorders>
                    <w:tl2br w:val="nil"/>
                    <w:tr2bl w:val="nil"/>
                  </w:tcBorders>
                  <w:shd w:val="clear" w:color="auto" w:fill="auto"/>
                  <w:noWrap/>
                  <w:vAlign w:val="center"/>
                </w:tcPr>
                <w:p w14:paraId="17DDED06">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1-5</w:t>
                  </w:r>
                </w:p>
              </w:tc>
              <w:tc>
                <w:tcPr>
                  <w:tcW w:w="771" w:type="pct"/>
                  <w:vMerge w:val="restart"/>
                  <w:tcBorders>
                    <w:tl2br w:val="nil"/>
                    <w:tr2bl w:val="nil"/>
                  </w:tcBorders>
                  <w:shd w:val="clear" w:color="auto" w:fill="auto"/>
                  <w:noWrap/>
                  <w:vAlign w:val="center"/>
                </w:tcPr>
                <w:p w14:paraId="20B9D87A">
                  <w:pPr>
                    <w:pStyle w:val="26"/>
                    <w:keepNext w:val="0"/>
                    <w:keepLines w:val="0"/>
                    <w:suppressLineNumbers w:val="0"/>
                    <w:spacing w:before="0" w:beforeAutospacing="0" w:after="0" w:afterAutospacing="0"/>
                    <w:ind w:left="0" w:right="0"/>
                    <w:rPr>
                      <w:rFonts w:hint="default"/>
                    </w:rPr>
                  </w:pPr>
                  <w:r>
                    <w:rPr>
                      <w:rFonts w:hint="default"/>
                    </w:rPr>
                    <w:t>废气治理</w:t>
                  </w:r>
                </w:p>
              </w:tc>
              <w:tc>
                <w:tcPr>
                  <w:tcW w:w="2232" w:type="pct"/>
                  <w:tcBorders>
                    <w:tl2br w:val="nil"/>
                    <w:tr2bl w:val="nil"/>
                  </w:tcBorders>
                  <w:shd w:val="clear" w:color="auto" w:fill="auto"/>
                  <w:noWrap/>
                  <w:vAlign w:val="center"/>
                </w:tcPr>
                <w:p w14:paraId="3A67BD3B">
                  <w:pPr>
                    <w:pStyle w:val="26"/>
                    <w:keepNext w:val="0"/>
                    <w:keepLines w:val="0"/>
                    <w:suppressLineNumbers w:val="0"/>
                    <w:spacing w:before="0" w:beforeAutospacing="0" w:after="0" w:afterAutospacing="0"/>
                    <w:ind w:left="0" w:right="0"/>
                    <w:rPr>
                      <w:rFonts w:hint="default"/>
                    </w:rPr>
                  </w:pPr>
                  <w:r>
                    <w:rPr>
                      <w:rFonts w:hint="default"/>
                    </w:rPr>
                    <w:t>水膜循环池沉淀渣</w:t>
                  </w:r>
                </w:p>
              </w:tc>
              <w:tc>
                <w:tcPr>
                  <w:tcW w:w="459" w:type="pct"/>
                  <w:tcBorders>
                    <w:tl2br w:val="nil"/>
                    <w:tr2bl w:val="nil"/>
                  </w:tcBorders>
                  <w:shd w:val="clear" w:color="auto" w:fill="auto"/>
                  <w:noWrap/>
                  <w:vAlign w:val="center"/>
                </w:tcPr>
                <w:p w14:paraId="1ECC3F20">
                  <w:pPr>
                    <w:pStyle w:val="26"/>
                    <w:keepNext w:val="0"/>
                    <w:keepLines w:val="0"/>
                    <w:suppressLineNumbers w:val="0"/>
                    <w:spacing w:before="0" w:beforeAutospacing="0" w:after="0" w:afterAutospacing="0"/>
                    <w:ind w:left="0" w:right="0"/>
                    <w:rPr>
                      <w:rFonts w:hint="default"/>
                    </w:rPr>
                  </w:pPr>
                  <w:r>
                    <w:rPr>
                      <w:rFonts w:hint="default"/>
                    </w:rPr>
                    <w:t>间歇</w:t>
                  </w:r>
                </w:p>
              </w:tc>
            </w:tr>
            <w:tr w14:paraId="307F8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1B57240D">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03CF8334">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56BC4B8C">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1-6</w:t>
                  </w:r>
                </w:p>
              </w:tc>
              <w:tc>
                <w:tcPr>
                  <w:tcW w:w="771" w:type="pct"/>
                  <w:vMerge w:val="continue"/>
                  <w:tcBorders>
                    <w:tl2br w:val="nil"/>
                    <w:tr2bl w:val="nil"/>
                  </w:tcBorders>
                  <w:shd w:val="clear" w:color="auto" w:fill="auto"/>
                  <w:noWrap/>
                  <w:vAlign w:val="center"/>
                </w:tcPr>
                <w:p w14:paraId="3EB0887B">
                  <w:pPr>
                    <w:pStyle w:val="26"/>
                    <w:keepNext w:val="0"/>
                    <w:keepLines w:val="0"/>
                    <w:suppressLineNumbers w:val="0"/>
                    <w:spacing w:before="0" w:beforeAutospacing="0" w:after="0" w:afterAutospacing="0"/>
                    <w:ind w:left="0" w:right="0"/>
                    <w:rPr>
                      <w:rFonts w:hint="default"/>
                    </w:rPr>
                  </w:pPr>
                </w:p>
              </w:tc>
              <w:tc>
                <w:tcPr>
                  <w:tcW w:w="2232" w:type="pct"/>
                  <w:tcBorders>
                    <w:tl2br w:val="nil"/>
                    <w:tr2bl w:val="nil"/>
                  </w:tcBorders>
                  <w:shd w:val="clear" w:color="auto" w:fill="auto"/>
                  <w:noWrap/>
                  <w:vAlign w:val="center"/>
                </w:tcPr>
                <w:p w14:paraId="5708A1EC">
                  <w:pPr>
                    <w:pStyle w:val="26"/>
                    <w:keepNext w:val="0"/>
                    <w:keepLines w:val="0"/>
                    <w:suppressLineNumbers w:val="0"/>
                    <w:spacing w:before="0" w:beforeAutospacing="0" w:after="0" w:afterAutospacing="0"/>
                    <w:ind w:left="0" w:right="0"/>
                    <w:rPr>
                      <w:rFonts w:hint="default"/>
                    </w:rPr>
                  </w:pPr>
                  <w:r>
                    <w:rPr>
                      <w:rFonts w:hint="eastAsia"/>
                    </w:rPr>
                    <w:t>水膜除尘液（废碱液）</w:t>
                  </w:r>
                </w:p>
              </w:tc>
              <w:tc>
                <w:tcPr>
                  <w:tcW w:w="459" w:type="pct"/>
                  <w:tcBorders>
                    <w:tl2br w:val="nil"/>
                    <w:tr2bl w:val="nil"/>
                  </w:tcBorders>
                  <w:shd w:val="clear" w:color="auto" w:fill="auto"/>
                  <w:noWrap/>
                  <w:vAlign w:val="center"/>
                </w:tcPr>
                <w:p w14:paraId="6DC090D5">
                  <w:pPr>
                    <w:pStyle w:val="26"/>
                    <w:keepNext w:val="0"/>
                    <w:keepLines w:val="0"/>
                    <w:suppressLineNumbers w:val="0"/>
                    <w:spacing w:before="0" w:beforeAutospacing="0" w:after="0" w:afterAutospacing="0"/>
                    <w:ind w:left="0" w:right="0"/>
                    <w:rPr>
                      <w:rFonts w:hint="default"/>
                    </w:rPr>
                  </w:pPr>
                  <w:r>
                    <w:rPr>
                      <w:rFonts w:hint="default"/>
                    </w:rPr>
                    <w:t>间歇</w:t>
                  </w:r>
                </w:p>
              </w:tc>
            </w:tr>
            <w:tr w14:paraId="4D614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720FC283">
                  <w:pPr>
                    <w:pStyle w:val="26"/>
                    <w:keepNext w:val="0"/>
                    <w:keepLines w:val="0"/>
                    <w:suppressLineNumbers w:val="0"/>
                    <w:spacing w:before="0" w:beforeAutospacing="0" w:after="0" w:afterAutospacing="0"/>
                    <w:ind w:left="0" w:right="0"/>
                    <w:rPr>
                      <w:rFonts w:hint="default"/>
                    </w:rPr>
                  </w:pPr>
                </w:p>
              </w:tc>
              <w:tc>
                <w:tcPr>
                  <w:tcW w:w="620" w:type="pct"/>
                  <w:vMerge w:val="restart"/>
                  <w:tcBorders>
                    <w:tl2br w:val="nil"/>
                    <w:tr2bl w:val="nil"/>
                  </w:tcBorders>
                  <w:shd w:val="clear" w:color="auto" w:fill="auto"/>
                  <w:noWrap/>
                  <w:vAlign w:val="center"/>
                </w:tcPr>
                <w:p w14:paraId="1596DA9F">
                  <w:pPr>
                    <w:pStyle w:val="26"/>
                    <w:keepNext w:val="0"/>
                    <w:keepLines w:val="0"/>
                    <w:suppressLineNumbers w:val="0"/>
                    <w:spacing w:before="0" w:beforeAutospacing="0" w:after="0" w:afterAutospacing="0"/>
                    <w:ind w:left="0" w:right="0"/>
                    <w:rPr>
                      <w:rFonts w:hint="default"/>
                    </w:rPr>
                  </w:pPr>
                  <w:r>
                    <w:rPr>
                      <w:rFonts w:hint="default"/>
                    </w:rPr>
                    <w:t>公用工程</w:t>
                  </w:r>
                </w:p>
              </w:tc>
              <w:tc>
                <w:tcPr>
                  <w:tcW w:w="620" w:type="pct"/>
                  <w:tcBorders>
                    <w:tl2br w:val="nil"/>
                    <w:tr2bl w:val="nil"/>
                  </w:tcBorders>
                  <w:shd w:val="clear" w:color="auto" w:fill="auto"/>
                  <w:noWrap/>
                  <w:vAlign w:val="center"/>
                </w:tcPr>
                <w:p w14:paraId="645B64D8">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1-7</w:t>
                  </w:r>
                </w:p>
              </w:tc>
              <w:tc>
                <w:tcPr>
                  <w:tcW w:w="771" w:type="pct"/>
                  <w:tcBorders>
                    <w:tl2br w:val="nil"/>
                    <w:tr2bl w:val="nil"/>
                  </w:tcBorders>
                  <w:shd w:val="clear" w:color="auto" w:fill="auto"/>
                  <w:noWrap/>
                  <w:vAlign w:val="center"/>
                </w:tcPr>
                <w:p w14:paraId="4058ED8E">
                  <w:pPr>
                    <w:pStyle w:val="26"/>
                    <w:keepNext w:val="0"/>
                    <w:keepLines w:val="0"/>
                    <w:suppressLineNumbers w:val="0"/>
                    <w:spacing w:before="0" w:beforeAutospacing="0" w:after="0" w:afterAutospacing="0"/>
                    <w:ind w:left="0" w:right="0"/>
                    <w:rPr>
                      <w:rFonts w:hint="default"/>
                    </w:rPr>
                  </w:pPr>
                  <w:r>
                    <w:rPr>
                      <w:rFonts w:hint="default"/>
                    </w:rPr>
                    <w:t>柴油撬装站</w:t>
                  </w:r>
                </w:p>
              </w:tc>
              <w:tc>
                <w:tcPr>
                  <w:tcW w:w="2232" w:type="pct"/>
                  <w:tcBorders>
                    <w:tl2br w:val="nil"/>
                    <w:tr2bl w:val="nil"/>
                  </w:tcBorders>
                  <w:shd w:val="clear" w:color="auto" w:fill="auto"/>
                  <w:noWrap/>
                  <w:vAlign w:val="center"/>
                </w:tcPr>
                <w:p w14:paraId="743546BB">
                  <w:pPr>
                    <w:pStyle w:val="26"/>
                    <w:keepNext w:val="0"/>
                    <w:keepLines w:val="0"/>
                    <w:suppressLineNumbers w:val="0"/>
                    <w:spacing w:before="0" w:beforeAutospacing="0" w:after="0" w:afterAutospacing="0"/>
                    <w:ind w:left="0" w:right="0"/>
                    <w:rPr>
                      <w:rFonts w:hint="default"/>
                    </w:rPr>
                  </w:pPr>
                  <w:r>
                    <w:rPr>
                      <w:rFonts w:hint="default"/>
                    </w:rPr>
                    <w:t>清罐废物</w:t>
                  </w:r>
                </w:p>
              </w:tc>
              <w:tc>
                <w:tcPr>
                  <w:tcW w:w="459" w:type="pct"/>
                  <w:tcBorders>
                    <w:tl2br w:val="nil"/>
                    <w:tr2bl w:val="nil"/>
                  </w:tcBorders>
                  <w:shd w:val="clear" w:color="auto" w:fill="auto"/>
                  <w:noWrap/>
                  <w:vAlign w:val="center"/>
                </w:tcPr>
                <w:p w14:paraId="56B574A3">
                  <w:pPr>
                    <w:pStyle w:val="26"/>
                    <w:keepNext w:val="0"/>
                    <w:keepLines w:val="0"/>
                    <w:suppressLineNumbers w:val="0"/>
                    <w:spacing w:before="0" w:beforeAutospacing="0" w:after="0" w:afterAutospacing="0"/>
                    <w:ind w:left="0" w:right="0"/>
                    <w:rPr>
                      <w:rFonts w:hint="default"/>
                    </w:rPr>
                  </w:pPr>
                  <w:r>
                    <w:rPr>
                      <w:rFonts w:hint="default"/>
                    </w:rPr>
                    <w:t>间歇</w:t>
                  </w:r>
                </w:p>
              </w:tc>
            </w:tr>
            <w:tr w14:paraId="1F492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4BA4E2A3">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23EF1529">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3407F18E">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1-8</w:t>
                  </w:r>
                </w:p>
              </w:tc>
              <w:tc>
                <w:tcPr>
                  <w:tcW w:w="771" w:type="pct"/>
                  <w:tcBorders>
                    <w:tl2br w:val="nil"/>
                    <w:tr2bl w:val="nil"/>
                  </w:tcBorders>
                  <w:shd w:val="clear" w:color="auto" w:fill="auto"/>
                  <w:noWrap/>
                  <w:vAlign w:val="center"/>
                </w:tcPr>
                <w:p w14:paraId="4DA99D08">
                  <w:pPr>
                    <w:pStyle w:val="26"/>
                    <w:keepNext w:val="0"/>
                    <w:keepLines w:val="0"/>
                    <w:suppressLineNumbers w:val="0"/>
                    <w:spacing w:before="0" w:beforeAutospacing="0" w:after="0" w:afterAutospacing="0"/>
                    <w:ind w:left="0" w:right="0"/>
                    <w:rPr>
                      <w:rFonts w:hint="default"/>
                    </w:rPr>
                  </w:pPr>
                  <w:r>
                    <w:rPr>
                      <w:rFonts w:hint="default"/>
                    </w:rPr>
                    <w:t>软水制备</w:t>
                  </w:r>
                </w:p>
              </w:tc>
              <w:tc>
                <w:tcPr>
                  <w:tcW w:w="2232" w:type="pct"/>
                  <w:tcBorders>
                    <w:tl2br w:val="nil"/>
                    <w:tr2bl w:val="nil"/>
                  </w:tcBorders>
                  <w:shd w:val="clear" w:color="auto" w:fill="auto"/>
                  <w:noWrap/>
                  <w:vAlign w:val="center"/>
                </w:tcPr>
                <w:p w14:paraId="0A2E1D73">
                  <w:pPr>
                    <w:pStyle w:val="26"/>
                    <w:keepNext w:val="0"/>
                    <w:keepLines w:val="0"/>
                    <w:suppressLineNumbers w:val="0"/>
                    <w:spacing w:before="0" w:beforeAutospacing="0" w:after="0" w:afterAutospacing="0"/>
                    <w:ind w:left="0" w:right="0"/>
                    <w:rPr>
                      <w:rFonts w:hint="default"/>
                    </w:rPr>
                  </w:pPr>
                  <w:r>
                    <w:rPr>
                      <w:rFonts w:hint="default"/>
                    </w:rPr>
                    <w:t>废离子交换树脂</w:t>
                  </w:r>
                </w:p>
              </w:tc>
              <w:tc>
                <w:tcPr>
                  <w:tcW w:w="459" w:type="pct"/>
                  <w:tcBorders>
                    <w:tl2br w:val="nil"/>
                    <w:tr2bl w:val="nil"/>
                  </w:tcBorders>
                  <w:shd w:val="clear" w:color="auto" w:fill="auto"/>
                  <w:noWrap/>
                  <w:vAlign w:val="center"/>
                </w:tcPr>
                <w:p w14:paraId="5D551430">
                  <w:pPr>
                    <w:pStyle w:val="26"/>
                    <w:keepNext w:val="0"/>
                    <w:keepLines w:val="0"/>
                    <w:suppressLineNumbers w:val="0"/>
                    <w:spacing w:before="0" w:beforeAutospacing="0" w:after="0" w:afterAutospacing="0"/>
                    <w:ind w:left="0" w:right="0"/>
                    <w:rPr>
                      <w:rFonts w:hint="default"/>
                    </w:rPr>
                  </w:pPr>
                  <w:r>
                    <w:rPr>
                      <w:rFonts w:hint="default"/>
                    </w:rPr>
                    <w:t>间歇</w:t>
                  </w:r>
                </w:p>
              </w:tc>
            </w:tr>
            <w:tr w14:paraId="7C40F0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298" w:type="pct"/>
                  <w:vMerge w:val="continue"/>
                  <w:tcBorders>
                    <w:tl2br w:val="nil"/>
                    <w:tr2bl w:val="nil"/>
                  </w:tcBorders>
                  <w:shd w:val="clear" w:color="auto" w:fill="auto"/>
                  <w:noWrap/>
                  <w:vAlign w:val="center"/>
                </w:tcPr>
                <w:p w14:paraId="2AD3CE46">
                  <w:pPr>
                    <w:pStyle w:val="26"/>
                    <w:keepNext w:val="0"/>
                    <w:keepLines w:val="0"/>
                    <w:suppressLineNumbers w:val="0"/>
                    <w:spacing w:before="0" w:beforeAutospacing="0" w:after="0" w:afterAutospacing="0"/>
                    <w:ind w:left="0" w:right="0"/>
                    <w:rPr>
                      <w:rFonts w:hint="default"/>
                    </w:rPr>
                  </w:pPr>
                </w:p>
              </w:tc>
              <w:tc>
                <w:tcPr>
                  <w:tcW w:w="620" w:type="pct"/>
                  <w:vMerge w:val="continue"/>
                  <w:tcBorders>
                    <w:tl2br w:val="nil"/>
                    <w:tr2bl w:val="nil"/>
                  </w:tcBorders>
                  <w:shd w:val="clear" w:color="auto" w:fill="auto"/>
                  <w:noWrap/>
                  <w:vAlign w:val="center"/>
                </w:tcPr>
                <w:p w14:paraId="7EB9F137">
                  <w:pPr>
                    <w:pStyle w:val="26"/>
                    <w:keepNext w:val="0"/>
                    <w:keepLines w:val="0"/>
                    <w:suppressLineNumbers w:val="0"/>
                    <w:spacing w:before="0" w:beforeAutospacing="0" w:after="0" w:afterAutospacing="0"/>
                    <w:ind w:left="0" w:right="0"/>
                    <w:rPr>
                      <w:rFonts w:hint="default"/>
                    </w:rPr>
                  </w:pPr>
                </w:p>
              </w:tc>
              <w:tc>
                <w:tcPr>
                  <w:tcW w:w="620" w:type="pct"/>
                  <w:tcBorders>
                    <w:tl2br w:val="nil"/>
                    <w:tr2bl w:val="nil"/>
                  </w:tcBorders>
                  <w:shd w:val="clear" w:color="auto" w:fill="auto"/>
                  <w:noWrap/>
                  <w:vAlign w:val="center"/>
                </w:tcPr>
                <w:p w14:paraId="45AABC20">
                  <w:pPr>
                    <w:pStyle w:val="26"/>
                    <w:keepNext w:val="0"/>
                    <w:keepLines w:val="0"/>
                    <w:suppressLineNumbers w:val="0"/>
                    <w:spacing w:before="0" w:beforeAutospacing="0" w:after="0" w:afterAutospacing="0"/>
                    <w:ind w:left="0" w:right="0"/>
                    <w:rPr>
                      <w:rFonts w:hint="default"/>
                    </w:rPr>
                  </w:pPr>
                  <w:r>
                    <w:rPr>
                      <w:rFonts w:hint="default"/>
                    </w:rPr>
                    <w:t>S</w:t>
                  </w:r>
                  <w:r>
                    <w:rPr>
                      <w:rFonts w:hint="default"/>
                      <w:vertAlign w:val="subscript"/>
                    </w:rPr>
                    <w:t>1-9</w:t>
                  </w:r>
                </w:p>
              </w:tc>
              <w:tc>
                <w:tcPr>
                  <w:tcW w:w="771" w:type="pct"/>
                  <w:tcBorders>
                    <w:tl2br w:val="nil"/>
                    <w:tr2bl w:val="nil"/>
                  </w:tcBorders>
                  <w:shd w:val="clear" w:color="auto" w:fill="auto"/>
                  <w:noWrap/>
                  <w:vAlign w:val="center"/>
                </w:tcPr>
                <w:p w14:paraId="2C1F08E8">
                  <w:pPr>
                    <w:pStyle w:val="26"/>
                    <w:keepNext w:val="0"/>
                    <w:keepLines w:val="0"/>
                    <w:suppressLineNumbers w:val="0"/>
                    <w:spacing w:before="0" w:beforeAutospacing="0" w:after="0" w:afterAutospacing="0"/>
                    <w:ind w:left="0" w:right="0"/>
                    <w:rPr>
                      <w:rFonts w:hint="default"/>
                    </w:rPr>
                  </w:pPr>
                  <w:r>
                    <w:rPr>
                      <w:rFonts w:hint="default"/>
                    </w:rPr>
                    <w:t>维修等</w:t>
                  </w:r>
                </w:p>
              </w:tc>
              <w:tc>
                <w:tcPr>
                  <w:tcW w:w="2232" w:type="pct"/>
                  <w:tcBorders>
                    <w:tl2br w:val="nil"/>
                    <w:tr2bl w:val="nil"/>
                  </w:tcBorders>
                  <w:shd w:val="clear" w:color="auto" w:fill="auto"/>
                  <w:noWrap/>
                  <w:vAlign w:val="center"/>
                </w:tcPr>
                <w:p w14:paraId="40292D11">
                  <w:pPr>
                    <w:pStyle w:val="26"/>
                    <w:keepNext w:val="0"/>
                    <w:keepLines w:val="0"/>
                    <w:suppressLineNumbers w:val="0"/>
                    <w:spacing w:before="0" w:beforeAutospacing="0" w:after="0" w:afterAutospacing="0"/>
                    <w:ind w:left="0" w:right="0"/>
                    <w:rPr>
                      <w:rFonts w:hint="default"/>
                    </w:rPr>
                  </w:pPr>
                  <w:r>
                    <w:rPr>
                      <w:rFonts w:hint="default"/>
                    </w:rPr>
                    <w:t>废润滑油、废油桶、废含油手套及抹布</w:t>
                  </w:r>
                </w:p>
              </w:tc>
              <w:tc>
                <w:tcPr>
                  <w:tcW w:w="459" w:type="pct"/>
                  <w:tcBorders>
                    <w:tl2br w:val="nil"/>
                    <w:tr2bl w:val="nil"/>
                  </w:tcBorders>
                  <w:shd w:val="clear" w:color="auto" w:fill="auto"/>
                  <w:noWrap/>
                  <w:vAlign w:val="center"/>
                </w:tcPr>
                <w:p w14:paraId="021002DA">
                  <w:pPr>
                    <w:pStyle w:val="26"/>
                    <w:keepNext w:val="0"/>
                    <w:keepLines w:val="0"/>
                    <w:suppressLineNumbers w:val="0"/>
                    <w:spacing w:before="0" w:beforeAutospacing="0" w:after="0" w:afterAutospacing="0"/>
                    <w:ind w:left="0" w:right="0"/>
                    <w:rPr>
                      <w:rFonts w:hint="default"/>
                    </w:rPr>
                  </w:pPr>
                  <w:r>
                    <w:rPr>
                      <w:rFonts w:hint="default"/>
                    </w:rPr>
                    <w:t>间歇</w:t>
                  </w:r>
                </w:p>
              </w:tc>
            </w:tr>
          </w:tbl>
          <w:p w14:paraId="2B63A4F9">
            <w:pPr>
              <w:keepNext w:val="0"/>
              <w:keepLines w:val="0"/>
              <w:suppressLineNumbers w:val="0"/>
              <w:spacing w:before="0" w:beforeAutospacing="0" w:after="0" w:afterAutospacing="0" w:line="200" w:lineRule="exact"/>
              <w:ind w:left="0" w:right="0" w:firstLine="480"/>
              <w:rPr>
                <w:rFonts w:hint="default" w:cs="Times New Roman"/>
                <w:color w:val="auto"/>
              </w:rPr>
            </w:pPr>
          </w:p>
          <w:p w14:paraId="66A8330C">
            <w:pPr>
              <w:keepNext w:val="0"/>
              <w:keepLines w:val="0"/>
              <w:suppressLineNumbers w:val="0"/>
              <w:spacing w:before="0" w:beforeAutospacing="0" w:after="0" w:afterAutospacing="0" w:line="200" w:lineRule="exact"/>
              <w:ind w:left="0" w:right="0" w:firstLine="480"/>
              <w:rPr>
                <w:rFonts w:hint="default" w:cs="Times New Roman"/>
                <w:color w:val="auto"/>
              </w:rPr>
            </w:pPr>
          </w:p>
          <w:p w14:paraId="7594A75C">
            <w:pPr>
              <w:keepNext w:val="0"/>
              <w:keepLines w:val="0"/>
              <w:suppressLineNumbers w:val="0"/>
              <w:spacing w:before="0" w:beforeAutospacing="0" w:after="0" w:afterAutospacing="0"/>
              <w:ind w:left="0" w:right="0" w:firstLine="480"/>
              <w:rPr>
                <w:rFonts w:hint="default" w:cs="Times New Roman"/>
                <w:color w:val="auto"/>
              </w:rPr>
            </w:pPr>
          </w:p>
        </w:tc>
      </w:tr>
      <w:tr w14:paraId="50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0" w:hRule="atLeast"/>
        </w:trPr>
        <w:tc>
          <w:tcPr>
            <w:tcW w:w="338" w:type="pct"/>
            <w:vAlign w:val="center"/>
          </w:tcPr>
          <w:p w14:paraId="142A41F6">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与本项目有关的原有污染情况及主要环境问题</w:t>
            </w:r>
          </w:p>
        </w:tc>
        <w:tc>
          <w:tcPr>
            <w:tcW w:w="4662" w:type="pct"/>
            <w:vAlign w:val="center"/>
          </w:tcPr>
          <w:p w14:paraId="5E9F509F">
            <w:pPr>
              <w:keepNext w:val="0"/>
              <w:keepLines w:val="0"/>
              <w:suppressLineNumbers w:val="0"/>
              <w:snapToGrid w:val="0"/>
              <w:spacing w:before="163" w:beforeLines="50" w:beforeAutospacing="0" w:after="0" w:afterAutospacing="0"/>
              <w:ind w:left="0" w:right="0" w:firstLine="480"/>
              <w:rPr>
                <w:rFonts w:hint="default" w:cs="Times New Roman"/>
                <w:b/>
                <w:bCs/>
                <w:color w:val="auto"/>
              </w:rPr>
            </w:pPr>
            <w:r>
              <w:rPr>
                <w:rFonts w:hint="default" w:cs="Times New Roman"/>
                <w:color w:val="auto"/>
              </w:rPr>
              <w:t>本项目建设性质为新建，现状为待建空地，无原有问题存在。</w:t>
            </w:r>
          </w:p>
        </w:tc>
      </w:tr>
    </w:tbl>
    <w:p w14:paraId="74874ADE">
      <w:pPr>
        <w:ind w:firstLine="480"/>
        <w:rPr>
          <w:rFonts w:cs="Times New Roman"/>
          <w:color w:val="auto"/>
        </w:rPr>
        <w:sectPr>
          <w:pgSz w:w="11906" w:h="16838"/>
          <w:pgMar w:top="1440" w:right="1797" w:bottom="1440" w:left="1797" w:header="851" w:footer="992" w:gutter="0"/>
          <w:cols w:space="425" w:num="1"/>
          <w:docGrid w:type="lines" w:linePitch="326" w:charSpace="0"/>
        </w:sectPr>
      </w:pPr>
    </w:p>
    <w:p w14:paraId="514249BC">
      <w:pPr>
        <w:pStyle w:val="2"/>
        <w:ind w:firstLine="602"/>
        <w:rPr>
          <w:rFonts w:cs="Times New Roman"/>
          <w:color w:val="auto"/>
        </w:rPr>
      </w:pPr>
      <w:r>
        <w:rPr>
          <w:rFonts w:cs="Times New Roman"/>
          <w:color w:val="auto"/>
          <w:sz w:val="30"/>
          <w:szCs w:val="30"/>
        </w:rPr>
        <w:t>三、区域环境质量现状、环境保护目标及评价标准</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7813"/>
      </w:tblGrid>
      <w:tr w14:paraId="5EAA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126A5FB5">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区域环境质量现状</w:t>
            </w:r>
          </w:p>
        </w:tc>
        <w:tc>
          <w:tcPr>
            <w:tcW w:w="4548" w:type="pct"/>
            <w:vAlign w:val="center"/>
          </w:tcPr>
          <w:p w14:paraId="1B533462">
            <w:pPr>
              <w:keepNext w:val="0"/>
              <w:keepLines w:val="0"/>
              <w:suppressLineNumbers w:val="0"/>
              <w:spacing w:before="0" w:beforeAutospacing="0" w:after="0" w:afterAutospacing="0"/>
              <w:ind w:left="0" w:right="0" w:firstLine="482"/>
              <w:rPr>
                <w:rFonts w:hint="default" w:cs="Times New Roman"/>
                <w:color w:val="auto"/>
              </w:rPr>
            </w:pPr>
            <w:r>
              <w:rPr>
                <w:rFonts w:hint="default" w:cs="Times New Roman"/>
                <w:b/>
                <w:bCs/>
                <w:color w:val="auto"/>
              </w:rPr>
              <w:t>一、环境空气质量</w:t>
            </w:r>
          </w:p>
          <w:p w14:paraId="60C00B13">
            <w:pPr>
              <w:keepNext w:val="0"/>
              <w:keepLines w:val="0"/>
              <w:suppressLineNumbers w:val="0"/>
              <w:spacing w:before="0" w:beforeAutospacing="0" w:after="0" w:afterAutospacing="0"/>
              <w:ind w:left="0" w:right="0" w:firstLine="470" w:firstLineChars="196"/>
              <w:rPr>
                <w:rFonts w:hint="default" w:cs="Times New Roman"/>
                <w:color w:val="auto"/>
              </w:rPr>
            </w:pPr>
            <w:r>
              <w:rPr>
                <w:rFonts w:hint="default" w:cs="Times New Roman"/>
                <w:color w:val="auto"/>
              </w:rPr>
              <w:t>（1）环境空气质量区域达标判定</w:t>
            </w:r>
          </w:p>
          <w:p w14:paraId="6620291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影响报告表编制技术指南（污染影响类）（试行）》，本次环评需调查项目所在区域大气环境质量达标情况。根据《环境影响评价导则大气环境》（HJ2.2-2018）中有关基本污染物环境质量数据的规定，可优先采用国家或地方生态环境部门公布的评价基准年（近3年中1个完整日历年）环境质量公告或环境质量报告中的数据或结论。</w:t>
            </w:r>
          </w:p>
          <w:p w14:paraId="0BC2B19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根据达州市生态环境局于2025年1月24日公开发布的《达州市2024年环境空气质量状况》，宣汉县2024年SO</w:t>
            </w:r>
            <w:r>
              <w:rPr>
                <w:rFonts w:hint="default" w:cs="Times New Roman"/>
                <w:color w:val="auto"/>
                <w:vertAlign w:val="subscript"/>
              </w:rPr>
              <w:t>2</w:t>
            </w:r>
            <w:r>
              <w:rPr>
                <w:rFonts w:hint="default" w:cs="Times New Roman"/>
                <w:color w:val="auto"/>
              </w:rPr>
              <w:t>平均浓度为7μg/m</w:t>
            </w:r>
            <w:r>
              <w:rPr>
                <w:rFonts w:hint="default" w:cs="Times New Roman"/>
                <w:color w:val="auto"/>
                <w:vertAlign w:val="superscript"/>
              </w:rPr>
              <w:t>3</w:t>
            </w:r>
            <w:r>
              <w:rPr>
                <w:rFonts w:hint="default" w:cs="Times New Roman"/>
                <w:color w:val="auto"/>
              </w:rPr>
              <w:t>，NO</w:t>
            </w:r>
            <w:r>
              <w:rPr>
                <w:rFonts w:hint="default" w:cs="Times New Roman"/>
                <w:color w:val="auto"/>
                <w:vertAlign w:val="subscript"/>
              </w:rPr>
              <w:t>2</w:t>
            </w:r>
            <w:r>
              <w:rPr>
                <w:rFonts w:hint="default" w:cs="Times New Roman"/>
                <w:color w:val="auto"/>
              </w:rPr>
              <w:t>平均浓度为18μg/m</w:t>
            </w:r>
            <w:r>
              <w:rPr>
                <w:rFonts w:hint="default" w:cs="Times New Roman"/>
                <w:color w:val="auto"/>
                <w:vertAlign w:val="superscript"/>
              </w:rPr>
              <w:t>3</w:t>
            </w:r>
            <w:r>
              <w:rPr>
                <w:rFonts w:hint="default" w:cs="Times New Roman"/>
                <w:color w:val="auto"/>
              </w:rPr>
              <w:t>，CO平均浓度为1.1mg/m</w:t>
            </w:r>
            <w:r>
              <w:rPr>
                <w:rFonts w:hint="default" w:cs="Times New Roman"/>
                <w:color w:val="auto"/>
                <w:vertAlign w:val="superscript"/>
              </w:rPr>
              <w:t>3</w:t>
            </w:r>
            <w:r>
              <w:rPr>
                <w:rFonts w:hint="default" w:cs="Times New Roman"/>
                <w:color w:val="auto"/>
              </w:rPr>
              <w:t>，O</w:t>
            </w:r>
            <w:r>
              <w:rPr>
                <w:rFonts w:hint="default" w:cs="Times New Roman"/>
                <w:color w:val="auto"/>
                <w:vertAlign w:val="subscript"/>
              </w:rPr>
              <w:t>3</w:t>
            </w:r>
            <w:r>
              <w:rPr>
                <w:rFonts w:hint="default" w:cs="Times New Roman"/>
                <w:color w:val="auto"/>
              </w:rPr>
              <w:t>平均浓度为122μg/m</w:t>
            </w:r>
            <w:r>
              <w:rPr>
                <w:rFonts w:hint="default" w:cs="Times New Roman"/>
                <w:color w:val="auto"/>
                <w:vertAlign w:val="superscript"/>
              </w:rPr>
              <w:t>3</w:t>
            </w:r>
            <w:r>
              <w:rPr>
                <w:rFonts w:hint="default" w:cs="Times New Roman"/>
                <w:color w:val="auto"/>
              </w:rPr>
              <w:t>，PM</w:t>
            </w:r>
            <w:r>
              <w:rPr>
                <w:rFonts w:hint="default" w:cs="Times New Roman"/>
                <w:color w:val="auto"/>
                <w:vertAlign w:val="subscript"/>
              </w:rPr>
              <w:t>2.5</w:t>
            </w:r>
            <w:r>
              <w:rPr>
                <w:rFonts w:hint="default" w:cs="Times New Roman"/>
                <w:color w:val="auto"/>
              </w:rPr>
              <w:t>平均浓度为27μg/m</w:t>
            </w:r>
            <w:r>
              <w:rPr>
                <w:rFonts w:hint="default" w:cs="Times New Roman"/>
                <w:color w:val="auto"/>
                <w:vertAlign w:val="superscript"/>
              </w:rPr>
              <w:t>3</w:t>
            </w:r>
            <w:r>
              <w:rPr>
                <w:rFonts w:hint="default" w:cs="Times New Roman"/>
                <w:color w:val="auto"/>
              </w:rPr>
              <w:t>，PM</w:t>
            </w:r>
            <w:r>
              <w:rPr>
                <w:rFonts w:hint="default" w:cs="Times New Roman"/>
                <w:color w:val="auto"/>
                <w:vertAlign w:val="subscript"/>
              </w:rPr>
              <w:t>10</w:t>
            </w:r>
            <w:r>
              <w:rPr>
                <w:rFonts w:hint="default" w:cs="Times New Roman"/>
                <w:color w:val="auto"/>
              </w:rPr>
              <w:t>平均浓度为48μg/m</w:t>
            </w:r>
            <w:r>
              <w:rPr>
                <w:rFonts w:hint="default" w:cs="Times New Roman"/>
                <w:color w:val="auto"/>
                <w:vertAlign w:val="superscript"/>
              </w:rPr>
              <w:t>3</w:t>
            </w:r>
            <w:r>
              <w:rPr>
                <w:rFonts w:hint="default" w:cs="Times New Roman"/>
                <w:color w:val="auto"/>
              </w:rPr>
              <w:t>。</w:t>
            </w:r>
          </w:p>
          <w:p w14:paraId="4B1C961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空气质量达标区判定情况见下表：</w:t>
            </w:r>
          </w:p>
          <w:p w14:paraId="6BA1077E">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2024年达州市宣汉县大气污染物监测结果</w:t>
            </w:r>
          </w:p>
          <w:tbl>
            <w:tblPr>
              <w:tblStyle w:val="18"/>
              <w:tblW w:w="75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610"/>
              <w:gridCol w:w="1180"/>
              <w:gridCol w:w="1170"/>
              <w:gridCol w:w="980"/>
              <w:gridCol w:w="679"/>
            </w:tblGrid>
            <w:tr w14:paraId="4612ED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283A0C95">
                  <w:pPr>
                    <w:pStyle w:val="28"/>
                    <w:keepNext w:val="0"/>
                    <w:keepLines w:val="0"/>
                    <w:suppressLineNumbers w:val="0"/>
                    <w:spacing w:before="0" w:beforeAutospacing="0" w:after="0" w:afterAutospacing="0"/>
                    <w:ind w:left="0" w:right="0"/>
                    <w:rPr>
                      <w:rFonts w:hint="default"/>
                      <w:color w:val="auto"/>
                    </w:rPr>
                  </w:pPr>
                  <w:r>
                    <w:rPr>
                      <w:rFonts w:hint="default"/>
                      <w:color w:val="auto"/>
                    </w:rPr>
                    <w:t>污染物</w:t>
                  </w:r>
                </w:p>
              </w:tc>
              <w:tc>
                <w:tcPr>
                  <w:tcW w:w="2610" w:type="dxa"/>
                  <w:vAlign w:val="center"/>
                </w:tcPr>
                <w:p w14:paraId="1E294582">
                  <w:pPr>
                    <w:pStyle w:val="28"/>
                    <w:keepNext w:val="0"/>
                    <w:keepLines w:val="0"/>
                    <w:suppressLineNumbers w:val="0"/>
                    <w:spacing w:before="0" w:beforeAutospacing="0" w:after="0" w:afterAutospacing="0"/>
                    <w:ind w:left="0" w:right="0"/>
                    <w:rPr>
                      <w:rFonts w:hint="default"/>
                      <w:color w:val="auto"/>
                    </w:rPr>
                  </w:pPr>
                  <w:r>
                    <w:rPr>
                      <w:rFonts w:hint="default"/>
                      <w:color w:val="auto"/>
                    </w:rPr>
                    <w:t>年评价指标</w:t>
                  </w:r>
                </w:p>
              </w:tc>
              <w:tc>
                <w:tcPr>
                  <w:tcW w:w="1180" w:type="dxa"/>
                  <w:vAlign w:val="center"/>
                </w:tcPr>
                <w:p w14:paraId="46292069">
                  <w:pPr>
                    <w:pStyle w:val="28"/>
                    <w:keepNext w:val="0"/>
                    <w:keepLines w:val="0"/>
                    <w:suppressLineNumbers w:val="0"/>
                    <w:spacing w:before="0" w:beforeAutospacing="0" w:after="0" w:afterAutospacing="0"/>
                    <w:ind w:left="0" w:right="0"/>
                    <w:rPr>
                      <w:rFonts w:hint="default"/>
                      <w:color w:val="auto"/>
                    </w:rPr>
                  </w:pPr>
                  <w:r>
                    <w:rPr>
                      <w:rFonts w:hint="default"/>
                      <w:color w:val="auto"/>
                    </w:rPr>
                    <w:t>现状浓度（μg/m</w:t>
                  </w:r>
                  <w:r>
                    <w:rPr>
                      <w:rFonts w:hint="default"/>
                      <w:color w:val="auto"/>
                      <w:vertAlign w:val="superscript"/>
                    </w:rPr>
                    <w:t>3</w:t>
                  </w:r>
                  <w:r>
                    <w:rPr>
                      <w:rFonts w:hint="default"/>
                      <w:color w:val="auto"/>
                    </w:rPr>
                    <w:t>）</w:t>
                  </w:r>
                </w:p>
              </w:tc>
              <w:tc>
                <w:tcPr>
                  <w:tcW w:w="1170" w:type="dxa"/>
                  <w:vAlign w:val="center"/>
                </w:tcPr>
                <w:p w14:paraId="2F58C18A">
                  <w:pPr>
                    <w:pStyle w:val="28"/>
                    <w:keepNext w:val="0"/>
                    <w:keepLines w:val="0"/>
                    <w:suppressLineNumbers w:val="0"/>
                    <w:spacing w:before="0" w:beforeAutospacing="0" w:after="0" w:afterAutospacing="0"/>
                    <w:ind w:left="0" w:right="0"/>
                    <w:rPr>
                      <w:rFonts w:hint="default"/>
                      <w:color w:val="auto"/>
                    </w:rPr>
                  </w:pPr>
                  <w:r>
                    <w:rPr>
                      <w:rFonts w:hint="default"/>
                      <w:color w:val="auto"/>
                    </w:rPr>
                    <w:t>标准值（μg/m</w:t>
                  </w:r>
                  <w:r>
                    <w:rPr>
                      <w:rFonts w:hint="default"/>
                      <w:color w:val="auto"/>
                      <w:vertAlign w:val="superscript"/>
                    </w:rPr>
                    <w:t>3</w:t>
                  </w:r>
                  <w:r>
                    <w:rPr>
                      <w:rFonts w:hint="default"/>
                      <w:color w:val="auto"/>
                    </w:rPr>
                    <w:t>）</w:t>
                  </w:r>
                </w:p>
              </w:tc>
              <w:tc>
                <w:tcPr>
                  <w:tcW w:w="980" w:type="dxa"/>
                  <w:vAlign w:val="center"/>
                </w:tcPr>
                <w:p w14:paraId="430A2B17">
                  <w:pPr>
                    <w:pStyle w:val="28"/>
                    <w:keepNext w:val="0"/>
                    <w:keepLines w:val="0"/>
                    <w:suppressLineNumbers w:val="0"/>
                    <w:spacing w:before="0" w:beforeAutospacing="0" w:after="0" w:afterAutospacing="0"/>
                    <w:ind w:left="0" w:right="0"/>
                    <w:rPr>
                      <w:rFonts w:hint="default"/>
                      <w:color w:val="auto"/>
                    </w:rPr>
                  </w:pPr>
                  <w:r>
                    <w:rPr>
                      <w:rFonts w:hint="default"/>
                      <w:color w:val="auto"/>
                    </w:rPr>
                    <w:t>指标率（%）</w:t>
                  </w:r>
                </w:p>
              </w:tc>
              <w:tc>
                <w:tcPr>
                  <w:tcW w:w="679" w:type="dxa"/>
                  <w:vAlign w:val="center"/>
                </w:tcPr>
                <w:p w14:paraId="188D1651">
                  <w:pPr>
                    <w:pStyle w:val="28"/>
                    <w:keepNext w:val="0"/>
                    <w:keepLines w:val="0"/>
                    <w:suppressLineNumbers w:val="0"/>
                    <w:spacing w:before="0" w:beforeAutospacing="0" w:after="0" w:afterAutospacing="0"/>
                    <w:ind w:left="0" w:right="0"/>
                    <w:rPr>
                      <w:rFonts w:hint="default"/>
                      <w:color w:val="auto"/>
                    </w:rPr>
                  </w:pPr>
                  <w:r>
                    <w:rPr>
                      <w:rFonts w:hint="default"/>
                      <w:color w:val="auto"/>
                    </w:rPr>
                    <w:t>达标情况</w:t>
                  </w:r>
                </w:p>
              </w:tc>
            </w:tr>
            <w:tr w14:paraId="00E5D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70B56B41">
                  <w:pPr>
                    <w:pStyle w:val="28"/>
                    <w:keepNext w:val="0"/>
                    <w:keepLines w:val="0"/>
                    <w:suppressLineNumbers w:val="0"/>
                    <w:spacing w:before="0" w:beforeAutospacing="0" w:after="0" w:afterAutospacing="0"/>
                    <w:ind w:left="0" w:right="0"/>
                    <w:rPr>
                      <w:rFonts w:hint="default"/>
                      <w:color w:val="auto"/>
                    </w:rPr>
                  </w:pPr>
                  <w:r>
                    <w:rPr>
                      <w:rFonts w:hint="default"/>
                      <w:color w:val="auto"/>
                    </w:rPr>
                    <w:t>SO</w:t>
                  </w:r>
                  <w:r>
                    <w:rPr>
                      <w:rFonts w:hint="default"/>
                      <w:color w:val="auto"/>
                      <w:vertAlign w:val="subscript"/>
                    </w:rPr>
                    <w:t>2</w:t>
                  </w:r>
                </w:p>
              </w:tc>
              <w:tc>
                <w:tcPr>
                  <w:tcW w:w="2610" w:type="dxa"/>
                  <w:vAlign w:val="center"/>
                </w:tcPr>
                <w:p w14:paraId="45A336F3">
                  <w:pPr>
                    <w:pStyle w:val="28"/>
                    <w:keepNext w:val="0"/>
                    <w:keepLines w:val="0"/>
                    <w:suppressLineNumbers w:val="0"/>
                    <w:spacing w:before="0" w:beforeAutospacing="0" w:after="0" w:afterAutospacing="0"/>
                    <w:ind w:left="0" w:right="0"/>
                    <w:rPr>
                      <w:rFonts w:hint="default"/>
                      <w:color w:val="auto"/>
                    </w:rPr>
                  </w:pPr>
                  <w:r>
                    <w:rPr>
                      <w:rFonts w:hint="default"/>
                      <w:color w:val="auto"/>
                    </w:rPr>
                    <w:t>年平均</w:t>
                  </w:r>
                </w:p>
              </w:tc>
              <w:tc>
                <w:tcPr>
                  <w:tcW w:w="1180" w:type="dxa"/>
                  <w:vAlign w:val="center"/>
                </w:tcPr>
                <w:p w14:paraId="225AD6CF">
                  <w:pPr>
                    <w:pStyle w:val="28"/>
                    <w:keepNext w:val="0"/>
                    <w:keepLines w:val="0"/>
                    <w:suppressLineNumbers w:val="0"/>
                    <w:spacing w:before="0" w:beforeAutospacing="0" w:after="0" w:afterAutospacing="0"/>
                    <w:ind w:left="0" w:right="0"/>
                    <w:rPr>
                      <w:rFonts w:hint="default"/>
                      <w:color w:val="auto"/>
                    </w:rPr>
                  </w:pPr>
                  <w:r>
                    <w:rPr>
                      <w:rFonts w:hint="default"/>
                      <w:color w:val="auto"/>
                    </w:rPr>
                    <w:t>7</w:t>
                  </w:r>
                </w:p>
              </w:tc>
              <w:tc>
                <w:tcPr>
                  <w:tcW w:w="1170" w:type="dxa"/>
                  <w:vAlign w:val="center"/>
                </w:tcPr>
                <w:p w14:paraId="1802F6AA">
                  <w:pPr>
                    <w:pStyle w:val="28"/>
                    <w:keepNext w:val="0"/>
                    <w:keepLines w:val="0"/>
                    <w:suppressLineNumbers w:val="0"/>
                    <w:spacing w:before="0" w:beforeAutospacing="0" w:after="0" w:afterAutospacing="0"/>
                    <w:ind w:left="0" w:right="0"/>
                    <w:rPr>
                      <w:rFonts w:hint="default"/>
                      <w:color w:val="auto"/>
                    </w:rPr>
                  </w:pPr>
                  <w:r>
                    <w:rPr>
                      <w:rFonts w:hint="default"/>
                      <w:color w:val="auto"/>
                    </w:rPr>
                    <w:t>60</w:t>
                  </w:r>
                </w:p>
              </w:tc>
              <w:tc>
                <w:tcPr>
                  <w:tcW w:w="980" w:type="dxa"/>
                  <w:vAlign w:val="center"/>
                </w:tcPr>
                <w:p w14:paraId="3A031A62">
                  <w:pPr>
                    <w:pStyle w:val="28"/>
                    <w:keepNext w:val="0"/>
                    <w:keepLines w:val="0"/>
                    <w:suppressLineNumbers w:val="0"/>
                    <w:spacing w:before="0" w:beforeAutospacing="0" w:after="0" w:afterAutospacing="0"/>
                    <w:ind w:left="0" w:right="0"/>
                    <w:rPr>
                      <w:rFonts w:hint="default"/>
                      <w:color w:val="auto"/>
                    </w:rPr>
                  </w:pPr>
                  <w:r>
                    <w:rPr>
                      <w:rFonts w:hint="default"/>
                      <w:color w:val="auto"/>
                    </w:rPr>
                    <w:t>11.67</w:t>
                  </w:r>
                </w:p>
              </w:tc>
              <w:tc>
                <w:tcPr>
                  <w:tcW w:w="679" w:type="dxa"/>
                  <w:vAlign w:val="center"/>
                </w:tcPr>
                <w:p w14:paraId="3937D677">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19DD5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629BA8C7">
                  <w:pPr>
                    <w:pStyle w:val="28"/>
                    <w:keepNext w:val="0"/>
                    <w:keepLines w:val="0"/>
                    <w:suppressLineNumbers w:val="0"/>
                    <w:spacing w:before="0" w:beforeAutospacing="0" w:after="0" w:afterAutospacing="0"/>
                    <w:ind w:left="0" w:right="0"/>
                    <w:rPr>
                      <w:rFonts w:hint="default"/>
                      <w:color w:val="auto"/>
                    </w:rPr>
                  </w:pPr>
                  <w:r>
                    <w:rPr>
                      <w:rFonts w:hint="default"/>
                      <w:color w:val="auto"/>
                    </w:rPr>
                    <w:t>NO</w:t>
                  </w:r>
                  <w:r>
                    <w:rPr>
                      <w:rFonts w:hint="default"/>
                      <w:color w:val="auto"/>
                      <w:vertAlign w:val="subscript"/>
                    </w:rPr>
                    <w:t>2</w:t>
                  </w:r>
                </w:p>
              </w:tc>
              <w:tc>
                <w:tcPr>
                  <w:tcW w:w="2610" w:type="dxa"/>
                  <w:vAlign w:val="center"/>
                </w:tcPr>
                <w:p w14:paraId="188D6D52">
                  <w:pPr>
                    <w:pStyle w:val="28"/>
                    <w:keepNext w:val="0"/>
                    <w:keepLines w:val="0"/>
                    <w:suppressLineNumbers w:val="0"/>
                    <w:spacing w:before="0" w:beforeAutospacing="0" w:after="0" w:afterAutospacing="0"/>
                    <w:ind w:left="0" w:right="0"/>
                    <w:rPr>
                      <w:rFonts w:hint="default"/>
                      <w:color w:val="auto"/>
                    </w:rPr>
                  </w:pPr>
                  <w:r>
                    <w:rPr>
                      <w:rFonts w:hint="default"/>
                      <w:color w:val="auto"/>
                    </w:rPr>
                    <w:t>年平均</w:t>
                  </w:r>
                </w:p>
              </w:tc>
              <w:tc>
                <w:tcPr>
                  <w:tcW w:w="1180" w:type="dxa"/>
                  <w:vAlign w:val="center"/>
                </w:tcPr>
                <w:p w14:paraId="38C626F1">
                  <w:pPr>
                    <w:pStyle w:val="28"/>
                    <w:keepNext w:val="0"/>
                    <w:keepLines w:val="0"/>
                    <w:suppressLineNumbers w:val="0"/>
                    <w:spacing w:before="0" w:beforeAutospacing="0" w:after="0" w:afterAutospacing="0"/>
                    <w:ind w:left="0" w:right="0"/>
                    <w:rPr>
                      <w:rFonts w:hint="default"/>
                      <w:color w:val="auto"/>
                    </w:rPr>
                  </w:pPr>
                  <w:r>
                    <w:rPr>
                      <w:rFonts w:hint="default"/>
                      <w:color w:val="auto"/>
                    </w:rPr>
                    <w:t>18</w:t>
                  </w:r>
                </w:p>
              </w:tc>
              <w:tc>
                <w:tcPr>
                  <w:tcW w:w="1170" w:type="dxa"/>
                  <w:vAlign w:val="center"/>
                </w:tcPr>
                <w:p w14:paraId="160EFED4">
                  <w:pPr>
                    <w:pStyle w:val="28"/>
                    <w:keepNext w:val="0"/>
                    <w:keepLines w:val="0"/>
                    <w:suppressLineNumbers w:val="0"/>
                    <w:spacing w:before="0" w:beforeAutospacing="0" w:after="0" w:afterAutospacing="0"/>
                    <w:ind w:left="0" w:right="0"/>
                    <w:rPr>
                      <w:rFonts w:hint="default"/>
                      <w:color w:val="auto"/>
                    </w:rPr>
                  </w:pPr>
                  <w:r>
                    <w:rPr>
                      <w:rFonts w:hint="default"/>
                      <w:color w:val="auto"/>
                    </w:rPr>
                    <w:t>40</w:t>
                  </w:r>
                </w:p>
              </w:tc>
              <w:tc>
                <w:tcPr>
                  <w:tcW w:w="980" w:type="dxa"/>
                  <w:vAlign w:val="center"/>
                </w:tcPr>
                <w:p w14:paraId="1078E4E6">
                  <w:pPr>
                    <w:pStyle w:val="28"/>
                    <w:keepNext w:val="0"/>
                    <w:keepLines w:val="0"/>
                    <w:suppressLineNumbers w:val="0"/>
                    <w:spacing w:before="0" w:beforeAutospacing="0" w:after="0" w:afterAutospacing="0"/>
                    <w:ind w:left="0" w:right="0"/>
                    <w:rPr>
                      <w:rFonts w:hint="default"/>
                      <w:color w:val="auto"/>
                    </w:rPr>
                  </w:pPr>
                  <w:r>
                    <w:rPr>
                      <w:rFonts w:hint="default"/>
                      <w:color w:val="auto"/>
                    </w:rPr>
                    <w:t>45</w:t>
                  </w:r>
                </w:p>
              </w:tc>
              <w:tc>
                <w:tcPr>
                  <w:tcW w:w="679" w:type="dxa"/>
                  <w:vAlign w:val="center"/>
                </w:tcPr>
                <w:p w14:paraId="32FF70F3">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560F99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7B25CCEC">
                  <w:pPr>
                    <w:pStyle w:val="28"/>
                    <w:keepNext w:val="0"/>
                    <w:keepLines w:val="0"/>
                    <w:suppressLineNumbers w:val="0"/>
                    <w:spacing w:before="0" w:beforeAutospacing="0" w:after="0" w:afterAutospacing="0"/>
                    <w:ind w:left="0" w:right="0"/>
                    <w:rPr>
                      <w:rFonts w:hint="default"/>
                      <w:color w:val="auto"/>
                    </w:rPr>
                  </w:pPr>
                  <w:r>
                    <w:rPr>
                      <w:rFonts w:hint="default"/>
                      <w:color w:val="auto"/>
                    </w:rPr>
                    <w:t>CO</w:t>
                  </w:r>
                </w:p>
              </w:tc>
              <w:tc>
                <w:tcPr>
                  <w:tcW w:w="2610" w:type="dxa"/>
                  <w:vAlign w:val="center"/>
                </w:tcPr>
                <w:p w14:paraId="476B9D3B">
                  <w:pPr>
                    <w:pStyle w:val="28"/>
                    <w:keepNext w:val="0"/>
                    <w:keepLines w:val="0"/>
                    <w:suppressLineNumbers w:val="0"/>
                    <w:spacing w:before="0" w:beforeAutospacing="0" w:after="0" w:afterAutospacing="0"/>
                    <w:ind w:left="0" w:right="0"/>
                    <w:rPr>
                      <w:rFonts w:hint="default"/>
                      <w:color w:val="auto"/>
                    </w:rPr>
                  </w:pPr>
                  <w:r>
                    <w:rPr>
                      <w:rFonts w:hint="default"/>
                      <w:color w:val="auto"/>
                    </w:rPr>
                    <w:t>24小时平均第95百分位数</w:t>
                  </w:r>
                </w:p>
              </w:tc>
              <w:tc>
                <w:tcPr>
                  <w:tcW w:w="1180" w:type="dxa"/>
                  <w:vAlign w:val="center"/>
                </w:tcPr>
                <w:p w14:paraId="20492878">
                  <w:pPr>
                    <w:pStyle w:val="28"/>
                    <w:keepNext w:val="0"/>
                    <w:keepLines w:val="0"/>
                    <w:suppressLineNumbers w:val="0"/>
                    <w:spacing w:before="0" w:beforeAutospacing="0" w:after="0" w:afterAutospacing="0"/>
                    <w:ind w:left="0" w:right="0"/>
                    <w:rPr>
                      <w:rFonts w:hint="default"/>
                      <w:color w:val="auto"/>
                    </w:rPr>
                  </w:pPr>
                  <w:r>
                    <w:rPr>
                      <w:rFonts w:hint="default"/>
                      <w:color w:val="auto"/>
                    </w:rPr>
                    <w:t>1.1mg/m</w:t>
                  </w:r>
                  <w:r>
                    <w:rPr>
                      <w:rFonts w:hint="default"/>
                      <w:color w:val="auto"/>
                      <w:vertAlign w:val="superscript"/>
                    </w:rPr>
                    <w:t>3</w:t>
                  </w:r>
                </w:p>
              </w:tc>
              <w:tc>
                <w:tcPr>
                  <w:tcW w:w="1170" w:type="dxa"/>
                  <w:vAlign w:val="center"/>
                </w:tcPr>
                <w:p w14:paraId="62B3896D">
                  <w:pPr>
                    <w:pStyle w:val="28"/>
                    <w:keepNext w:val="0"/>
                    <w:keepLines w:val="0"/>
                    <w:suppressLineNumbers w:val="0"/>
                    <w:spacing w:before="0" w:beforeAutospacing="0" w:after="0" w:afterAutospacing="0"/>
                    <w:ind w:left="0" w:right="0"/>
                    <w:rPr>
                      <w:rFonts w:hint="default"/>
                      <w:color w:val="auto"/>
                    </w:rPr>
                  </w:pPr>
                  <w:r>
                    <w:rPr>
                      <w:rFonts w:hint="default"/>
                      <w:color w:val="auto"/>
                    </w:rPr>
                    <w:t>4mg/m</w:t>
                  </w:r>
                  <w:r>
                    <w:rPr>
                      <w:rFonts w:hint="default"/>
                      <w:color w:val="auto"/>
                      <w:vertAlign w:val="superscript"/>
                    </w:rPr>
                    <w:t>3</w:t>
                  </w:r>
                </w:p>
              </w:tc>
              <w:tc>
                <w:tcPr>
                  <w:tcW w:w="980" w:type="dxa"/>
                  <w:vAlign w:val="center"/>
                </w:tcPr>
                <w:p w14:paraId="473DD65E">
                  <w:pPr>
                    <w:pStyle w:val="28"/>
                    <w:keepNext w:val="0"/>
                    <w:keepLines w:val="0"/>
                    <w:suppressLineNumbers w:val="0"/>
                    <w:spacing w:before="0" w:beforeAutospacing="0" w:after="0" w:afterAutospacing="0"/>
                    <w:ind w:left="0" w:right="0"/>
                    <w:rPr>
                      <w:rFonts w:hint="default"/>
                      <w:color w:val="auto"/>
                    </w:rPr>
                  </w:pPr>
                  <w:r>
                    <w:rPr>
                      <w:rFonts w:hint="default"/>
                      <w:color w:val="auto"/>
                    </w:rPr>
                    <w:t>27.5</w:t>
                  </w:r>
                </w:p>
              </w:tc>
              <w:tc>
                <w:tcPr>
                  <w:tcW w:w="679" w:type="dxa"/>
                  <w:vAlign w:val="center"/>
                </w:tcPr>
                <w:p w14:paraId="7C713409">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5FFA0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6902B6B1">
                  <w:pPr>
                    <w:pStyle w:val="28"/>
                    <w:keepNext w:val="0"/>
                    <w:keepLines w:val="0"/>
                    <w:suppressLineNumbers w:val="0"/>
                    <w:spacing w:before="0" w:beforeAutospacing="0" w:after="0" w:afterAutospacing="0"/>
                    <w:ind w:left="0" w:right="0"/>
                    <w:rPr>
                      <w:rFonts w:hint="default"/>
                      <w:color w:val="auto"/>
                    </w:rPr>
                  </w:pPr>
                  <w:r>
                    <w:rPr>
                      <w:rFonts w:hint="default"/>
                      <w:color w:val="auto"/>
                    </w:rPr>
                    <w:t>O</w:t>
                  </w:r>
                  <w:r>
                    <w:rPr>
                      <w:rFonts w:hint="default"/>
                      <w:color w:val="auto"/>
                      <w:vertAlign w:val="subscript"/>
                    </w:rPr>
                    <w:t>3</w:t>
                  </w:r>
                </w:p>
              </w:tc>
              <w:tc>
                <w:tcPr>
                  <w:tcW w:w="2610" w:type="dxa"/>
                  <w:vAlign w:val="center"/>
                </w:tcPr>
                <w:p w14:paraId="22AF31EA">
                  <w:pPr>
                    <w:pStyle w:val="28"/>
                    <w:keepNext w:val="0"/>
                    <w:keepLines w:val="0"/>
                    <w:suppressLineNumbers w:val="0"/>
                    <w:spacing w:before="0" w:beforeAutospacing="0" w:after="0" w:afterAutospacing="0"/>
                    <w:ind w:left="0" w:right="0"/>
                    <w:rPr>
                      <w:rFonts w:hint="default"/>
                      <w:color w:val="auto"/>
                    </w:rPr>
                  </w:pPr>
                  <w:r>
                    <w:rPr>
                      <w:rFonts w:hint="default"/>
                      <w:color w:val="auto"/>
                    </w:rPr>
                    <w:t>日最大8小时滑动平均值的第90百分位数</w:t>
                  </w:r>
                </w:p>
              </w:tc>
              <w:tc>
                <w:tcPr>
                  <w:tcW w:w="1180" w:type="dxa"/>
                  <w:vAlign w:val="center"/>
                </w:tcPr>
                <w:p w14:paraId="0CCBB8D6">
                  <w:pPr>
                    <w:pStyle w:val="28"/>
                    <w:keepNext w:val="0"/>
                    <w:keepLines w:val="0"/>
                    <w:suppressLineNumbers w:val="0"/>
                    <w:spacing w:before="0" w:beforeAutospacing="0" w:after="0" w:afterAutospacing="0"/>
                    <w:ind w:left="0" w:right="0"/>
                    <w:rPr>
                      <w:rFonts w:hint="default"/>
                      <w:color w:val="auto"/>
                    </w:rPr>
                  </w:pPr>
                  <w:r>
                    <w:rPr>
                      <w:rFonts w:hint="default"/>
                      <w:color w:val="auto"/>
                    </w:rPr>
                    <w:t>122</w:t>
                  </w:r>
                </w:p>
              </w:tc>
              <w:tc>
                <w:tcPr>
                  <w:tcW w:w="1170" w:type="dxa"/>
                  <w:vAlign w:val="center"/>
                </w:tcPr>
                <w:p w14:paraId="5CA91270">
                  <w:pPr>
                    <w:pStyle w:val="28"/>
                    <w:keepNext w:val="0"/>
                    <w:keepLines w:val="0"/>
                    <w:suppressLineNumbers w:val="0"/>
                    <w:spacing w:before="0" w:beforeAutospacing="0" w:after="0" w:afterAutospacing="0"/>
                    <w:ind w:left="0" w:right="0"/>
                    <w:rPr>
                      <w:rFonts w:hint="default"/>
                      <w:color w:val="auto"/>
                    </w:rPr>
                  </w:pPr>
                  <w:r>
                    <w:rPr>
                      <w:rFonts w:hint="default"/>
                      <w:color w:val="auto"/>
                    </w:rPr>
                    <w:t>160</w:t>
                  </w:r>
                </w:p>
              </w:tc>
              <w:tc>
                <w:tcPr>
                  <w:tcW w:w="980" w:type="dxa"/>
                  <w:vAlign w:val="center"/>
                </w:tcPr>
                <w:p w14:paraId="0BF6AFF0">
                  <w:pPr>
                    <w:pStyle w:val="28"/>
                    <w:keepNext w:val="0"/>
                    <w:keepLines w:val="0"/>
                    <w:suppressLineNumbers w:val="0"/>
                    <w:spacing w:before="0" w:beforeAutospacing="0" w:after="0" w:afterAutospacing="0"/>
                    <w:ind w:left="0" w:right="0"/>
                    <w:rPr>
                      <w:rFonts w:hint="default"/>
                      <w:color w:val="auto"/>
                    </w:rPr>
                  </w:pPr>
                  <w:r>
                    <w:rPr>
                      <w:rFonts w:hint="default"/>
                      <w:color w:val="auto"/>
                    </w:rPr>
                    <w:t>76.25</w:t>
                  </w:r>
                </w:p>
              </w:tc>
              <w:tc>
                <w:tcPr>
                  <w:tcW w:w="679" w:type="dxa"/>
                  <w:vAlign w:val="center"/>
                </w:tcPr>
                <w:p w14:paraId="3A6FCD77">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1DDB1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09FA5ACD">
                  <w:pPr>
                    <w:pStyle w:val="28"/>
                    <w:keepNext w:val="0"/>
                    <w:keepLines w:val="0"/>
                    <w:suppressLineNumbers w:val="0"/>
                    <w:spacing w:before="0" w:beforeAutospacing="0" w:after="0" w:afterAutospacing="0"/>
                    <w:ind w:left="0" w:right="0"/>
                    <w:rPr>
                      <w:rFonts w:hint="default"/>
                      <w:color w:val="auto"/>
                    </w:rPr>
                  </w:pPr>
                  <w:r>
                    <w:rPr>
                      <w:rFonts w:hint="default"/>
                      <w:color w:val="auto"/>
                    </w:rPr>
                    <w:t>PM</w:t>
                  </w:r>
                  <w:r>
                    <w:rPr>
                      <w:rFonts w:hint="default"/>
                      <w:color w:val="auto"/>
                      <w:vertAlign w:val="subscript"/>
                    </w:rPr>
                    <w:t>2.5</w:t>
                  </w:r>
                </w:p>
              </w:tc>
              <w:tc>
                <w:tcPr>
                  <w:tcW w:w="2610" w:type="dxa"/>
                  <w:vAlign w:val="center"/>
                </w:tcPr>
                <w:p w14:paraId="446E7FFB">
                  <w:pPr>
                    <w:pStyle w:val="28"/>
                    <w:keepNext w:val="0"/>
                    <w:keepLines w:val="0"/>
                    <w:suppressLineNumbers w:val="0"/>
                    <w:spacing w:before="0" w:beforeAutospacing="0" w:after="0" w:afterAutospacing="0"/>
                    <w:ind w:left="0" w:right="0"/>
                    <w:rPr>
                      <w:rFonts w:hint="default"/>
                      <w:color w:val="auto"/>
                    </w:rPr>
                  </w:pPr>
                  <w:r>
                    <w:rPr>
                      <w:rFonts w:hint="default"/>
                      <w:color w:val="auto"/>
                    </w:rPr>
                    <w:t>年平均</w:t>
                  </w:r>
                </w:p>
              </w:tc>
              <w:tc>
                <w:tcPr>
                  <w:tcW w:w="1180" w:type="dxa"/>
                  <w:vAlign w:val="center"/>
                </w:tcPr>
                <w:p w14:paraId="7B6C4FCA">
                  <w:pPr>
                    <w:pStyle w:val="28"/>
                    <w:keepNext w:val="0"/>
                    <w:keepLines w:val="0"/>
                    <w:suppressLineNumbers w:val="0"/>
                    <w:spacing w:before="0" w:beforeAutospacing="0" w:after="0" w:afterAutospacing="0"/>
                    <w:ind w:left="0" w:right="0"/>
                    <w:rPr>
                      <w:rFonts w:hint="default"/>
                      <w:color w:val="auto"/>
                    </w:rPr>
                  </w:pPr>
                  <w:r>
                    <w:rPr>
                      <w:rFonts w:hint="default"/>
                      <w:color w:val="auto"/>
                    </w:rPr>
                    <w:t>27</w:t>
                  </w:r>
                </w:p>
              </w:tc>
              <w:tc>
                <w:tcPr>
                  <w:tcW w:w="1170" w:type="dxa"/>
                  <w:vAlign w:val="center"/>
                </w:tcPr>
                <w:p w14:paraId="1491419E">
                  <w:pPr>
                    <w:pStyle w:val="28"/>
                    <w:keepNext w:val="0"/>
                    <w:keepLines w:val="0"/>
                    <w:suppressLineNumbers w:val="0"/>
                    <w:spacing w:before="0" w:beforeAutospacing="0" w:after="0" w:afterAutospacing="0"/>
                    <w:ind w:left="0" w:right="0"/>
                    <w:rPr>
                      <w:rFonts w:hint="default"/>
                      <w:color w:val="auto"/>
                    </w:rPr>
                  </w:pPr>
                  <w:r>
                    <w:rPr>
                      <w:rFonts w:hint="default"/>
                      <w:color w:val="auto"/>
                    </w:rPr>
                    <w:t>35</w:t>
                  </w:r>
                </w:p>
              </w:tc>
              <w:tc>
                <w:tcPr>
                  <w:tcW w:w="980" w:type="dxa"/>
                  <w:vAlign w:val="center"/>
                </w:tcPr>
                <w:p w14:paraId="2EA609CD">
                  <w:pPr>
                    <w:pStyle w:val="28"/>
                    <w:keepNext w:val="0"/>
                    <w:keepLines w:val="0"/>
                    <w:suppressLineNumbers w:val="0"/>
                    <w:spacing w:before="0" w:beforeAutospacing="0" w:after="0" w:afterAutospacing="0"/>
                    <w:ind w:left="0" w:right="0"/>
                    <w:rPr>
                      <w:rFonts w:hint="default"/>
                      <w:color w:val="auto"/>
                    </w:rPr>
                  </w:pPr>
                  <w:r>
                    <w:rPr>
                      <w:rFonts w:hint="default"/>
                      <w:color w:val="auto"/>
                    </w:rPr>
                    <w:t>77.14</w:t>
                  </w:r>
                </w:p>
              </w:tc>
              <w:tc>
                <w:tcPr>
                  <w:tcW w:w="679" w:type="dxa"/>
                  <w:vAlign w:val="center"/>
                </w:tcPr>
                <w:p w14:paraId="3870363E">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4E81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16AD938C">
                  <w:pPr>
                    <w:pStyle w:val="28"/>
                    <w:keepNext w:val="0"/>
                    <w:keepLines w:val="0"/>
                    <w:suppressLineNumbers w:val="0"/>
                    <w:spacing w:before="0" w:beforeAutospacing="0" w:after="0" w:afterAutospacing="0"/>
                    <w:ind w:left="0" w:right="0"/>
                    <w:rPr>
                      <w:rFonts w:hint="default"/>
                      <w:color w:val="auto"/>
                    </w:rPr>
                  </w:pPr>
                  <w:r>
                    <w:rPr>
                      <w:rFonts w:hint="default"/>
                      <w:color w:val="auto"/>
                    </w:rPr>
                    <w:t>PM</w:t>
                  </w:r>
                  <w:r>
                    <w:rPr>
                      <w:rFonts w:hint="default"/>
                      <w:color w:val="auto"/>
                      <w:vertAlign w:val="subscript"/>
                    </w:rPr>
                    <w:t>10</w:t>
                  </w:r>
                </w:p>
              </w:tc>
              <w:tc>
                <w:tcPr>
                  <w:tcW w:w="2610" w:type="dxa"/>
                  <w:vAlign w:val="center"/>
                </w:tcPr>
                <w:p w14:paraId="7FC5228D">
                  <w:pPr>
                    <w:pStyle w:val="28"/>
                    <w:keepNext w:val="0"/>
                    <w:keepLines w:val="0"/>
                    <w:suppressLineNumbers w:val="0"/>
                    <w:spacing w:before="0" w:beforeAutospacing="0" w:after="0" w:afterAutospacing="0"/>
                    <w:ind w:left="0" w:right="0"/>
                    <w:rPr>
                      <w:rFonts w:hint="default"/>
                      <w:color w:val="auto"/>
                    </w:rPr>
                  </w:pPr>
                  <w:r>
                    <w:rPr>
                      <w:rFonts w:hint="default"/>
                      <w:color w:val="auto"/>
                    </w:rPr>
                    <w:t>年平均</w:t>
                  </w:r>
                </w:p>
              </w:tc>
              <w:tc>
                <w:tcPr>
                  <w:tcW w:w="1180" w:type="dxa"/>
                  <w:vAlign w:val="center"/>
                </w:tcPr>
                <w:p w14:paraId="450C036A">
                  <w:pPr>
                    <w:pStyle w:val="28"/>
                    <w:keepNext w:val="0"/>
                    <w:keepLines w:val="0"/>
                    <w:suppressLineNumbers w:val="0"/>
                    <w:spacing w:before="0" w:beforeAutospacing="0" w:after="0" w:afterAutospacing="0"/>
                    <w:ind w:left="0" w:right="0"/>
                    <w:rPr>
                      <w:rFonts w:hint="default"/>
                      <w:color w:val="auto"/>
                    </w:rPr>
                  </w:pPr>
                  <w:r>
                    <w:rPr>
                      <w:rFonts w:hint="default"/>
                      <w:color w:val="auto"/>
                    </w:rPr>
                    <w:t>48</w:t>
                  </w:r>
                </w:p>
              </w:tc>
              <w:tc>
                <w:tcPr>
                  <w:tcW w:w="1170" w:type="dxa"/>
                  <w:vAlign w:val="center"/>
                </w:tcPr>
                <w:p w14:paraId="5CDAB943">
                  <w:pPr>
                    <w:pStyle w:val="28"/>
                    <w:keepNext w:val="0"/>
                    <w:keepLines w:val="0"/>
                    <w:suppressLineNumbers w:val="0"/>
                    <w:spacing w:before="0" w:beforeAutospacing="0" w:after="0" w:afterAutospacing="0"/>
                    <w:ind w:left="0" w:right="0"/>
                    <w:rPr>
                      <w:rFonts w:hint="default"/>
                      <w:color w:val="auto"/>
                    </w:rPr>
                  </w:pPr>
                  <w:r>
                    <w:rPr>
                      <w:rFonts w:hint="default"/>
                      <w:color w:val="auto"/>
                    </w:rPr>
                    <w:t>70</w:t>
                  </w:r>
                </w:p>
              </w:tc>
              <w:tc>
                <w:tcPr>
                  <w:tcW w:w="980" w:type="dxa"/>
                  <w:vAlign w:val="center"/>
                </w:tcPr>
                <w:p w14:paraId="06A106C3">
                  <w:pPr>
                    <w:pStyle w:val="28"/>
                    <w:keepNext w:val="0"/>
                    <w:keepLines w:val="0"/>
                    <w:suppressLineNumbers w:val="0"/>
                    <w:spacing w:before="0" w:beforeAutospacing="0" w:after="0" w:afterAutospacing="0"/>
                    <w:ind w:left="0" w:right="0"/>
                    <w:rPr>
                      <w:rFonts w:hint="default"/>
                      <w:color w:val="auto"/>
                    </w:rPr>
                  </w:pPr>
                  <w:r>
                    <w:rPr>
                      <w:rFonts w:hint="default"/>
                      <w:color w:val="auto"/>
                    </w:rPr>
                    <w:t>67.14</w:t>
                  </w:r>
                </w:p>
              </w:tc>
              <w:tc>
                <w:tcPr>
                  <w:tcW w:w="679" w:type="dxa"/>
                  <w:vAlign w:val="center"/>
                </w:tcPr>
                <w:p w14:paraId="0796A7B8">
                  <w:pPr>
                    <w:pStyle w:val="28"/>
                    <w:keepNext w:val="0"/>
                    <w:keepLines w:val="0"/>
                    <w:suppressLineNumbers w:val="0"/>
                    <w:spacing w:before="0" w:beforeAutospacing="0" w:after="0" w:afterAutospacing="0"/>
                    <w:ind w:left="0" w:right="0"/>
                    <w:rPr>
                      <w:rFonts w:hint="default"/>
                      <w:color w:val="auto"/>
                    </w:rPr>
                  </w:pPr>
                  <w:r>
                    <w:rPr>
                      <w:rFonts w:hint="default"/>
                      <w:color w:val="auto"/>
                    </w:rPr>
                    <w:t>达标</w:t>
                  </w:r>
                </w:p>
              </w:tc>
            </w:tr>
          </w:tbl>
          <w:p w14:paraId="59B2998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根据上表结果，2024年，达州市宣汉县PM</w:t>
            </w:r>
            <w:r>
              <w:rPr>
                <w:rFonts w:hint="default" w:cs="Times New Roman"/>
                <w:color w:val="auto"/>
                <w:vertAlign w:val="subscript"/>
              </w:rPr>
              <w:t>2.5</w:t>
            </w:r>
            <w:r>
              <w:rPr>
                <w:rFonts w:hint="default" w:cs="Times New Roman"/>
                <w:color w:val="auto"/>
              </w:rPr>
              <w:t>、SO</w:t>
            </w:r>
            <w:r>
              <w:rPr>
                <w:rFonts w:hint="default" w:cs="Times New Roman"/>
                <w:color w:val="auto"/>
                <w:vertAlign w:val="subscript"/>
              </w:rPr>
              <w:t>2</w:t>
            </w:r>
            <w:r>
              <w:rPr>
                <w:rFonts w:hint="default" w:cs="Times New Roman"/>
                <w:color w:val="auto"/>
              </w:rPr>
              <w:t>、NO</w:t>
            </w:r>
            <w:r>
              <w:rPr>
                <w:rFonts w:hint="default" w:cs="Times New Roman"/>
                <w:color w:val="auto"/>
                <w:vertAlign w:val="subscript"/>
              </w:rPr>
              <w:t>2</w:t>
            </w:r>
            <w:r>
              <w:rPr>
                <w:rFonts w:hint="default" w:cs="Times New Roman"/>
                <w:color w:val="auto"/>
              </w:rPr>
              <w:t>、PM</w:t>
            </w:r>
            <w:r>
              <w:rPr>
                <w:rFonts w:hint="default" w:cs="Times New Roman"/>
                <w:color w:val="auto"/>
                <w:vertAlign w:val="subscript"/>
              </w:rPr>
              <w:t>10</w:t>
            </w:r>
            <w:r>
              <w:rPr>
                <w:rFonts w:hint="default" w:cs="Times New Roman"/>
                <w:color w:val="auto"/>
              </w:rPr>
              <w:t>、CO、O</w:t>
            </w:r>
            <w:r>
              <w:rPr>
                <w:rFonts w:hint="default" w:cs="Times New Roman"/>
                <w:color w:val="auto"/>
                <w:vertAlign w:val="subscript"/>
              </w:rPr>
              <w:t>3</w:t>
            </w:r>
            <w:r>
              <w:rPr>
                <w:rFonts w:hint="default" w:cs="Times New Roman"/>
                <w:color w:val="auto"/>
              </w:rPr>
              <w:t>浓度均达到《环境空气质量标准》（GB3095-2012）二级标准，故该区域为环境空气质量达标区域。</w:t>
            </w:r>
          </w:p>
          <w:p w14:paraId="5B1F07D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（2）其他污染物环境质量现状评价</w:t>
            </w:r>
          </w:p>
          <w:p w14:paraId="12CE2A7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51A6B36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次评价引用《美联新材料（四川）有限公司年产230万吨新能源及高分子材料产业化项目（一期）现状监测》（川环源创检字(2023)第CHYC/23H09401号）中1#项目所在地（E107.67767°，N31.50412°）点位数据以及《砥龙化工年产8万吨高分子材料功能助剂及10万吨硫磺粉体建设项目现状监测》（航岛检测HDJC2024070177）中环境空气点位（QQ-01）（E 107.69151°，N 31.52002°）数据对项目所在区域其他污染物环境质量现状开展评价。1#项目所在地监测点位位于本项目西南侧1870m处，QQ-01监测点位位于本项目东南侧240m处，属于项目周边5km范围内，其采样时间分别为2023年6月13日~2023年6月20日、2024年7月30日~2024年8月1日</w:t>
            </w:r>
            <w:r>
              <w:rPr>
                <w:rFonts w:hint="eastAsia" w:cs="Times New Roman"/>
                <w:color w:val="auto"/>
              </w:rPr>
              <w:t>，</w:t>
            </w:r>
            <w:r>
              <w:rPr>
                <w:rFonts w:hint="default" w:cs="Times New Roman"/>
                <w:color w:val="auto"/>
              </w:rPr>
              <w:t>距今未超过3年，符合数据引用要求。具体如下：</w:t>
            </w:r>
          </w:p>
          <w:p w14:paraId="2614CE18">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监测布点</w:t>
            </w:r>
          </w:p>
          <w:p w14:paraId="7BD1C3C9">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引用环境空气现状监测布点</w:t>
            </w:r>
          </w:p>
          <w:tbl>
            <w:tblPr>
              <w:tblStyle w:val="1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2538"/>
              <w:gridCol w:w="2531"/>
            </w:tblGrid>
            <w:tr w14:paraId="5F5B5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14:paraId="17465F66">
                  <w:pPr>
                    <w:pStyle w:val="26"/>
                    <w:keepNext w:val="0"/>
                    <w:keepLines w:val="0"/>
                    <w:suppressLineNumbers w:val="0"/>
                    <w:spacing w:before="0" w:beforeAutospacing="0" w:after="0" w:afterAutospacing="0"/>
                    <w:ind w:left="0" w:right="0"/>
                    <w:rPr>
                      <w:rFonts w:hint="default"/>
                    </w:rPr>
                  </w:pPr>
                  <w:r>
                    <w:rPr>
                      <w:rFonts w:hint="default"/>
                    </w:rPr>
                    <w:t>编号</w:t>
                  </w:r>
                </w:p>
              </w:tc>
              <w:tc>
                <w:tcPr>
                  <w:tcW w:w="2658" w:type="dxa"/>
                  <w:vAlign w:val="center"/>
                </w:tcPr>
                <w:p w14:paraId="4F0C682E">
                  <w:pPr>
                    <w:pStyle w:val="26"/>
                    <w:keepNext w:val="0"/>
                    <w:keepLines w:val="0"/>
                    <w:suppressLineNumbers w:val="0"/>
                    <w:spacing w:before="0" w:beforeAutospacing="0" w:after="0" w:afterAutospacing="0"/>
                    <w:ind w:left="0" w:right="0"/>
                    <w:rPr>
                      <w:rFonts w:hint="default"/>
                    </w:rPr>
                  </w:pPr>
                  <w:r>
                    <w:rPr>
                      <w:rFonts w:hint="default"/>
                    </w:rPr>
                    <w:t>点位名称</w:t>
                  </w:r>
                </w:p>
              </w:tc>
              <w:tc>
                <w:tcPr>
                  <w:tcW w:w="2658" w:type="dxa"/>
                  <w:vAlign w:val="center"/>
                </w:tcPr>
                <w:p w14:paraId="20D9AF69">
                  <w:pPr>
                    <w:pStyle w:val="26"/>
                    <w:keepNext w:val="0"/>
                    <w:keepLines w:val="0"/>
                    <w:suppressLineNumbers w:val="0"/>
                    <w:spacing w:before="0" w:beforeAutospacing="0" w:after="0" w:afterAutospacing="0"/>
                    <w:ind w:left="0" w:right="0"/>
                    <w:rPr>
                      <w:rFonts w:hint="default"/>
                    </w:rPr>
                  </w:pPr>
                  <w:r>
                    <w:rPr>
                      <w:rFonts w:hint="default"/>
                    </w:rPr>
                    <w:t>监测项目</w:t>
                  </w:r>
                </w:p>
              </w:tc>
            </w:tr>
            <w:tr w14:paraId="2ADC7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14:paraId="5B249578">
                  <w:pPr>
                    <w:pStyle w:val="26"/>
                    <w:keepNext w:val="0"/>
                    <w:keepLines w:val="0"/>
                    <w:suppressLineNumbers w:val="0"/>
                    <w:spacing w:before="0" w:beforeAutospacing="0" w:after="0" w:afterAutospacing="0"/>
                    <w:ind w:left="0" w:right="0"/>
                    <w:rPr>
                      <w:rFonts w:hint="default"/>
                    </w:rPr>
                  </w:pPr>
                  <w:r>
                    <w:rPr>
                      <w:rFonts w:hint="default"/>
                    </w:rPr>
                    <w:t>G1</w:t>
                  </w:r>
                </w:p>
              </w:tc>
              <w:tc>
                <w:tcPr>
                  <w:tcW w:w="2658" w:type="dxa"/>
                  <w:vAlign w:val="center"/>
                </w:tcPr>
                <w:p w14:paraId="193B11A6">
                  <w:pPr>
                    <w:pStyle w:val="26"/>
                    <w:keepNext w:val="0"/>
                    <w:keepLines w:val="0"/>
                    <w:suppressLineNumbers w:val="0"/>
                    <w:spacing w:before="0" w:beforeAutospacing="0" w:after="0" w:afterAutospacing="0"/>
                    <w:ind w:left="0" w:right="0"/>
                    <w:rPr>
                      <w:rFonts w:hint="default"/>
                    </w:rPr>
                  </w:pPr>
                  <w:r>
                    <w:rPr>
                      <w:rFonts w:hint="default"/>
                    </w:rPr>
                    <w:t>本项目西南侧1870m处</w:t>
                  </w:r>
                </w:p>
              </w:tc>
              <w:tc>
                <w:tcPr>
                  <w:tcW w:w="2658" w:type="dxa"/>
                  <w:vAlign w:val="center"/>
                </w:tcPr>
                <w:p w14:paraId="3B3D7533">
                  <w:pPr>
                    <w:pStyle w:val="26"/>
                    <w:keepNext w:val="0"/>
                    <w:keepLines w:val="0"/>
                    <w:suppressLineNumbers w:val="0"/>
                    <w:spacing w:before="0" w:beforeAutospacing="0" w:after="0" w:afterAutospacing="0"/>
                    <w:ind w:left="0" w:right="0"/>
                    <w:rPr>
                      <w:rFonts w:hint="default"/>
                    </w:rPr>
                  </w:pPr>
                  <w:r>
                    <w:rPr>
                      <w:rFonts w:hint="default"/>
                    </w:rPr>
                    <w:t>硫化氢、TSP</w:t>
                  </w:r>
                </w:p>
              </w:tc>
            </w:tr>
            <w:tr w14:paraId="35D44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14:paraId="5F3A927F">
                  <w:pPr>
                    <w:pStyle w:val="26"/>
                    <w:keepNext w:val="0"/>
                    <w:keepLines w:val="0"/>
                    <w:suppressLineNumbers w:val="0"/>
                    <w:spacing w:before="0" w:beforeAutospacing="0" w:after="0" w:afterAutospacing="0"/>
                    <w:ind w:left="0" w:right="0"/>
                    <w:rPr>
                      <w:rFonts w:hint="default"/>
                    </w:rPr>
                  </w:pPr>
                  <w:r>
                    <w:rPr>
                      <w:rFonts w:hint="default"/>
                    </w:rPr>
                    <w:t>G2</w:t>
                  </w:r>
                </w:p>
              </w:tc>
              <w:tc>
                <w:tcPr>
                  <w:tcW w:w="2658" w:type="dxa"/>
                  <w:vAlign w:val="center"/>
                </w:tcPr>
                <w:p w14:paraId="5C08083D">
                  <w:pPr>
                    <w:pStyle w:val="26"/>
                    <w:keepNext w:val="0"/>
                    <w:keepLines w:val="0"/>
                    <w:suppressLineNumbers w:val="0"/>
                    <w:spacing w:before="0" w:beforeAutospacing="0" w:after="0" w:afterAutospacing="0"/>
                    <w:ind w:left="0" w:right="0"/>
                    <w:rPr>
                      <w:rFonts w:hint="default"/>
                    </w:rPr>
                  </w:pPr>
                  <w:r>
                    <w:rPr>
                      <w:rFonts w:hint="default"/>
                    </w:rPr>
                    <w:t>本项目东南侧240m处</w:t>
                  </w:r>
                </w:p>
              </w:tc>
              <w:tc>
                <w:tcPr>
                  <w:tcW w:w="2658" w:type="dxa"/>
                  <w:vAlign w:val="center"/>
                </w:tcPr>
                <w:p w14:paraId="13053C7C">
                  <w:pPr>
                    <w:pStyle w:val="26"/>
                    <w:keepNext w:val="0"/>
                    <w:keepLines w:val="0"/>
                    <w:suppressLineNumbers w:val="0"/>
                    <w:spacing w:before="0" w:beforeAutospacing="0" w:after="0" w:afterAutospacing="0"/>
                    <w:ind w:left="0" w:right="0"/>
                    <w:rPr>
                      <w:rFonts w:hint="default"/>
                    </w:rPr>
                  </w:pPr>
                  <w:r>
                    <w:rPr>
                      <w:rFonts w:hint="default"/>
                    </w:rPr>
                    <w:t>非甲烷总烃</w:t>
                  </w:r>
                </w:p>
              </w:tc>
            </w:tr>
          </w:tbl>
          <w:p w14:paraId="07675DFA">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监测项目：TSP、硫化氢、非甲烷总烃</w:t>
            </w:r>
          </w:p>
          <w:p w14:paraId="6E84F329">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监测频次：TSP、硫化氢连续监测7天；非甲烷总烃连续监测3天</w:t>
            </w:r>
          </w:p>
          <w:p w14:paraId="29EAB1F7">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④</w:t>
            </w:r>
            <w:r>
              <w:rPr>
                <w:rFonts w:hint="default" w:cs="Times New Roman"/>
                <w:color w:val="auto"/>
              </w:rPr>
              <w:t>监测结果：</w:t>
            </w:r>
          </w:p>
          <w:p w14:paraId="7EB366A2">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其他污染物监测及评价结果</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034"/>
              <w:gridCol w:w="615"/>
              <w:gridCol w:w="945"/>
              <w:gridCol w:w="1239"/>
              <w:gridCol w:w="768"/>
              <w:gridCol w:w="751"/>
              <w:gridCol w:w="1055"/>
              <w:gridCol w:w="616"/>
            </w:tblGrid>
            <w:tr w14:paraId="0ADF8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03" w:type="pct"/>
                  <w:vAlign w:val="center"/>
                </w:tcPr>
                <w:p w14:paraId="288AEE88">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监测点位</w:t>
                  </w:r>
                </w:p>
              </w:tc>
              <w:tc>
                <w:tcPr>
                  <w:tcW w:w="547" w:type="pct"/>
                  <w:vAlign w:val="center"/>
                </w:tcPr>
                <w:p w14:paraId="1FF42A6B">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监测时间</w:t>
                  </w:r>
                </w:p>
              </w:tc>
              <w:tc>
                <w:tcPr>
                  <w:tcW w:w="1077" w:type="pct"/>
                  <w:gridSpan w:val="2"/>
                  <w:vAlign w:val="center"/>
                </w:tcPr>
                <w:p w14:paraId="61EA91BA">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监测项目</w:t>
                  </w:r>
                </w:p>
              </w:tc>
              <w:tc>
                <w:tcPr>
                  <w:tcW w:w="840" w:type="pct"/>
                  <w:vAlign w:val="center"/>
                </w:tcPr>
                <w:p w14:paraId="0535B7C3">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监测浓度范围（mg/m</w:t>
                  </w:r>
                  <w:r>
                    <w:rPr>
                      <w:rFonts w:hint="default" w:ascii="Times New Roman" w:cs="Times New Roman"/>
                      <w:color w:val="auto"/>
                      <w:sz w:val="18"/>
                      <w:szCs w:val="18"/>
                      <w:vertAlign w:val="superscript"/>
                    </w:rPr>
                    <w:t>3</w:t>
                  </w:r>
                  <w:r>
                    <w:rPr>
                      <w:rFonts w:hint="default" w:ascii="Times New Roman" w:cs="Times New Roman"/>
                      <w:color w:val="auto"/>
                      <w:sz w:val="18"/>
                      <w:szCs w:val="18"/>
                    </w:rPr>
                    <w:t>）</w:t>
                  </w:r>
                </w:p>
              </w:tc>
              <w:tc>
                <w:tcPr>
                  <w:tcW w:w="530" w:type="pct"/>
                  <w:vAlign w:val="center"/>
                </w:tcPr>
                <w:p w14:paraId="73322001">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Pimax</w:t>
                  </w:r>
                </w:p>
              </w:tc>
              <w:tc>
                <w:tcPr>
                  <w:tcW w:w="519" w:type="pct"/>
                  <w:vAlign w:val="center"/>
                </w:tcPr>
                <w:p w14:paraId="3A6430B9">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超标率（%）</w:t>
                  </w:r>
                </w:p>
              </w:tc>
              <w:tc>
                <w:tcPr>
                  <w:tcW w:w="651" w:type="pct"/>
                  <w:vAlign w:val="center"/>
                </w:tcPr>
                <w:p w14:paraId="4BDAE208">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评价标准（mg/m</w:t>
                  </w:r>
                  <w:r>
                    <w:rPr>
                      <w:rFonts w:hint="default" w:ascii="Times New Roman" w:cs="Times New Roman"/>
                      <w:color w:val="auto"/>
                      <w:sz w:val="18"/>
                      <w:szCs w:val="18"/>
                      <w:vertAlign w:val="superscript"/>
                    </w:rPr>
                    <w:t>3</w:t>
                  </w:r>
                  <w:r>
                    <w:rPr>
                      <w:rFonts w:hint="default" w:ascii="Times New Roman" w:cs="Times New Roman"/>
                      <w:color w:val="auto"/>
                      <w:sz w:val="18"/>
                      <w:szCs w:val="18"/>
                    </w:rPr>
                    <w:t>）</w:t>
                  </w:r>
                </w:p>
              </w:tc>
              <w:tc>
                <w:tcPr>
                  <w:tcW w:w="430" w:type="pct"/>
                  <w:vAlign w:val="center"/>
                </w:tcPr>
                <w:p w14:paraId="713FFD73">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达标情况</w:t>
                  </w:r>
                </w:p>
              </w:tc>
            </w:tr>
            <w:tr w14:paraId="44AC6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restart"/>
                  <w:vAlign w:val="center"/>
                </w:tcPr>
                <w:p w14:paraId="19F8470A">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G1</w:t>
                  </w:r>
                </w:p>
              </w:tc>
              <w:tc>
                <w:tcPr>
                  <w:tcW w:w="547" w:type="pct"/>
                  <w:vMerge w:val="restart"/>
                  <w:vAlign w:val="center"/>
                </w:tcPr>
                <w:p w14:paraId="29CF0C25">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2023.6.13~</w:t>
                  </w:r>
                </w:p>
                <w:p w14:paraId="2AE4DF98">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2023.6.20</w:t>
                  </w:r>
                </w:p>
              </w:tc>
              <w:tc>
                <w:tcPr>
                  <w:tcW w:w="430" w:type="pct"/>
                  <w:shd w:val="clear" w:color="auto" w:fill="auto"/>
                  <w:vAlign w:val="center"/>
                </w:tcPr>
                <w:p w14:paraId="75271F61">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H</w:t>
                  </w:r>
                  <w:r>
                    <w:rPr>
                      <w:rFonts w:hint="default" w:ascii="Times New Roman" w:cs="Times New Roman"/>
                      <w:color w:val="auto"/>
                      <w:sz w:val="18"/>
                      <w:szCs w:val="18"/>
                      <w:vertAlign w:val="subscript"/>
                    </w:rPr>
                    <w:t>2</w:t>
                  </w:r>
                  <w:r>
                    <w:rPr>
                      <w:rFonts w:hint="default" w:ascii="Times New Roman" w:cs="Times New Roman"/>
                      <w:color w:val="auto"/>
                      <w:sz w:val="18"/>
                      <w:szCs w:val="18"/>
                    </w:rPr>
                    <w:t>S</w:t>
                  </w:r>
                </w:p>
              </w:tc>
              <w:tc>
                <w:tcPr>
                  <w:tcW w:w="646" w:type="pct"/>
                  <w:shd w:val="clear" w:color="auto" w:fill="auto"/>
                  <w:vAlign w:val="center"/>
                </w:tcPr>
                <w:p w14:paraId="58FD8D0C">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1h平均</w:t>
                  </w:r>
                </w:p>
              </w:tc>
              <w:tc>
                <w:tcPr>
                  <w:tcW w:w="840" w:type="pct"/>
                  <w:shd w:val="clear" w:color="auto" w:fill="auto"/>
                  <w:vAlign w:val="center"/>
                </w:tcPr>
                <w:p w14:paraId="668AEE52">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both"/>
                    <w:textAlignment w:val="auto"/>
                    <w:rPr>
                      <w:rFonts w:hint="default" w:ascii="Times New Roman" w:cs="Times New Roman"/>
                      <w:color w:val="auto"/>
                      <w:sz w:val="18"/>
                      <w:szCs w:val="18"/>
                    </w:rPr>
                  </w:pPr>
                  <w:r>
                    <w:rPr>
                      <w:rFonts w:hint="default" w:ascii="Times New Roman" w:cs="Times New Roman"/>
                      <w:color w:val="auto"/>
                      <w:sz w:val="18"/>
                      <w:szCs w:val="18"/>
                    </w:rPr>
                    <w:t>未检出</w:t>
                  </w:r>
                </w:p>
              </w:tc>
              <w:tc>
                <w:tcPr>
                  <w:tcW w:w="530" w:type="pct"/>
                  <w:shd w:val="clear" w:color="auto" w:fill="auto"/>
                  <w:vAlign w:val="center"/>
                </w:tcPr>
                <w:p w14:paraId="5A528BBA">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w:t>
                  </w:r>
                </w:p>
              </w:tc>
              <w:tc>
                <w:tcPr>
                  <w:tcW w:w="519" w:type="pct"/>
                  <w:shd w:val="clear" w:color="auto" w:fill="auto"/>
                  <w:vAlign w:val="center"/>
                </w:tcPr>
                <w:p w14:paraId="3F5302BD">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w:t>
                  </w:r>
                </w:p>
              </w:tc>
              <w:tc>
                <w:tcPr>
                  <w:tcW w:w="651" w:type="pct"/>
                  <w:shd w:val="clear" w:color="auto" w:fill="auto"/>
                  <w:vAlign w:val="center"/>
                </w:tcPr>
                <w:p w14:paraId="47F5E1C3">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0.2</w:t>
                  </w:r>
                </w:p>
              </w:tc>
              <w:tc>
                <w:tcPr>
                  <w:tcW w:w="430" w:type="pct"/>
                  <w:shd w:val="clear" w:color="auto" w:fill="auto"/>
                  <w:vAlign w:val="center"/>
                </w:tcPr>
                <w:p w14:paraId="1121EE86">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达标</w:t>
                  </w:r>
                </w:p>
              </w:tc>
            </w:tr>
            <w:tr w14:paraId="5FB44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vAlign w:val="center"/>
                </w:tcPr>
                <w:p w14:paraId="6F51573E">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p>
              </w:tc>
              <w:tc>
                <w:tcPr>
                  <w:tcW w:w="547" w:type="pct"/>
                  <w:vMerge w:val="continue"/>
                  <w:vAlign w:val="center"/>
                </w:tcPr>
                <w:p w14:paraId="2729BA80">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p>
              </w:tc>
              <w:tc>
                <w:tcPr>
                  <w:tcW w:w="430" w:type="pct"/>
                  <w:shd w:val="clear" w:color="auto" w:fill="auto"/>
                  <w:vAlign w:val="center"/>
                </w:tcPr>
                <w:p w14:paraId="020C360B">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TSP</w:t>
                  </w:r>
                </w:p>
              </w:tc>
              <w:tc>
                <w:tcPr>
                  <w:tcW w:w="646" w:type="pct"/>
                  <w:shd w:val="clear" w:color="auto" w:fill="auto"/>
                  <w:vAlign w:val="center"/>
                </w:tcPr>
                <w:p w14:paraId="1422F15F">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24h平均</w:t>
                  </w:r>
                </w:p>
              </w:tc>
              <w:tc>
                <w:tcPr>
                  <w:tcW w:w="840" w:type="pct"/>
                  <w:shd w:val="clear" w:color="auto" w:fill="auto"/>
                  <w:vAlign w:val="center"/>
                </w:tcPr>
                <w:p w14:paraId="50557C5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cs="Times New Roman"/>
                      <w:color w:val="auto"/>
                      <w:sz w:val="18"/>
                      <w:szCs w:val="18"/>
                    </w:rPr>
                  </w:pPr>
                  <w:r>
                    <w:rPr>
                      <w:rFonts w:hint="default" w:cs="Times New Roman"/>
                      <w:color w:val="auto"/>
                      <w:sz w:val="18"/>
                      <w:szCs w:val="18"/>
                    </w:rPr>
                    <w:t>0.119~0.123</w:t>
                  </w:r>
                </w:p>
              </w:tc>
              <w:tc>
                <w:tcPr>
                  <w:tcW w:w="530" w:type="pct"/>
                  <w:shd w:val="clear" w:color="auto" w:fill="auto"/>
                  <w:vAlign w:val="center"/>
                </w:tcPr>
                <w:p w14:paraId="0637488D">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0.41</w:t>
                  </w:r>
                </w:p>
              </w:tc>
              <w:tc>
                <w:tcPr>
                  <w:tcW w:w="519" w:type="pct"/>
                  <w:shd w:val="clear" w:color="auto" w:fill="auto"/>
                  <w:vAlign w:val="center"/>
                </w:tcPr>
                <w:p w14:paraId="015F2540">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w:t>
                  </w:r>
                </w:p>
              </w:tc>
              <w:tc>
                <w:tcPr>
                  <w:tcW w:w="651" w:type="pct"/>
                  <w:shd w:val="clear" w:color="auto" w:fill="auto"/>
                  <w:vAlign w:val="center"/>
                </w:tcPr>
                <w:p w14:paraId="3ECBB585">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0.3</w:t>
                  </w:r>
                </w:p>
              </w:tc>
              <w:tc>
                <w:tcPr>
                  <w:tcW w:w="430" w:type="pct"/>
                  <w:shd w:val="clear" w:color="auto" w:fill="auto"/>
                  <w:vAlign w:val="center"/>
                </w:tcPr>
                <w:p w14:paraId="11401F41">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达标</w:t>
                  </w:r>
                </w:p>
              </w:tc>
            </w:tr>
            <w:tr w14:paraId="7FF0A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B6EE845">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G2</w:t>
                  </w:r>
                </w:p>
              </w:tc>
              <w:tc>
                <w:tcPr>
                  <w:tcW w:w="547" w:type="pct"/>
                  <w:vAlign w:val="center"/>
                </w:tcPr>
                <w:p w14:paraId="7B2E6AB4">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2024.7.30 ~2024.8.1</w:t>
                  </w:r>
                </w:p>
              </w:tc>
              <w:tc>
                <w:tcPr>
                  <w:tcW w:w="430" w:type="pct"/>
                  <w:shd w:val="clear" w:color="auto" w:fill="auto"/>
                  <w:vAlign w:val="center"/>
                </w:tcPr>
                <w:p w14:paraId="4C4DE9D2">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非甲烷总烃</w:t>
                  </w:r>
                </w:p>
              </w:tc>
              <w:tc>
                <w:tcPr>
                  <w:tcW w:w="646" w:type="pct"/>
                  <w:shd w:val="clear" w:color="auto" w:fill="auto"/>
                  <w:vAlign w:val="center"/>
                </w:tcPr>
                <w:p w14:paraId="52D3B088">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1h平均</w:t>
                  </w:r>
                </w:p>
              </w:tc>
              <w:tc>
                <w:tcPr>
                  <w:tcW w:w="840" w:type="pct"/>
                  <w:shd w:val="clear" w:color="auto" w:fill="auto"/>
                  <w:vAlign w:val="center"/>
                </w:tcPr>
                <w:p w14:paraId="55AC35D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default" w:cs="Times New Roman"/>
                      <w:color w:val="auto"/>
                      <w:sz w:val="18"/>
                      <w:szCs w:val="18"/>
                    </w:rPr>
                  </w:pPr>
                  <w:r>
                    <w:rPr>
                      <w:rFonts w:hint="default" w:cs="Times New Roman"/>
                      <w:color w:val="auto"/>
                      <w:sz w:val="18"/>
                      <w:szCs w:val="18"/>
                    </w:rPr>
                    <w:t>1.01~1.78</w:t>
                  </w:r>
                </w:p>
              </w:tc>
              <w:tc>
                <w:tcPr>
                  <w:tcW w:w="530" w:type="pct"/>
                  <w:shd w:val="clear" w:color="auto" w:fill="auto"/>
                  <w:vAlign w:val="center"/>
                </w:tcPr>
                <w:p w14:paraId="428BBFE1">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0.89</w:t>
                  </w:r>
                </w:p>
              </w:tc>
              <w:tc>
                <w:tcPr>
                  <w:tcW w:w="519" w:type="pct"/>
                  <w:shd w:val="clear" w:color="auto" w:fill="auto"/>
                  <w:vAlign w:val="center"/>
                </w:tcPr>
                <w:p w14:paraId="492D782D">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0</w:t>
                  </w:r>
                </w:p>
              </w:tc>
              <w:tc>
                <w:tcPr>
                  <w:tcW w:w="651" w:type="pct"/>
                  <w:shd w:val="clear" w:color="auto" w:fill="auto"/>
                  <w:vAlign w:val="center"/>
                </w:tcPr>
                <w:p w14:paraId="37770DCA">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2</w:t>
                  </w:r>
                </w:p>
              </w:tc>
              <w:tc>
                <w:tcPr>
                  <w:tcW w:w="430" w:type="pct"/>
                  <w:shd w:val="clear" w:color="auto" w:fill="auto"/>
                  <w:vAlign w:val="center"/>
                </w:tcPr>
                <w:p w14:paraId="25D1B948">
                  <w:pPr>
                    <w:pStyle w:val="56"/>
                    <w:keepNext w:val="0"/>
                    <w:keepLines w:val="0"/>
                    <w:pageBreakBefore w:val="0"/>
                    <w:widowControl w:val="0"/>
                    <w:suppressLineNumbers w:val="0"/>
                    <w:kinsoku/>
                    <w:wordWrap/>
                    <w:overflowPunct/>
                    <w:topLinePunct w:val="0"/>
                    <w:bidi w:val="0"/>
                    <w:snapToGrid/>
                    <w:spacing w:before="0" w:beforeAutospacing="0" w:after="0" w:afterAutospacing="0"/>
                    <w:ind w:left="0" w:right="0" w:firstLine="0" w:firstLineChars="0"/>
                    <w:jc w:val="center"/>
                    <w:textAlignment w:val="auto"/>
                    <w:rPr>
                      <w:rFonts w:hint="default" w:ascii="Times New Roman" w:cs="Times New Roman"/>
                      <w:color w:val="auto"/>
                      <w:sz w:val="18"/>
                      <w:szCs w:val="18"/>
                    </w:rPr>
                  </w:pPr>
                  <w:r>
                    <w:rPr>
                      <w:rFonts w:hint="default" w:ascii="Times New Roman" w:cs="Times New Roman"/>
                      <w:color w:val="auto"/>
                      <w:sz w:val="18"/>
                      <w:szCs w:val="18"/>
                    </w:rPr>
                    <w:t>达标</w:t>
                  </w:r>
                </w:p>
              </w:tc>
            </w:tr>
          </w:tbl>
          <w:p w14:paraId="5986D05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根据监测结果可知，项目所在地项目所在区域环境空气中TSP能满足《环境空气质量标准》（GB3095-2012）中二级标准，硫化氢能满足《环境影响评价技术导则 大气环境》（HJ2.2-2018）附录D限值要求；非甲烷总烃满足《大气污染物综合排放标准详解》第244页现有企业非甲烷总烃排放标准的制定：1小时平均值选取2mg/m</w:t>
            </w:r>
            <w:r>
              <w:rPr>
                <w:rFonts w:hint="default" w:cs="Times New Roman"/>
                <w:color w:val="auto"/>
                <w:vertAlign w:val="superscript"/>
              </w:rPr>
              <w:t>3</w:t>
            </w:r>
            <w:r>
              <w:rPr>
                <w:rFonts w:hint="default" w:cs="Times New Roman"/>
                <w:color w:val="auto"/>
              </w:rPr>
              <w:t>，无超标情况。</w:t>
            </w:r>
          </w:p>
          <w:p w14:paraId="490F37E6">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二、地表水环境质量</w:t>
            </w:r>
          </w:p>
          <w:p w14:paraId="18C5C0D1">
            <w:pPr>
              <w:keepNext w:val="0"/>
              <w:keepLines w:val="0"/>
              <w:suppressLineNumbers w:val="0"/>
              <w:spacing w:before="0" w:beforeAutospacing="0" w:after="0" w:afterAutospacing="0"/>
              <w:ind w:left="0" w:right="0" w:firstLine="480"/>
              <w:rPr>
                <w:rFonts w:hint="default" w:cs="Times New Roman"/>
                <w:color w:val="auto"/>
                <w:szCs w:val="32"/>
              </w:rPr>
            </w:pPr>
            <w:r>
              <w:rPr>
                <w:rFonts w:hint="default" w:cs="Times New Roman"/>
                <w:color w:val="auto"/>
                <w:szCs w:val="32"/>
              </w:rPr>
              <w:t>本项目根据《建设项目环境影响报告表编制技术指南（污染影响类）（试行）》，地表水环境可引用与建设项目距离近的有效数据，包括近3年的规划环境影响评价的监测数据，所在流域控制单元内国家、地方控制断面监测数据，生态环境主管部门发布的水环境质量数据或地表水达标情况的结论。</w:t>
            </w:r>
          </w:p>
          <w:p w14:paraId="30775DD6">
            <w:pPr>
              <w:keepNext w:val="0"/>
              <w:keepLines w:val="0"/>
              <w:suppressLineNumbers w:val="0"/>
              <w:adjustRightInd w:val="0"/>
              <w:spacing w:before="0" w:beforeAutospacing="0" w:after="0" w:afterAutospacing="0"/>
              <w:ind w:left="0" w:right="0" w:firstLine="505" w:firstLineChars="0"/>
              <w:textAlignment w:val="center"/>
              <w:rPr>
                <w:rFonts w:hint="default" w:cs="Times New Roman"/>
                <w:color w:val="auto"/>
                <w:kern w:val="0"/>
                <w:szCs w:val="20"/>
              </w:rPr>
            </w:pPr>
            <w:r>
              <w:rPr>
                <w:rFonts w:hint="default" w:cs="Times New Roman"/>
                <w:color w:val="auto"/>
                <w:kern w:val="0"/>
                <w:szCs w:val="20"/>
              </w:rPr>
              <w:t>本项目废水通过市政管网进入普光工业园区污水处理厂处理后最终排入后河。</w:t>
            </w:r>
            <w:r>
              <w:rPr>
                <w:rFonts w:hint="eastAsia" w:cs="Times New Roman"/>
                <w:color w:val="auto"/>
                <w:kern w:val="0"/>
                <w:szCs w:val="20"/>
                <w:lang w:eastAsia="zh-CN"/>
              </w:rPr>
              <w:t>后河属于州河上游，下游最近的考核断面为张鼓坪断面（宣汉县→通川区县界，省控考核断面），</w:t>
            </w:r>
            <w:r>
              <w:rPr>
                <w:rFonts w:hint="default" w:cs="Times New Roman"/>
                <w:color w:val="auto"/>
                <w:kern w:val="0"/>
                <w:szCs w:val="20"/>
              </w:rPr>
              <w:t>根据达州市生态环境局发布的《达州市2024年</w:t>
            </w:r>
            <w:r>
              <w:rPr>
                <w:rFonts w:hint="eastAsia" w:cs="Times New Roman"/>
                <w:color w:val="auto"/>
                <w:kern w:val="0"/>
                <w:szCs w:val="20"/>
                <w:lang w:val="en-US" w:eastAsia="zh-CN"/>
              </w:rPr>
              <w:t>7月</w:t>
            </w:r>
            <w:r>
              <w:rPr>
                <w:rFonts w:hint="default" w:cs="Times New Roman"/>
                <w:color w:val="auto"/>
                <w:kern w:val="0"/>
                <w:szCs w:val="20"/>
              </w:rPr>
              <w:t>~202</w:t>
            </w:r>
            <w:r>
              <w:rPr>
                <w:rFonts w:hint="eastAsia" w:cs="Times New Roman"/>
                <w:color w:val="auto"/>
                <w:kern w:val="0"/>
                <w:szCs w:val="20"/>
                <w:lang w:val="en-US" w:eastAsia="zh-CN"/>
              </w:rPr>
              <w:t>5</w:t>
            </w:r>
            <w:r>
              <w:rPr>
                <w:rFonts w:hint="default" w:cs="Times New Roman"/>
                <w:color w:val="auto"/>
                <w:kern w:val="0"/>
                <w:szCs w:val="20"/>
              </w:rPr>
              <w:t>年</w:t>
            </w:r>
            <w:r>
              <w:rPr>
                <w:rFonts w:hint="eastAsia" w:cs="Times New Roman"/>
                <w:color w:val="auto"/>
                <w:kern w:val="0"/>
                <w:szCs w:val="20"/>
                <w:lang w:val="en-US" w:eastAsia="zh-CN"/>
              </w:rPr>
              <w:t>6</w:t>
            </w:r>
            <w:r>
              <w:rPr>
                <w:rFonts w:hint="default" w:cs="Times New Roman"/>
                <w:color w:val="auto"/>
                <w:kern w:val="0"/>
                <w:szCs w:val="20"/>
              </w:rPr>
              <w:t>月地表水环境质量状况》可知，</w:t>
            </w:r>
            <w:r>
              <w:rPr>
                <w:rFonts w:hint="eastAsia" w:cs="Times New Roman"/>
                <w:color w:val="auto"/>
                <w:kern w:val="0"/>
                <w:szCs w:val="20"/>
                <w:lang w:eastAsia="zh-CN"/>
              </w:rPr>
              <w:t>州河</w:t>
            </w:r>
            <w:r>
              <w:rPr>
                <w:rFonts w:hint="default" w:cs="Times New Roman"/>
                <w:color w:val="auto"/>
                <w:kern w:val="0"/>
                <w:szCs w:val="20"/>
              </w:rPr>
              <w:t>张鼓坪断面</w:t>
            </w:r>
            <w:r>
              <w:rPr>
                <w:rFonts w:hint="eastAsia" w:cs="Times New Roman"/>
                <w:color w:val="auto"/>
                <w:kern w:val="0"/>
                <w:szCs w:val="20"/>
                <w:lang w:eastAsia="zh-CN"/>
              </w:rPr>
              <w:t>水质</w:t>
            </w:r>
            <w:r>
              <w:rPr>
                <w:rFonts w:hint="default" w:cs="Times New Roman"/>
                <w:color w:val="auto"/>
                <w:kern w:val="0"/>
                <w:szCs w:val="20"/>
              </w:rPr>
              <w:t>环境现状评价结果见下表。</w:t>
            </w:r>
          </w:p>
          <w:p w14:paraId="38B87580">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地表水环境质量现状评价结果表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686"/>
              <w:gridCol w:w="1402"/>
              <w:gridCol w:w="742"/>
              <w:gridCol w:w="819"/>
              <w:gridCol w:w="1127"/>
              <w:gridCol w:w="2051"/>
            </w:tblGrid>
            <w:tr w14:paraId="1CB1D6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Align w:val="center"/>
                </w:tcPr>
                <w:p w14:paraId="4B292B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eastAsia"/>
                      <w:b/>
                      <w:bCs/>
                      <w:color w:val="auto"/>
                      <w:kern w:val="0"/>
                      <w:sz w:val="21"/>
                      <w:szCs w:val="21"/>
                    </w:rPr>
                    <w:t>断面名称</w:t>
                  </w:r>
                </w:p>
              </w:tc>
              <w:tc>
                <w:tcPr>
                  <w:tcW w:w="452" w:type="pct"/>
                  <w:vAlign w:val="center"/>
                </w:tcPr>
                <w:p w14:paraId="45A648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eastAsia"/>
                      <w:b/>
                      <w:bCs/>
                      <w:color w:val="auto"/>
                      <w:kern w:val="0"/>
                      <w:sz w:val="21"/>
                      <w:szCs w:val="21"/>
                    </w:rPr>
                    <w:t>断面性质</w:t>
                  </w:r>
                </w:p>
              </w:tc>
              <w:tc>
                <w:tcPr>
                  <w:tcW w:w="924" w:type="pct"/>
                  <w:vAlign w:val="center"/>
                </w:tcPr>
                <w:p w14:paraId="48857C3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eastAsia"/>
                      <w:b/>
                      <w:bCs/>
                      <w:color w:val="auto"/>
                      <w:kern w:val="0"/>
                      <w:sz w:val="21"/>
                      <w:szCs w:val="21"/>
                    </w:rPr>
                    <w:t>监测时间</w:t>
                  </w:r>
                </w:p>
              </w:tc>
              <w:tc>
                <w:tcPr>
                  <w:tcW w:w="489" w:type="pct"/>
                  <w:vAlign w:val="center"/>
                </w:tcPr>
                <w:p w14:paraId="0A9130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rPr>
                    <w:t>上月水质类别</w:t>
                  </w:r>
                </w:p>
              </w:tc>
              <w:tc>
                <w:tcPr>
                  <w:tcW w:w="540" w:type="pct"/>
                  <w:vAlign w:val="center"/>
                </w:tcPr>
                <w:p w14:paraId="2FF804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rPr>
                    <w:t>本月水质类别</w:t>
                  </w:r>
                </w:p>
              </w:tc>
              <w:tc>
                <w:tcPr>
                  <w:tcW w:w="743" w:type="pct"/>
                  <w:vAlign w:val="center"/>
                </w:tcPr>
                <w:p w14:paraId="042446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rPr>
                    <w:t>本月主要污染指标</w:t>
                  </w:r>
                </w:p>
              </w:tc>
              <w:tc>
                <w:tcPr>
                  <w:tcW w:w="1352" w:type="pct"/>
                  <w:vAlign w:val="center"/>
                </w:tcPr>
                <w:p w14:paraId="1258FD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rPr>
                    <w:t>数据来源</w:t>
                  </w:r>
                </w:p>
              </w:tc>
            </w:tr>
            <w:tr w14:paraId="48EFD9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restart"/>
                  <w:vAlign w:val="center"/>
                </w:tcPr>
                <w:p w14:paraId="636C46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color w:val="auto"/>
                      <w:sz w:val="21"/>
                      <w:szCs w:val="21"/>
                      <w:lang w:eastAsia="zh-CN"/>
                    </w:rPr>
                    <w:t>州河</w:t>
                  </w:r>
                  <w:r>
                    <w:rPr>
                      <w:rFonts w:hint="eastAsia"/>
                      <w:color w:val="auto"/>
                      <w:sz w:val="21"/>
                      <w:szCs w:val="21"/>
                    </w:rPr>
                    <w:t>-张鼓坪</w:t>
                  </w:r>
                </w:p>
              </w:tc>
              <w:tc>
                <w:tcPr>
                  <w:tcW w:w="452" w:type="pct"/>
                  <w:vMerge w:val="restart"/>
                  <w:vAlign w:val="center"/>
                </w:tcPr>
                <w:p w14:paraId="31E253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lang w:eastAsia="zh-CN"/>
                    </w:rPr>
                    <w:t>省</w:t>
                  </w:r>
                  <w:r>
                    <w:rPr>
                      <w:rFonts w:hint="default"/>
                      <w:color w:val="auto"/>
                      <w:sz w:val="21"/>
                      <w:szCs w:val="21"/>
                    </w:rPr>
                    <w:t>控考核</w:t>
                  </w:r>
                </w:p>
              </w:tc>
              <w:tc>
                <w:tcPr>
                  <w:tcW w:w="924" w:type="pct"/>
                  <w:vAlign w:val="center"/>
                </w:tcPr>
                <w:p w14:paraId="3689D7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7</w:t>
                  </w:r>
                  <w:r>
                    <w:rPr>
                      <w:rFonts w:hint="eastAsia"/>
                      <w:color w:val="auto"/>
                      <w:sz w:val="21"/>
                      <w:szCs w:val="21"/>
                    </w:rPr>
                    <w:t>月</w:t>
                  </w:r>
                </w:p>
              </w:tc>
              <w:tc>
                <w:tcPr>
                  <w:tcW w:w="489" w:type="pct"/>
                  <w:vAlign w:val="center"/>
                </w:tcPr>
                <w:p w14:paraId="73E635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715249F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1BC063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restart"/>
                  <w:vAlign w:val="center"/>
                </w:tcPr>
                <w:p w14:paraId="0399A3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eastAsia="zh-CN"/>
                    </w:rPr>
                  </w:pPr>
                  <w:r>
                    <w:rPr>
                      <w:rFonts w:hint="eastAsia"/>
                      <w:color w:val="auto"/>
                      <w:sz w:val="21"/>
                      <w:szCs w:val="21"/>
                      <w:lang w:eastAsia="zh-CN"/>
                    </w:rPr>
                    <w:t>达州市生态环境局</w:t>
                  </w:r>
                </w:p>
                <w:p w14:paraId="78845F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eastAsia="zh-CN"/>
                    </w:rPr>
                  </w:pPr>
                  <w:r>
                    <w:rPr>
                      <w:rFonts w:hint="eastAsia"/>
                      <w:color w:val="auto"/>
                      <w:sz w:val="21"/>
                      <w:szCs w:val="21"/>
                      <w:lang w:eastAsia="zh-CN"/>
                    </w:rPr>
                    <w:t>（https://sthjj.dazhou.gov.cn/）</w:t>
                  </w:r>
                </w:p>
              </w:tc>
            </w:tr>
            <w:tr w14:paraId="41FBB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41D4BF5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1D223C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369E90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8</w:t>
                  </w:r>
                  <w:r>
                    <w:rPr>
                      <w:rFonts w:hint="eastAsia"/>
                      <w:color w:val="auto"/>
                      <w:sz w:val="21"/>
                      <w:szCs w:val="21"/>
                    </w:rPr>
                    <w:t>月</w:t>
                  </w:r>
                </w:p>
              </w:tc>
              <w:tc>
                <w:tcPr>
                  <w:tcW w:w="489" w:type="pct"/>
                  <w:vAlign w:val="center"/>
                </w:tcPr>
                <w:p w14:paraId="2810FE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674462F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6CF63E3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05319C0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02C7BA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5E8C6C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4E6D8A9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76C9BCC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9</w:t>
                  </w:r>
                  <w:r>
                    <w:rPr>
                      <w:rFonts w:hint="eastAsia"/>
                      <w:color w:val="auto"/>
                      <w:sz w:val="21"/>
                      <w:szCs w:val="21"/>
                    </w:rPr>
                    <w:t>月</w:t>
                  </w:r>
                </w:p>
              </w:tc>
              <w:tc>
                <w:tcPr>
                  <w:tcW w:w="489" w:type="pct"/>
                  <w:vAlign w:val="center"/>
                </w:tcPr>
                <w:p w14:paraId="44EE0B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6A413E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196CAC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2B395C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4E79FD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19592D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19A68D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3933B7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10</w:t>
                  </w:r>
                  <w:r>
                    <w:rPr>
                      <w:rFonts w:hint="eastAsia"/>
                      <w:color w:val="auto"/>
                      <w:sz w:val="21"/>
                      <w:szCs w:val="21"/>
                    </w:rPr>
                    <w:t>月</w:t>
                  </w:r>
                </w:p>
              </w:tc>
              <w:tc>
                <w:tcPr>
                  <w:tcW w:w="489" w:type="pct"/>
                  <w:vAlign w:val="center"/>
                </w:tcPr>
                <w:p w14:paraId="75EF69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144DFA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Ⅲ</w:t>
                  </w:r>
                </w:p>
              </w:tc>
              <w:tc>
                <w:tcPr>
                  <w:tcW w:w="743" w:type="pct"/>
                  <w:vAlign w:val="center"/>
                </w:tcPr>
                <w:p w14:paraId="3A684E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5A15A6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4AC17E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54A654E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6F19085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387E12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11</w:t>
                  </w:r>
                  <w:r>
                    <w:rPr>
                      <w:rFonts w:hint="eastAsia"/>
                      <w:color w:val="auto"/>
                      <w:sz w:val="21"/>
                      <w:szCs w:val="21"/>
                    </w:rPr>
                    <w:t>月</w:t>
                  </w:r>
                </w:p>
              </w:tc>
              <w:tc>
                <w:tcPr>
                  <w:tcW w:w="489" w:type="pct"/>
                  <w:vAlign w:val="center"/>
                </w:tcPr>
                <w:p w14:paraId="6E554C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10B35D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6BD910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5A54843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14DCB3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631AD6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4ADD29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2D429AA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2024年</w:t>
                  </w:r>
                  <w:r>
                    <w:rPr>
                      <w:rFonts w:hint="eastAsia"/>
                      <w:color w:val="auto"/>
                      <w:sz w:val="21"/>
                      <w:szCs w:val="21"/>
                      <w:lang w:val="en-US" w:eastAsia="zh-CN"/>
                    </w:rPr>
                    <w:t>12</w:t>
                  </w:r>
                  <w:r>
                    <w:rPr>
                      <w:rFonts w:hint="eastAsia"/>
                      <w:color w:val="auto"/>
                      <w:sz w:val="21"/>
                      <w:szCs w:val="21"/>
                    </w:rPr>
                    <w:t>月</w:t>
                  </w:r>
                </w:p>
              </w:tc>
              <w:tc>
                <w:tcPr>
                  <w:tcW w:w="489" w:type="pct"/>
                  <w:vAlign w:val="center"/>
                </w:tcPr>
                <w:p w14:paraId="7A49E7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16864AC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13D1615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0A06E3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7B5C27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0C5408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731951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2C457E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1</w:t>
                  </w:r>
                  <w:r>
                    <w:rPr>
                      <w:rFonts w:hint="eastAsia"/>
                      <w:color w:val="auto"/>
                      <w:sz w:val="21"/>
                      <w:szCs w:val="21"/>
                    </w:rPr>
                    <w:t>月</w:t>
                  </w:r>
                </w:p>
              </w:tc>
              <w:tc>
                <w:tcPr>
                  <w:tcW w:w="489" w:type="pct"/>
                  <w:vAlign w:val="center"/>
                </w:tcPr>
                <w:p w14:paraId="31359E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5408DB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351FDB7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2E690A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63FFC5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7B6F59E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64795D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4A1F8E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2</w:t>
                  </w:r>
                  <w:r>
                    <w:rPr>
                      <w:rFonts w:hint="eastAsia"/>
                      <w:color w:val="auto"/>
                      <w:sz w:val="21"/>
                      <w:szCs w:val="21"/>
                    </w:rPr>
                    <w:t>月</w:t>
                  </w:r>
                </w:p>
              </w:tc>
              <w:tc>
                <w:tcPr>
                  <w:tcW w:w="489" w:type="pct"/>
                  <w:vAlign w:val="center"/>
                </w:tcPr>
                <w:p w14:paraId="466CAF3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19FB59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5E0C54B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0F5C403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5D096F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6B54BFF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4A6D829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5570CF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3</w:t>
                  </w:r>
                  <w:r>
                    <w:rPr>
                      <w:rFonts w:hint="eastAsia"/>
                      <w:color w:val="auto"/>
                      <w:sz w:val="21"/>
                      <w:szCs w:val="21"/>
                    </w:rPr>
                    <w:t>月</w:t>
                  </w:r>
                </w:p>
              </w:tc>
              <w:tc>
                <w:tcPr>
                  <w:tcW w:w="489" w:type="pct"/>
                  <w:vAlign w:val="center"/>
                </w:tcPr>
                <w:p w14:paraId="45B5E08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16E7D0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24F1A57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47CA94D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5F6CD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4DB239E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1945528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18A3D4D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4</w:t>
                  </w:r>
                  <w:r>
                    <w:rPr>
                      <w:rFonts w:hint="eastAsia"/>
                      <w:color w:val="auto"/>
                      <w:sz w:val="21"/>
                      <w:szCs w:val="21"/>
                    </w:rPr>
                    <w:t>月</w:t>
                  </w:r>
                </w:p>
              </w:tc>
              <w:tc>
                <w:tcPr>
                  <w:tcW w:w="489" w:type="pct"/>
                  <w:vAlign w:val="center"/>
                </w:tcPr>
                <w:p w14:paraId="50314D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5A56E2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166902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044253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6E774E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795DD2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28F38F2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60474D8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5</w:t>
                  </w:r>
                  <w:r>
                    <w:rPr>
                      <w:rFonts w:hint="eastAsia"/>
                      <w:color w:val="auto"/>
                      <w:sz w:val="21"/>
                      <w:szCs w:val="21"/>
                    </w:rPr>
                    <w:t>月</w:t>
                  </w:r>
                </w:p>
              </w:tc>
              <w:tc>
                <w:tcPr>
                  <w:tcW w:w="489" w:type="pct"/>
                  <w:vAlign w:val="center"/>
                </w:tcPr>
                <w:p w14:paraId="6E68A68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2708A1E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2C77C0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75F862C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r w14:paraId="023044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497" w:type="pct"/>
                  <w:vMerge w:val="continue"/>
                  <w:vAlign w:val="center"/>
                </w:tcPr>
                <w:p w14:paraId="5AB17F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452" w:type="pct"/>
                  <w:vMerge w:val="continue"/>
                  <w:vAlign w:val="center"/>
                </w:tcPr>
                <w:p w14:paraId="575751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924" w:type="pct"/>
                  <w:vAlign w:val="center"/>
                </w:tcPr>
                <w:p w14:paraId="3C1356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r>
                    <w:rPr>
                      <w:rFonts w:hint="eastAsia"/>
                      <w:color w:val="auto"/>
                      <w:sz w:val="21"/>
                      <w:szCs w:val="21"/>
                      <w:lang w:val="en-US" w:eastAsia="zh-CN"/>
                    </w:rPr>
                    <w:t>6</w:t>
                  </w:r>
                  <w:r>
                    <w:rPr>
                      <w:rFonts w:hint="eastAsia"/>
                      <w:color w:val="auto"/>
                      <w:sz w:val="21"/>
                      <w:szCs w:val="21"/>
                    </w:rPr>
                    <w:t>月</w:t>
                  </w:r>
                </w:p>
              </w:tc>
              <w:tc>
                <w:tcPr>
                  <w:tcW w:w="489" w:type="pct"/>
                  <w:vAlign w:val="center"/>
                </w:tcPr>
                <w:p w14:paraId="4967DC8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540" w:type="pct"/>
                  <w:vAlign w:val="center"/>
                </w:tcPr>
                <w:p w14:paraId="4994AB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Ⅱ</w:t>
                  </w:r>
                </w:p>
              </w:tc>
              <w:tc>
                <w:tcPr>
                  <w:tcW w:w="743" w:type="pct"/>
                  <w:vAlign w:val="center"/>
                </w:tcPr>
                <w:p w14:paraId="7BC74FB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w:t>
                  </w:r>
                </w:p>
              </w:tc>
              <w:tc>
                <w:tcPr>
                  <w:tcW w:w="1352" w:type="pct"/>
                  <w:vMerge w:val="continue"/>
                  <w:vAlign w:val="center"/>
                </w:tcPr>
                <w:p w14:paraId="42D1D1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p>
              </w:tc>
            </w:tr>
          </w:tbl>
          <w:p w14:paraId="66D89126">
            <w:pPr>
              <w:keepNext w:val="0"/>
              <w:keepLines w:val="0"/>
              <w:suppressLineNumbers w:val="0"/>
              <w:spacing w:before="0" w:beforeAutospacing="0" w:after="0" w:afterAutospacing="0"/>
              <w:ind w:left="0" w:right="0" w:firstLine="480"/>
              <w:rPr>
                <w:rFonts w:hint="default" w:cs="Times New Roman"/>
                <w:bCs/>
                <w:color w:val="auto"/>
                <w:kern w:val="0"/>
                <w:lang w:val="en-US" w:eastAsia="zh-CN"/>
              </w:rPr>
            </w:pPr>
            <w:r>
              <w:rPr>
                <w:rFonts w:hint="eastAsia" w:cs="Times New Roman"/>
                <w:bCs/>
                <w:color w:val="auto"/>
                <w:kern w:val="0"/>
                <w:lang w:eastAsia="zh-CN"/>
              </w:rPr>
              <w:t>为进一步说明项目所在区域地表水达标情况，本次环评拟引用中国石油化工股份有限公司中原油田普光分公司“天然气净化厂工业水综合治理工程”环评地表水检测资料。该项目监测时间为2024年2月28日~3月1日，监测断面位于普光经济开发区园区污水处理厂排污口上游</w:t>
            </w:r>
            <w:r>
              <w:rPr>
                <w:rFonts w:hint="eastAsia" w:cs="Times New Roman"/>
                <w:bCs/>
                <w:color w:val="auto"/>
                <w:kern w:val="0"/>
                <w:lang w:val="en-US" w:eastAsia="zh-CN"/>
              </w:rPr>
              <w:t>300m至</w:t>
            </w:r>
            <w:r>
              <w:rPr>
                <w:rFonts w:hint="eastAsia" w:cs="Times New Roman"/>
                <w:bCs/>
                <w:color w:val="auto"/>
                <w:kern w:val="0"/>
                <w:lang w:eastAsia="zh-CN"/>
              </w:rPr>
              <w:t>下游</w:t>
            </w:r>
            <w:r>
              <w:rPr>
                <w:rFonts w:hint="eastAsia" w:cs="Times New Roman"/>
                <w:bCs/>
                <w:color w:val="auto"/>
                <w:kern w:val="0"/>
                <w:lang w:val="en-US" w:eastAsia="zh-CN"/>
              </w:rPr>
              <w:t>3000m，所设点位，监测时间等均在引用有效性范围内。</w:t>
            </w:r>
          </w:p>
          <w:p w14:paraId="0D269F68">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default" w:cs="Times New Roman"/>
                <w:color w:val="auto"/>
              </w:rPr>
              <w:t>监测布点</w:t>
            </w:r>
          </w:p>
          <w:p w14:paraId="54D88756">
            <w:pPr>
              <w:pStyle w:val="32"/>
              <w:keepNext w:val="0"/>
              <w:keepLines w:val="0"/>
              <w:suppressLineNumbers w:val="0"/>
              <w:spacing w:before="0" w:beforeAutospacing="0" w:after="0" w:afterAutospacing="0"/>
              <w:ind w:left="0" w:right="0"/>
              <w:rPr>
                <w:rFonts w:hint="default" w:ascii="Times New Roman" w:hAnsi="Times New Roman" w:cs="Times New Roman"/>
                <w:color w:val="auto"/>
                <w:sz w:val="21"/>
                <w:szCs w:val="22"/>
                <w:highlight w:val="none"/>
              </w:rPr>
            </w:pPr>
            <w:r>
              <w:rPr>
                <w:rFonts w:hint="default" w:cs="Times New Roman"/>
                <w:color w:val="auto"/>
              </w:rPr>
              <w:t>引用</w:t>
            </w:r>
            <w:r>
              <w:rPr>
                <w:rFonts w:hint="default" w:ascii="Times New Roman" w:hAnsi="Times New Roman" w:cs="Times New Roman"/>
                <w:color w:val="auto"/>
                <w:sz w:val="21"/>
                <w:szCs w:val="22"/>
                <w:highlight w:val="none"/>
              </w:rPr>
              <w:t>地表水环境现状布点、因子及频次</w:t>
            </w:r>
          </w:p>
          <w:tbl>
            <w:tblPr>
              <w:tblStyle w:val="18"/>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100"/>
              <w:gridCol w:w="2347"/>
              <w:gridCol w:w="3037"/>
              <w:gridCol w:w="1110"/>
            </w:tblGrid>
            <w:tr w14:paraId="311E66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12" w:hRule="exact"/>
                <w:jc w:val="center"/>
              </w:trPr>
              <w:tc>
                <w:tcPr>
                  <w:tcW w:w="724" w:type="pct"/>
                  <w:noWrap w:val="0"/>
                  <w:vAlign w:val="center"/>
                </w:tcPr>
                <w:p w14:paraId="7E44C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点位编号</w:t>
                  </w:r>
                </w:p>
              </w:tc>
              <w:tc>
                <w:tcPr>
                  <w:tcW w:w="1545" w:type="pct"/>
                  <w:noWrap w:val="0"/>
                  <w:vAlign w:val="center"/>
                </w:tcPr>
                <w:p w14:paraId="624D7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检测点位</w:t>
                  </w:r>
                </w:p>
              </w:tc>
              <w:tc>
                <w:tcPr>
                  <w:tcW w:w="1999" w:type="pct"/>
                  <w:noWrap w:val="0"/>
                  <w:vAlign w:val="center"/>
                </w:tcPr>
                <w:p w14:paraId="4D827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检测项目</w:t>
                  </w:r>
                </w:p>
              </w:tc>
              <w:tc>
                <w:tcPr>
                  <w:tcW w:w="730" w:type="pct"/>
                  <w:noWrap w:val="0"/>
                  <w:vAlign w:val="center"/>
                </w:tcPr>
                <w:p w14:paraId="27B56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检测频次</w:t>
                  </w:r>
                </w:p>
              </w:tc>
            </w:tr>
            <w:tr w14:paraId="306764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17" w:hRule="atLeast"/>
                <w:jc w:val="center"/>
              </w:trPr>
              <w:tc>
                <w:tcPr>
                  <w:tcW w:w="724" w:type="pct"/>
                  <w:noWrap w:val="0"/>
                  <w:vAlign w:val="center"/>
                </w:tcPr>
                <w:p w14:paraId="23D20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45" w:type="pct"/>
                  <w:noWrap w:val="0"/>
                  <w:vAlign w:val="center"/>
                </w:tcPr>
                <w:p w14:paraId="21052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排污口上游约</w:t>
                  </w:r>
                  <w:r>
                    <w:rPr>
                      <w:rFonts w:hint="default" w:ascii="Times New Roman" w:hAnsi="Times New Roman" w:cs="Times New Roman"/>
                      <w:color w:val="auto"/>
                      <w:sz w:val="18"/>
                      <w:szCs w:val="18"/>
                      <w:lang w:val="en-US" w:eastAsia="zh-CN"/>
                    </w:rPr>
                    <w:t>300m处（后河）</w:t>
                  </w:r>
                </w:p>
              </w:tc>
              <w:tc>
                <w:tcPr>
                  <w:tcW w:w="1999" w:type="pct"/>
                  <w:vMerge w:val="restart"/>
                  <w:noWrap w:val="0"/>
                  <w:vAlign w:val="center"/>
                </w:tcPr>
                <w:p w14:paraId="237D6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pacing w:val="20"/>
                      <w:sz w:val="18"/>
                      <w:szCs w:val="18"/>
                    </w:rPr>
                  </w:pPr>
                  <w:r>
                    <w:rPr>
                      <w:rFonts w:hint="default" w:ascii="Times New Roman" w:hAnsi="Times New Roman" w:cs="Times New Roman"/>
                      <w:bCs/>
                      <w:color w:val="auto"/>
                      <w:sz w:val="18"/>
                      <w:szCs w:val="18"/>
                      <w:lang w:val="en-US" w:eastAsia="zh-CN"/>
                    </w:rPr>
                    <w:t>pH、溶解氧、水温、悬浮物、化学需氧量、五日生化需氧量、粪大肠菌群、氨氮、总磷、总氮、六价铬、石油类、硫化物、挥发酚、阳离子表面活性剂、叶绿素a、氟化物（氟离子）、氯化物（氯离子）、汞、砷、硒、铅、镉、铜、锌</w:t>
                  </w:r>
                </w:p>
              </w:tc>
              <w:tc>
                <w:tcPr>
                  <w:tcW w:w="730" w:type="pct"/>
                  <w:vMerge w:val="restart"/>
                  <w:noWrap w:val="0"/>
                  <w:vAlign w:val="center"/>
                </w:tcPr>
                <w:p w14:paraId="243D4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1次/点位/天，检测3天</w:t>
                  </w:r>
                </w:p>
              </w:tc>
            </w:tr>
            <w:tr w14:paraId="72534A6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8" w:hRule="atLeast"/>
                <w:jc w:val="center"/>
              </w:trPr>
              <w:tc>
                <w:tcPr>
                  <w:tcW w:w="724" w:type="pct"/>
                  <w:noWrap w:val="0"/>
                  <w:vAlign w:val="center"/>
                </w:tcPr>
                <w:p w14:paraId="431DC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45" w:type="pct"/>
                  <w:noWrap w:val="0"/>
                  <w:vAlign w:val="center"/>
                </w:tcPr>
                <w:p w14:paraId="1607D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排污口下游约</w:t>
                  </w:r>
                  <w:r>
                    <w:rPr>
                      <w:rFonts w:hint="default" w:ascii="Times New Roman" w:hAnsi="Times New Roman" w:cs="Times New Roman"/>
                      <w:color w:val="auto"/>
                      <w:sz w:val="18"/>
                      <w:szCs w:val="18"/>
                      <w:lang w:val="en-US" w:eastAsia="zh-CN"/>
                    </w:rPr>
                    <w:t>1000m处（后河）</w:t>
                  </w:r>
                </w:p>
              </w:tc>
              <w:tc>
                <w:tcPr>
                  <w:tcW w:w="1999" w:type="pct"/>
                  <w:vMerge w:val="continue"/>
                  <w:noWrap w:val="0"/>
                  <w:vAlign w:val="center"/>
                </w:tcPr>
                <w:p w14:paraId="334DC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18"/>
                      <w:szCs w:val="18"/>
                    </w:rPr>
                  </w:pPr>
                </w:p>
              </w:tc>
              <w:tc>
                <w:tcPr>
                  <w:tcW w:w="730" w:type="pct"/>
                  <w:vMerge w:val="continue"/>
                  <w:noWrap w:val="0"/>
                  <w:vAlign w:val="center"/>
                </w:tcPr>
                <w:p w14:paraId="3BB7A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pacing w:val="10"/>
                      <w:sz w:val="18"/>
                      <w:szCs w:val="18"/>
                    </w:rPr>
                  </w:pPr>
                </w:p>
              </w:tc>
            </w:tr>
            <w:tr w14:paraId="128B534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8" w:hRule="atLeast"/>
                <w:jc w:val="center"/>
              </w:trPr>
              <w:tc>
                <w:tcPr>
                  <w:tcW w:w="724" w:type="pct"/>
                  <w:noWrap w:val="0"/>
                  <w:vAlign w:val="center"/>
                </w:tcPr>
                <w:p w14:paraId="580D3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45" w:type="pct"/>
                  <w:noWrap w:val="0"/>
                  <w:vAlign w:val="center"/>
                </w:tcPr>
                <w:p w14:paraId="67BC7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排污口下游约</w:t>
                  </w:r>
                  <w:r>
                    <w:rPr>
                      <w:rFonts w:hint="default" w:ascii="Times New Roman" w:hAnsi="Times New Roman" w:cs="Times New Roman"/>
                      <w:color w:val="auto"/>
                      <w:sz w:val="18"/>
                      <w:szCs w:val="18"/>
                      <w:lang w:val="en-US" w:eastAsia="zh-CN"/>
                    </w:rPr>
                    <w:t>3000m处（后河）</w:t>
                  </w:r>
                </w:p>
              </w:tc>
              <w:tc>
                <w:tcPr>
                  <w:tcW w:w="1999" w:type="pct"/>
                  <w:vMerge w:val="continue"/>
                  <w:noWrap w:val="0"/>
                  <w:vAlign w:val="center"/>
                </w:tcPr>
                <w:p w14:paraId="68BA3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z w:val="18"/>
                      <w:szCs w:val="18"/>
                    </w:rPr>
                  </w:pPr>
                </w:p>
              </w:tc>
              <w:tc>
                <w:tcPr>
                  <w:tcW w:w="730" w:type="pct"/>
                  <w:vMerge w:val="continue"/>
                  <w:noWrap w:val="0"/>
                  <w:vAlign w:val="center"/>
                </w:tcPr>
                <w:p w14:paraId="20B97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auto"/>
                      <w:spacing w:val="10"/>
                      <w:sz w:val="18"/>
                      <w:szCs w:val="18"/>
                    </w:rPr>
                  </w:pPr>
                </w:p>
              </w:tc>
            </w:tr>
          </w:tbl>
          <w:p w14:paraId="601143C8">
            <w:pPr>
              <w:keepNext w:val="0"/>
              <w:keepLines w:val="0"/>
              <w:suppressLineNumbers w:val="0"/>
              <w:spacing w:before="0" w:beforeAutospacing="0" w:after="0" w:afterAutospacing="0"/>
              <w:ind w:left="0" w:right="0" w:firstLine="480"/>
              <w:rPr>
                <w:rFonts w:hint="eastAsia" w:eastAsia="宋体" w:cs="Times New Roman"/>
                <w:bCs/>
                <w:color w:val="auto"/>
                <w:kern w:val="0"/>
                <w:lang w:eastAsia="zh-CN"/>
              </w:rPr>
            </w:pPr>
            <w:r>
              <w:rPr>
                <w:rFonts w:hint="eastAsia" w:ascii="宋体" w:hAnsi="宋体" w:cs="宋体"/>
                <w:color w:val="auto"/>
                <w:lang w:eastAsia="zh-CN"/>
              </w:rPr>
              <w:t>（</w:t>
            </w:r>
            <w:r>
              <w:rPr>
                <w:rFonts w:hint="eastAsia" w:ascii="宋体" w:hAnsi="宋体" w:cs="宋体"/>
                <w:color w:val="auto"/>
                <w:lang w:val="en-US" w:eastAsia="zh-CN"/>
              </w:rPr>
              <w:t>2</w:t>
            </w:r>
            <w:r>
              <w:rPr>
                <w:rFonts w:hint="eastAsia" w:ascii="宋体" w:hAnsi="宋体" w:cs="宋体"/>
                <w:color w:val="auto"/>
                <w:lang w:eastAsia="zh-CN"/>
              </w:rPr>
              <w:t>）</w:t>
            </w:r>
            <w:r>
              <w:rPr>
                <w:rFonts w:hint="default" w:cs="Times New Roman"/>
                <w:color w:val="auto"/>
              </w:rPr>
              <w:t>监测</w:t>
            </w:r>
            <w:r>
              <w:rPr>
                <w:rFonts w:hint="eastAsia" w:cs="Times New Roman"/>
                <w:color w:val="auto"/>
                <w:lang w:eastAsia="zh-CN"/>
              </w:rPr>
              <w:t>结果及评价结果</w:t>
            </w:r>
          </w:p>
          <w:p w14:paraId="2F22F752">
            <w:pPr>
              <w:keepNext w:val="0"/>
              <w:keepLines w:val="0"/>
              <w:suppressLineNumbers w:val="0"/>
              <w:spacing w:before="0" w:beforeAutospacing="0" w:after="0" w:afterAutospacing="0"/>
              <w:ind w:left="0" w:right="0" w:firstLine="480"/>
              <w:rPr>
                <w:rFonts w:hint="eastAsia" w:cs="Times New Roman"/>
                <w:bCs/>
                <w:color w:val="auto"/>
                <w:kern w:val="0"/>
                <w:lang w:eastAsia="zh-CN"/>
              </w:rPr>
            </w:pPr>
            <w:r>
              <w:rPr>
                <w:rFonts w:hint="eastAsia" w:cs="Times New Roman"/>
                <w:bCs/>
                <w:color w:val="auto"/>
                <w:kern w:val="0"/>
                <w:lang w:eastAsia="zh-CN"/>
              </w:rPr>
              <w:t>对该项目监测数据见附件，统计评价结果见下表。</w:t>
            </w:r>
          </w:p>
          <w:p w14:paraId="4854728C">
            <w:pPr>
              <w:pStyle w:val="32"/>
              <w:keepNext w:val="0"/>
              <w:keepLines w:val="0"/>
              <w:suppressLineNumbers w:val="0"/>
              <w:spacing w:before="0" w:beforeAutospacing="0" w:after="0" w:afterAutospacing="0"/>
              <w:ind w:left="0" w:right="0"/>
              <w:rPr>
                <w:rFonts w:hint="default" w:ascii="Times New Roman" w:hAnsi="Times New Roman" w:cs="Times New Roman"/>
                <w:color w:val="auto"/>
                <w:sz w:val="21"/>
                <w:szCs w:val="22"/>
                <w:highlight w:val="none"/>
              </w:rPr>
            </w:pPr>
            <w:r>
              <w:rPr>
                <w:rFonts w:hint="default" w:cs="Times New Roman"/>
                <w:color w:val="auto"/>
              </w:rPr>
              <w:t>引用</w:t>
            </w:r>
            <w:r>
              <w:rPr>
                <w:rFonts w:hint="default" w:ascii="Times New Roman" w:hAnsi="Times New Roman" w:cs="Times New Roman"/>
                <w:color w:val="auto"/>
                <w:sz w:val="21"/>
                <w:szCs w:val="22"/>
                <w:highlight w:val="none"/>
              </w:rPr>
              <w:t>地表水环境现状布点、因子及频次</w:t>
            </w:r>
          </w:p>
          <w:tbl>
            <w:tblPr>
              <w:tblStyle w:val="18"/>
              <w:tblW w:w="4994"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28"/>
              <w:gridCol w:w="1422"/>
              <w:gridCol w:w="1027"/>
              <w:gridCol w:w="1027"/>
              <w:gridCol w:w="1027"/>
              <w:gridCol w:w="810"/>
              <w:gridCol w:w="776"/>
              <w:gridCol w:w="671"/>
            </w:tblGrid>
            <w:tr w14:paraId="4A721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restart"/>
                  <w:noWrap w:val="0"/>
                  <w:vAlign w:val="center"/>
                </w:tcPr>
                <w:p w14:paraId="55E5EA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检测</w:t>
                  </w:r>
                </w:p>
                <w:p w14:paraId="02126E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点位</w:t>
                  </w:r>
                </w:p>
              </w:tc>
              <w:tc>
                <w:tcPr>
                  <w:tcW w:w="937" w:type="pct"/>
                  <w:vMerge w:val="restart"/>
                  <w:noWrap w:val="0"/>
                  <w:vAlign w:val="center"/>
                </w:tcPr>
                <w:p w14:paraId="784C78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检测</w:t>
                  </w:r>
                </w:p>
                <w:p w14:paraId="60A728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w:t>
                  </w:r>
                </w:p>
              </w:tc>
              <w:tc>
                <w:tcPr>
                  <w:tcW w:w="2028" w:type="pct"/>
                  <w:gridSpan w:val="3"/>
                  <w:noWrap w:val="0"/>
                  <w:vAlign w:val="center"/>
                </w:tcPr>
                <w:p w14:paraId="08C758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检测</w:t>
                  </w:r>
                  <w:r>
                    <w:rPr>
                      <w:rFonts w:hint="eastAsia" w:ascii="Times New Roman" w:hAnsi="Times New Roman" w:cs="Times New Roman"/>
                      <w:b/>
                      <w:bCs/>
                      <w:color w:val="auto"/>
                      <w:sz w:val="18"/>
                      <w:szCs w:val="18"/>
                      <w:lang w:val="en-US" w:eastAsia="zh-CN"/>
                    </w:rPr>
                    <w:t>时间及</w:t>
                  </w:r>
                  <w:r>
                    <w:rPr>
                      <w:rFonts w:hint="default" w:ascii="Times New Roman" w:hAnsi="Times New Roman" w:cs="Times New Roman"/>
                      <w:b/>
                      <w:bCs/>
                      <w:color w:val="auto"/>
                      <w:sz w:val="18"/>
                      <w:szCs w:val="18"/>
                    </w:rPr>
                    <w:t>结果</w:t>
                  </w:r>
                </w:p>
              </w:tc>
              <w:tc>
                <w:tcPr>
                  <w:tcW w:w="533" w:type="pct"/>
                  <w:vMerge w:val="restart"/>
                  <w:noWrap w:val="0"/>
                  <w:vAlign w:val="center"/>
                </w:tcPr>
                <w:p w14:paraId="04D6AE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标准值</w:t>
                  </w:r>
                </w:p>
              </w:tc>
              <w:tc>
                <w:tcPr>
                  <w:tcW w:w="511" w:type="pct"/>
                  <w:vMerge w:val="restart"/>
                  <w:noWrap w:val="0"/>
                  <w:vAlign w:val="center"/>
                </w:tcPr>
                <w:p w14:paraId="11E82D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S</w:t>
                  </w:r>
                  <w:r>
                    <w:rPr>
                      <w:rFonts w:hint="default" w:ascii="Times New Roman" w:hAnsi="Times New Roman" w:cs="Times New Roman"/>
                      <w:b/>
                      <w:bCs/>
                      <w:color w:val="auto"/>
                      <w:sz w:val="18"/>
                      <w:szCs w:val="18"/>
                      <w:vertAlign w:val="subscript"/>
                    </w:rPr>
                    <w:t>i，jmax</w:t>
                  </w:r>
                </w:p>
              </w:tc>
              <w:tc>
                <w:tcPr>
                  <w:tcW w:w="442" w:type="pct"/>
                  <w:vMerge w:val="restart"/>
                  <w:noWrap w:val="0"/>
                  <w:vAlign w:val="center"/>
                </w:tcPr>
                <w:p w14:paraId="6C9DB0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达标情况</w:t>
                  </w:r>
                </w:p>
              </w:tc>
            </w:tr>
            <w:tr w14:paraId="2272AF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D2F59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p>
              </w:tc>
              <w:tc>
                <w:tcPr>
                  <w:tcW w:w="937" w:type="pct"/>
                  <w:vMerge w:val="continue"/>
                  <w:noWrap w:val="0"/>
                  <w:vAlign w:val="center"/>
                </w:tcPr>
                <w:p w14:paraId="5A8BD7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p>
              </w:tc>
              <w:tc>
                <w:tcPr>
                  <w:tcW w:w="676" w:type="pct"/>
                  <w:noWrap w:val="0"/>
                  <w:vAlign w:val="center"/>
                </w:tcPr>
                <w:p w14:paraId="6EC8DE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color w:val="auto"/>
                      <w:sz w:val="18"/>
                      <w:szCs w:val="18"/>
                      <w:lang w:val="en-US" w:eastAsia="zh-CN"/>
                    </w:rPr>
                    <w:t>2024.02.28</w:t>
                  </w:r>
                </w:p>
              </w:tc>
              <w:tc>
                <w:tcPr>
                  <w:tcW w:w="676" w:type="pct"/>
                  <w:noWrap w:val="0"/>
                  <w:vAlign w:val="center"/>
                </w:tcPr>
                <w:p w14:paraId="213ED6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color w:val="auto"/>
                      <w:sz w:val="18"/>
                      <w:szCs w:val="18"/>
                      <w:lang w:val="en-US" w:eastAsia="zh-CN"/>
                    </w:rPr>
                    <w:t>2024.02.29</w:t>
                  </w:r>
                </w:p>
              </w:tc>
              <w:tc>
                <w:tcPr>
                  <w:tcW w:w="676" w:type="pct"/>
                  <w:noWrap w:val="0"/>
                  <w:vAlign w:val="center"/>
                </w:tcPr>
                <w:p w14:paraId="498127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cs="Times New Roman"/>
                      <w:color w:val="auto"/>
                      <w:sz w:val="18"/>
                      <w:szCs w:val="18"/>
                      <w:lang w:val="en-US" w:eastAsia="zh-CN"/>
                    </w:rPr>
                    <w:t>2024.03.01</w:t>
                  </w:r>
                </w:p>
              </w:tc>
              <w:tc>
                <w:tcPr>
                  <w:tcW w:w="533" w:type="pct"/>
                  <w:vMerge w:val="continue"/>
                  <w:noWrap w:val="0"/>
                  <w:vAlign w:val="center"/>
                </w:tcPr>
                <w:p w14:paraId="433AD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kern w:val="0"/>
                      <w:sz w:val="18"/>
                      <w:szCs w:val="18"/>
                      <w:lang w:bidi="ar"/>
                    </w:rPr>
                  </w:pPr>
                </w:p>
              </w:tc>
              <w:tc>
                <w:tcPr>
                  <w:tcW w:w="511" w:type="pct"/>
                  <w:vMerge w:val="continue"/>
                  <w:noWrap w:val="0"/>
                  <w:vAlign w:val="center"/>
                </w:tcPr>
                <w:p w14:paraId="24F3C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kern w:val="0"/>
                      <w:sz w:val="18"/>
                      <w:szCs w:val="18"/>
                      <w:lang w:bidi="ar"/>
                    </w:rPr>
                  </w:pPr>
                </w:p>
              </w:tc>
              <w:tc>
                <w:tcPr>
                  <w:tcW w:w="442" w:type="pct"/>
                  <w:vMerge w:val="continue"/>
                  <w:noWrap w:val="0"/>
                  <w:vAlign w:val="center"/>
                </w:tcPr>
                <w:p w14:paraId="30AA4D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kern w:val="0"/>
                      <w:sz w:val="18"/>
                      <w:szCs w:val="18"/>
                      <w:lang w:bidi="ar"/>
                    </w:rPr>
                  </w:pPr>
                </w:p>
              </w:tc>
            </w:tr>
            <w:tr w14:paraId="7282B3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restart"/>
                  <w:noWrap w:val="0"/>
                  <w:vAlign w:val="center"/>
                </w:tcPr>
                <w:p w14:paraId="6DF348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w:t>
                  </w:r>
                </w:p>
              </w:tc>
              <w:tc>
                <w:tcPr>
                  <w:tcW w:w="937" w:type="pct"/>
                  <w:noWrap w:val="0"/>
                  <w:vAlign w:val="center"/>
                </w:tcPr>
                <w:p w14:paraId="51FE2E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lang w:bidi="ar"/>
                    </w:rPr>
                    <w:t>pH（无量纲）</w:t>
                  </w:r>
                </w:p>
              </w:tc>
              <w:tc>
                <w:tcPr>
                  <w:tcW w:w="676" w:type="pct"/>
                  <w:noWrap w:val="0"/>
                  <w:vAlign w:val="center"/>
                </w:tcPr>
                <w:p w14:paraId="0F986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6</w:t>
                  </w:r>
                </w:p>
              </w:tc>
              <w:tc>
                <w:tcPr>
                  <w:tcW w:w="676" w:type="pct"/>
                  <w:noWrap w:val="0"/>
                  <w:vAlign w:val="center"/>
                </w:tcPr>
                <w:p w14:paraId="354E46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6</w:t>
                  </w:r>
                </w:p>
              </w:tc>
              <w:tc>
                <w:tcPr>
                  <w:tcW w:w="676" w:type="pct"/>
                  <w:noWrap w:val="0"/>
                  <w:vAlign w:val="center"/>
                </w:tcPr>
                <w:p w14:paraId="542266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8</w:t>
                  </w:r>
                </w:p>
              </w:tc>
              <w:tc>
                <w:tcPr>
                  <w:tcW w:w="533" w:type="pct"/>
                  <w:noWrap w:val="0"/>
                  <w:vAlign w:val="center"/>
                </w:tcPr>
                <w:p w14:paraId="45621C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6-9</w:t>
                  </w:r>
                </w:p>
              </w:tc>
              <w:tc>
                <w:tcPr>
                  <w:tcW w:w="511" w:type="pct"/>
                  <w:noWrap w:val="0"/>
                  <w:vAlign w:val="center"/>
                </w:tcPr>
                <w:p w14:paraId="23B95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0.</w:t>
                  </w:r>
                  <w:r>
                    <w:rPr>
                      <w:rFonts w:hint="default" w:ascii="Times New Roman" w:hAnsi="Times New Roman" w:eastAsia="等线" w:cs="Times New Roman"/>
                      <w:color w:val="auto"/>
                      <w:sz w:val="18"/>
                      <w:szCs w:val="18"/>
                      <w:lang w:val="en-US" w:eastAsia="zh-CN"/>
                    </w:rPr>
                    <w:t>4</w:t>
                  </w:r>
                  <w:r>
                    <w:rPr>
                      <w:rFonts w:hint="default" w:ascii="Times New Roman" w:hAnsi="Times New Roman" w:eastAsia="等线" w:cs="Times New Roman"/>
                      <w:color w:val="auto"/>
                      <w:sz w:val="18"/>
                      <w:szCs w:val="18"/>
                    </w:rPr>
                    <w:t>0</w:t>
                  </w:r>
                </w:p>
              </w:tc>
              <w:tc>
                <w:tcPr>
                  <w:tcW w:w="442" w:type="pct"/>
                  <w:noWrap w:val="0"/>
                  <w:vAlign w:val="center"/>
                </w:tcPr>
                <w:p w14:paraId="63308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3911BB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7604C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A7952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溶解氧</w:t>
                  </w:r>
                </w:p>
              </w:tc>
              <w:tc>
                <w:tcPr>
                  <w:tcW w:w="676" w:type="pct"/>
                  <w:noWrap w:val="0"/>
                  <w:vAlign w:val="center"/>
                </w:tcPr>
                <w:p w14:paraId="347178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7.1</w:t>
                  </w:r>
                </w:p>
              </w:tc>
              <w:tc>
                <w:tcPr>
                  <w:tcW w:w="676" w:type="pct"/>
                  <w:noWrap w:val="0"/>
                  <w:vAlign w:val="center"/>
                </w:tcPr>
                <w:p w14:paraId="340312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7.0</w:t>
                  </w:r>
                </w:p>
              </w:tc>
              <w:tc>
                <w:tcPr>
                  <w:tcW w:w="676" w:type="pct"/>
                  <w:noWrap w:val="0"/>
                  <w:vAlign w:val="center"/>
                </w:tcPr>
                <w:p w14:paraId="60247A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7.3</w:t>
                  </w:r>
                </w:p>
              </w:tc>
              <w:tc>
                <w:tcPr>
                  <w:tcW w:w="533" w:type="pct"/>
                  <w:noWrap w:val="0"/>
                  <w:vAlign w:val="center"/>
                </w:tcPr>
                <w:p w14:paraId="6C14D3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≥5</w:t>
                  </w:r>
                </w:p>
              </w:tc>
              <w:tc>
                <w:tcPr>
                  <w:tcW w:w="511" w:type="pct"/>
                  <w:noWrap w:val="0"/>
                  <w:vAlign w:val="center"/>
                </w:tcPr>
                <w:p w14:paraId="397F1F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等线" w:cs="Times New Roman"/>
                      <w:color w:val="auto"/>
                      <w:sz w:val="18"/>
                      <w:szCs w:val="18"/>
                      <w:lang w:val="en-US" w:eastAsia="zh-CN"/>
                    </w:rPr>
                  </w:pPr>
                  <w:r>
                    <w:rPr>
                      <w:rFonts w:hint="eastAsia" w:ascii="Times New Roman" w:hAnsi="Times New Roman" w:eastAsia="等线" w:cs="Times New Roman"/>
                      <w:color w:val="auto"/>
                      <w:sz w:val="18"/>
                      <w:szCs w:val="18"/>
                      <w:lang w:val="en-US" w:eastAsia="zh-CN"/>
                    </w:rPr>
                    <w:t>0.73</w:t>
                  </w:r>
                </w:p>
              </w:tc>
              <w:tc>
                <w:tcPr>
                  <w:tcW w:w="442" w:type="pct"/>
                  <w:noWrap w:val="0"/>
                  <w:vAlign w:val="center"/>
                </w:tcPr>
                <w:p w14:paraId="5C5088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4CBC34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E5EED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D072D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水温（℃）</w:t>
                  </w:r>
                </w:p>
              </w:tc>
              <w:tc>
                <w:tcPr>
                  <w:tcW w:w="676" w:type="pct"/>
                  <w:noWrap w:val="0"/>
                  <w:vAlign w:val="center"/>
                </w:tcPr>
                <w:p w14:paraId="263E58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lang w:val="en-US" w:eastAsia="zh-CN"/>
                    </w:rPr>
                    <w:t>6.8</w:t>
                  </w:r>
                </w:p>
              </w:tc>
              <w:tc>
                <w:tcPr>
                  <w:tcW w:w="676" w:type="pct"/>
                  <w:noWrap w:val="0"/>
                  <w:vAlign w:val="center"/>
                </w:tcPr>
                <w:p w14:paraId="056A38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5.9</w:t>
                  </w:r>
                </w:p>
              </w:tc>
              <w:tc>
                <w:tcPr>
                  <w:tcW w:w="676" w:type="pct"/>
                  <w:noWrap w:val="0"/>
                  <w:vAlign w:val="center"/>
                </w:tcPr>
                <w:p w14:paraId="7FFBE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5.4</w:t>
                  </w:r>
                </w:p>
              </w:tc>
              <w:tc>
                <w:tcPr>
                  <w:tcW w:w="533" w:type="pct"/>
                  <w:noWrap w:val="0"/>
                  <w:vAlign w:val="center"/>
                </w:tcPr>
                <w:p w14:paraId="2EC7B6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4EB030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5519E3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r>
            <w:tr w14:paraId="3EE971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D7E23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8DBB0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悬浮物</w:t>
                  </w:r>
                </w:p>
              </w:tc>
              <w:tc>
                <w:tcPr>
                  <w:tcW w:w="676" w:type="pct"/>
                  <w:noWrap w:val="0"/>
                  <w:vAlign w:val="center"/>
                </w:tcPr>
                <w:p w14:paraId="1BD5B1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lang w:val="en-US" w:eastAsia="zh-CN"/>
                    </w:rPr>
                    <w:t>7</w:t>
                  </w:r>
                </w:p>
              </w:tc>
              <w:tc>
                <w:tcPr>
                  <w:tcW w:w="676" w:type="pct"/>
                  <w:noWrap w:val="0"/>
                  <w:vAlign w:val="center"/>
                </w:tcPr>
                <w:p w14:paraId="315336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9</w:t>
                  </w:r>
                </w:p>
              </w:tc>
              <w:tc>
                <w:tcPr>
                  <w:tcW w:w="676" w:type="pct"/>
                  <w:noWrap w:val="0"/>
                  <w:vAlign w:val="center"/>
                </w:tcPr>
                <w:p w14:paraId="6FA6A7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8</w:t>
                  </w:r>
                </w:p>
              </w:tc>
              <w:tc>
                <w:tcPr>
                  <w:tcW w:w="533" w:type="pct"/>
                  <w:noWrap w:val="0"/>
                  <w:vAlign w:val="center"/>
                </w:tcPr>
                <w:p w14:paraId="7778FC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395B8A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76DD6C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r>
            <w:tr w14:paraId="3940C0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AB0BD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B3460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kern w:val="0"/>
                      <w:sz w:val="18"/>
                      <w:szCs w:val="18"/>
                      <w:lang w:val="en-US" w:eastAsia="zh-CN" w:bidi="ar"/>
                    </w:rPr>
                    <w:t>CODcr</w:t>
                  </w:r>
                </w:p>
              </w:tc>
              <w:tc>
                <w:tcPr>
                  <w:tcW w:w="676" w:type="pct"/>
                  <w:noWrap w:val="0"/>
                  <w:vAlign w:val="center"/>
                </w:tcPr>
                <w:p w14:paraId="0A016C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lang w:val="en-US" w:eastAsia="zh-CN"/>
                    </w:rPr>
                    <w:t>10</w:t>
                  </w:r>
                </w:p>
              </w:tc>
              <w:tc>
                <w:tcPr>
                  <w:tcW w:w="676" w:type="pct"/>
                  <w:noWrap w:val="0"/>
                  <w:vAlign w:val="center"/>
                </w:tcPr>
                <w:p w14:paraId="43B7A6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11</w:t>
                  </w:r>
                </w:p>
              </w:tc>
              <w:tc>
                <w:tcPr>
                  <w:tcW w:w="676" w:type="pct"/>
                  <w:noWrap w:val="0"/>
                  <w:vAlign w:val="center"/>
                </w:tcPr>
                <w:p w14:paraId="429BDA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11</w:t>
                  </w:r>
                </w:p>
              </w:tc>
              <w:tc>
                <w:tcPr>
                  <w:tcW w:w="533" w:type="pct"/>
                  <w:noWrap w:val="0"/>
                  <w:vAlign w:val="center"/>
                </w:tcPr>
                <w:p w14:paraId="2FB039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≤20</w:t>
                  </w:r>
                </w:p>
              </w:tc>
              <w:tc>
                <w:tcPr>
                  <w:tcW w:w="511" w:type="pct"/>
                  <w:noWrap w:val="0"/>
                  <w:vAlign w:val="center"/>
                </w:tcPr>
                <w:p w14:paraId="0A02D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55</w:t>
                  </w:r>
                </w:p>
              </w:tc>
              <w:tc>
                <w:tcPr>
                  <w:tcW w:w="442" w:type="pct"/>
                  <w:noWrap w:val="0"/>
                  <w:vAlign w:val="center"/>
                </w:tcPr>
                <w:p w14:paraId="08E13B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val="0"/>
                      <w:bCs/>
                      <w:color w:val="auto"/>
                      <w:sz w:val="18"/>
                      <w:szCs w:val="18"/>
                      <w:lang w:eastAsia="zh-CN"/>
                    </w:rPr>
                    <w:t>达标</w:t>
                  </w:r>
                </w:p>
              </w:tc>
            </w:tr>
            <w:tr w14:paraId="28A167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39708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ABB1F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kern w:val="0"/>
                      <w:sz w:val="18"/>
                      <w:szCs w:val="18"/>
                      <w:lang w:val="en-US" w:eastAsia="zh-CN" w:bidi="ar"/>
                    </w:rPr>
                    <w:t>BOD</w:t>
                  </w:r>
                  <w:r>
                    <w:rPr>
                      <w:rFonts w:hint="eastAsia" w:ascii="Times New Roman" w:hAnsi="Times New Roman" w:cs="Times New Roman"/>
                      <w:color w:val="auto"/>
                      <w:kern w:val="0"/>
                      <w:sz w:val="18"/>
                      <w:szCs w:val="18"/>
                      <w:vertAlign w:val="subscript"/>
                      <w:lang w:val="en-US" w:eastAsia="zh-CN" w:bidi="ar"/>
                    </w:rPr>
                    <w:t>5</w:t>
                  </w:r>
                </w:p>
              </w:tc>
              <w:tc>
                <w:tcPr>
                  <w:tcW w:w="676" w:type="pct"/>
                  <w:noWrap w:val="0"/>
                  <w:vAlign w:val="center"/>
                </w:tcPr>
                <w:p w14:paraId="6988EA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2.2</w:t>
                  </w:r>
                </w:p>
              </w:tc>
              <w:tc>
                <w:tcPr>
                  <w:tcW w:w="676" w:type="pct"/>
                  <w:noWrap w:val="0"/>
                  <w:vAlign w:val="center"/>
                </w:tcPr>
                <w:p w14:paraId="437C54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2.2</w:t>
                  </w:r>
                </w:p>
              </w:tc>
              <w:tc>
                <w:tcPr>
                  <w:tcW w:w="676" w:type="pct"/>
                  <w:noWrap w:val="0"/>
                  <w:vAlign w:val="center"/>
                </w:tcPr>
                <w:p w14:paraId="30F29E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2.3</w:t>
                  </w:r>
                </w:p>
              </w:tc>
              <w:tc>
                <w:tcPr>
                  <w:tcW w:w="533" w:type="pct"/>
                  <w:noWrap w:val="0"/>
                  <w:vAlign w:val="center"/>
                </w:tcPr>
                <w:p w14:paraId="009FF4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511" w:type="pct"/>
                  <w:noWrap w:val="0"/>
                  <w:vAlign w:val="center"/>
                </w:tcPr>
                <w:p w14:paraId="30EF37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5</w:t>
                  </w:r>
                  <w:r>
                    <w:rPr>
                      <w:rFonts w:hint="default" w:ascii="Times New Roman" w:hAnsi="Times New Roman" w:eastAsia="等线" w:cs="Times New Roman"/>
                      <w:color w:val="auto"/>
                      <w:sz w:val="18"/>
                      <w:szCs w:val="18"/>
                      <w:lang w:val="en-US" w:eastAsia="zh-CN"/>
                    </w:rPr>
                    <w:t>8</w:t>
                  </w:r>
                </w:p>
              </w:tc>
              <w:tc>
                <w:tcPr>
                  <w:tcW w:w="442" w:type="pct"/>
                  <w:noWrap w:val="0"/>
                  <w:vAlign w:val="center"/>
                </w:tcPr>
                <w:p w14:paraId="2FAAC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val="0"/>
                      <w:color w:val="auto"/>
                      <w:sz w:val="18"/>
                      <w:szCs w:val="18"/>
                    </w:rPr>
                  </w:pPr>
                  <w:r>
                    <w:rPr>
                      <w:rFonts w:hint="default" w:ascii="Times New Roman" w:hAnsi="Times New Roman" w:cs="Times New Roman"/>
                      <w:b w:val="0"/>
                      <w:bCs/>
                      <w:color w:val="auto"/>
                      <w:sz w:val="18"/>
                      <w:szCs w:val="18"/>
                      <w:lang w:eastAsia="zh-CN"/>
                    </w:rPr>
                    <w:t>达标</w:t>
                  </w:r>
                </w:p>
              </w:tc>
            </w:tr>
            <w:tr w14:paraId="38FA59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DE1E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AB877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粪大肠菌群（MPN/L）</w:t>
                  </w:r>
                </w:p>
              </w:tc>
              <w:tc>
                <w:tcPr>
                  <w:tcW w:w="676" w:type="pct"/>
                  <w:noWrap w:val="0"/>
                  <w:vAlign w:val="center"/>
                </w:tcPr>
                <w:p w14:paraId="396EA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4.0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676" w:type="pct"/>
                  <w:noWrap w:val="0"/>
                  <w:vAlign w:val="center"/>
                </w:tcPr>
                <w:p w14:paraId="48F99E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2.0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676" w:type="pct"/>
                  <w:noWrap w:val="0"/>
                  <w:vAlign w:val="center"/>
                </w:tcPr>
                <w:p w14:paraId="1BDD57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4.0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533" w:type="pct"/>
                  <w:noWrap w:val="0"/>
                  <w:vAlign w:val="center"/>
                </w:tcPr>
                <w:p w14:paraId="5F8601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bCs/>
                      <w:color w:val="auto"/>
                      <w:sz w:val="18"/>
                      <w:szCs w:val="18"/>
                    </w:rPr>
                    <w:t>≤1000</w:t>
                  </w:r>
                </w:p>
              </w:tc>
              <w:tc>
                <w:tcPr>
                  <w:tcW w:w="511" w:type="pct"/>
                  <w:noWrap w:val="0"/>
                  <w:vAlign w:val="center"/>
                </w:tcPr>
                <w:p w14:paraId="64E33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4</w:t>
                  </w:r>
                  <w:r>
                    <w:rPr>
                      <w:rFonts w:hint="default" w:ascii="Times New Roman" w:hAnsi="Times New Roman" w:eastAsia="等线" w:cs="Times New Roman"/>
                      <w:color w:val="auto"/>
                      <w:sz w:val="18"/>
                      <w:szCs w:val="18"/>
                      <w:lang w:val="en-US" w:eastAsia="zh-CN"/>
                    </w:rPr>
                    <w:t>0</w:t>
                  </w:r>
                </w:p>
              </w:tc>
              <w:tc>
                <w:tcPr>
                  <w:tcW w:w="442" w:type="pct"/>
                  <w:noWrap w:val="0"/>
                  <w:vAlign w:val="center"/>
                </w:tcPr>
                <w:p w14:paraId="6F52A4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bCs/>
                      <w:color w:val="auto"/>
                      <w:sz w:val="18"/>
                      <w:szCs w:val="18"/>
                    </w:rPr>
                    <w:t>达标</w:t>
                  </w:r>
                </w:p>
              </w:tc>
            </w:tr>
            <w:tr w14:paraId="719B44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BBBC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DA3A5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氨氮</w:t>
                  </w:r>
                </w:p>
              </w:tc>
              <w:tc>
                <w:tcPr>
                  <w:tcW w:w="676" w:type="pct"/>
                  <w:noWrap w:val="0"/>
                  <w:vAlign w:val="center"/>
                </w:tcPr>
                <w:p w14:paraId="645678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lang w:val="en-US" w:eastAsia="zh-CN"/>
                    </w:rPr>
                    <w:t>0.642</w:t>
                  </w:r>
                </w:p>
              </w:tc>
              <w:tc>
                <w:tcPr>
                  <w:tcW w:w="676" w:type="pct"/>
                  <w:noWrap w:val="0"/>
                  <w:vAlign w:val="center"/>
                </w:tcPr>
                <w:p w14:paraId="4F8BDF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0.598</w:t>
                  </w:r>
                </w:p>
              </w:tc>
              <w:tc>
                <w:tcPr>
                  <w:tcW w:w="676" w:type="pct"/>
                  <w:noWrap w:val="0"/>
                  <w:vAlign w:val="center"/>
                </w:tcPr>
                <w:p w14:paraId="1A1520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670</w:t>
                  </w:r>
                </w:p>
              </w:tc>
              <w:tc>
                <w:tcPr>
                  <w:tcW w:w="533" w:type="pct"/>
                  <w:noWrap w:val="0"/>
                  <w:vAlign w:val="center"/>
                </w:tcPr>
                <w:p w14:paraId="00253D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≤1.0</w:t>
                  </w:r>
                </w:p>
              </w:tc>
              <w:tc>
                <w:tcPr>
                  <w:tcW w:w="511" w:type="pct"/>
                  <w:noWrap w:val="0"/>
                  <w:vAlign w:val="center"/>
                </w:tcPr>
                <w:p w14:paraId="44924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w:t>
                  </w:r>
                  <w:r>
                    <w:rPr>
                      <w:rFonts w:hint="default" w:ascii="Times New Roman" w:hAnsi="Times New Roman" w:eastAsia="等线" w:cs="Times New Roman"/>
                      <w:color w:val="auto"/>
                      <w:sz w:val="18"/>
                      <w:szCs w:val="18"/>
                      <w:lang w:val="en-US" w:eastAsia="zh-CN"/>
                    </w:rPr>
                    <w:t>6</w:t>
                  </w:r>
                  <w:r>
                    <w:rPr>
                      <w:rFonts w:hint="eastAsia" w:ascii="Times New Roman" w:hAnsi="Times New Roman" w:eastAsia="等线" w:cs="Times New Roman"/>
                      <w:color w:val="auto"/>
                      <w:sz w:val="18"/>
                      <w:szCs w:val="18"/>
                      <w:lang w:val="en-US" w:eastAsia="zh-CN"/>
                    </w:rPr>
                    <w:t>7</w:t>
                  </w:r>
                </w:p>
              </w:tc>
              <w:tc>
                <w:tcPr>
                  <w:tcW w:w="442" w:type="pct"/>
                  <w:noWrap w:val="0"/>
                  <w:vAlign w:val="center"/>
                </w:tcPr>
                <w:p w14:paraId="75AA62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2A6F05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907D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DC6B9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总磷</w:t>
                  </w:r>
                </w:p>
              </w:tc>
              <w:tc>
                <w:tcPr>
                  <w:tcW w:w="676" w:type="pct"/>
                  <w:noWrap w:val="0"/>
                  <w:vAlign w:val="center"/>
                </w:tcPr>
                <w:p w14:paraId="208F5E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02</w:t>
                  </w:r>
                </w:p>
              </w:tc>
              <w:tc>
                <w:tcPr>
                  <w:tcW w:w="676" w:type="pct"/>
                  <w:noWrap w:val="0"/>
                  <w:vAlign w:val="center"/>
                </w:tcPr>
                <w:p w14:paraId="2FBBA8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0.02</w:t>
                  </w:r>
                </w:p>
              </w:tc>
              <w:tc>
                <w:tcPr>
                  <w:tcW w:w="676" w:type="pct"/>
                  <w:noWrap w:val="0"/>
                  <w:vAlign w:val="center"/>
                </w:tcPr>
                <w:p w14:paraId="25503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0.01</w:t>
                  </w:r>
                </w:p>
              </w:tc>
              <w:tc>
                <w:tcPr>
                  <w:tcW w:w="533" w:type="pct"/>
                  <w:noWrap w:val="0"/>
                  <w:vAlign w:val="center"/>
                </w:tcPr>
                <w:p w14:paraId="2577F0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≤0.2</w:t>
                  </w:r>
                </w:p>
              </w:tc>
              <w:tc>
                <w:tcPr>
                  <w:tcW w:w="511" w:type="pct"/>
                  <w:noWrap w:val="0"/>
                  <w:vAlign w:val="center"/>
                </w:tcPr>
                <w:p w14:paraId="48D1A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w:t>
                  </w:r>
                  <w:r>
                    <w:rPr>
                      <w:rFonts w:hint="default" w:ascii="Times New Roman" w:hAnsi="Times New Roman" w:eastAsia="等线" w:cs="Times New Roman"/>
                      <w:color w:val="auto"/>
                      <w:sz w:val="18"/>
                      <w:szCs w:val="18"/>
                      <w:lang w:val="en-US" w:eastAsia="zh-CN"/>
                    </w:rPr>
                    <w:t>10</w:t>
                  </w:r>
                </w:p>
              </w:tc>
              <w:tc>
                <w:tcPr>
                  <w:tcW w:w="442" w:type="pct"/>
                  <w:noWrap w:val="0"/>
                  <w:vAlign w:val="center"/>
                </w:tcPr>
                <w:p w14:paraId="2EDB8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3F084D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41DC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98C78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676" w:type="pct"/>
                  <w:noWrap w:val="0"/>
                  <w:vAlign w:val="center"/>
                </w:tcPr>
                <w:p w14:paraId="24E52D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1.66</w:t>
                  </w:r>
                </w:p>
              </w:tc>
              <w:tc>
                <w:tcPr>
                  <w:tcW w:w="676" w:type="pct"/>
                  <w:noWrap w:val="0"/>
                  <w:vAlign w:val="center"/>
                </w:tcPr>
                <w:p w14:paraId="54F3A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1.58</w:t>
                  </w:r>
                </w:p>
              </w:tc>
              <w:tc>
                <w:tcPr>
                  <w:tcW w:w="676" w:type="pct"/>
                  <w:noWrap w:val="0"/>
                  <w:vAlign w:val="center"/>
                </w:tcPr>
                <w:p w14:paraId="0D14B3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val="en-US" w:eastAsia="zh-CN"/>
                    </w:rPr>
                    <w:t>1.70</w:t>
                  </w:r>
                </w:p>
              </w:tc>
              <w:tc>
                <w:tcPr>
                  <w:tcW w:w="533" w:type="pct"/>
                  <w:noWrap w:val="0"/>
                  <w:vAlign w:val="center"/>
                </w:tcPr>
                <w:p w14:paraId="59D123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05E88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799D14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r>
            <w:tr w14:paraId="1FA976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A697C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1D718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六价铬</w:t>
                  </w:r>
                </w:p>
              </w:tc>
              <w:tc>
                <w:tcPr>
                  <w:tcW w:w="676" w:type="pct"/>
                  <w:noWrap w:val="0"/>
                  <w:vAlign w:val="center"/>
                </w:tcPr>
                <w:p w14:paraId="6A646B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517EC0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036AA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4BCBDE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0BC0E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781208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p>
              </w:tc>
            </w:tr>
            <w:tr w14:paraId="3E18D6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D4B3A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CB853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石油类</w:t>
                  </w:r>
                </w:p>
              </w:tc>
              <w:tc>
                <w:tcPr>
                  <w:tcW w:w="676" w:type="pct"/>
                  <w:noWrap w:val="0"/>
                  <w:vAlign w:val="center"/>
                </w:tcPr>
                <w:p w14:paraId="425AC4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0.0</w:t>
                  </w:r>
                  <w:r>
                    <w:rPr>
                      <w:rFonts w:hint="default" w:ascii="Times New Roman" w:hAnsi="Times New Roman" w:cs="Times New Roman"/>
                      <w:bCs/>
                      <w:color w:val="auto"/>
                      <w:sz w:val="18"/>
                      <w:szCs w:val="18"/>
                      <w:lang w:val="en-US" w:eastAsia="zh-CN"/>
                    </w:rPr>
                    <w:t>1</w:t>
                  </w:r>
                </w:p>
              </w:tc>
              <w:tc>
                <w:tcPr>
                  <w:tcW w:w="676" w:type="pct"/>
                  <w:noWrap w:val="0"/>
                  <w:vAlign w:val="center"/>
                </w:tcPr>
                <w:p w14:paraId="16F10B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0.01</w:t>
                  </w:r>
                </w:p>
              </w:tc>
              <w:tc>
                <w:tcPr>
                  <w:tcW w:w="676" w:type="pct"/>
                  <w:noWrap w:val="0"/>
                  <w:vAlign w:val="center"/>
                </w:tcPr>
                <w:p w14:paraId="0D6566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0.01</w:t>
                  </w:r>
                </w:p>
              </w:tc>
              <w:tc>
                <w:tcPr>
                  <w:tcW w:w="533" w:type="pct"/>
                  <w:noWrap w:val="0"/>
                  <w:vAlign w:val="center"/>
                </w:tcPr>
                <w:p w14:paraId="1A2873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4A6A7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0.</w:t>
                  </w:r>
                  <w:r>
                    <w:rPr>
                      <w:rFonts w:hint="default" w:ascii="Times New Roman" w:hAnsi="Times New Roman" w:eastAsia="等线" w:cs="Times New Roman"/>
                      <w:color w:val="auto"/>
                      <w:sz w:val="18"/>
                      <w:szCs w:val="18"/>
                      <w:lang w:val="en-US" w:eastAsia="zh-CN"/>
                    </w:rPr>
                    <w:t>2</w:t>
                  </w:r>
                  <w:r>
                    <w:rPr>
                      <w:rFonts w:hint="default" w:ascii="Times New Roman" w:hAnsi="Times New Roman" w:eastAsia="等线" w:cs="Times New Roman"/>
                      <w:color w:val="auto"/>
                      <w:sz w:val="18"/>
                      <w:szCs w:val="18"/>
                    </w:rPr>
                    <w:t>0</w:t>
                  </w:r>
                </w:p>
              </w:tc>
              <w:tc>
                <w:tcPr>
                  <w:tcW w:w="442" w:type="pct"/>
                  <w:noWrap w:val="0"/>
                  <w:vAlign w:val="center"/>
                </w:tcPr>
                <w:p w14:paraId="32D490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3FAB69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97C50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F9738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硫化物</w:t>
                  </w:r>
                </w:p>
              </w:tc>
              <w:tc>
                <w:tcPr>
                  <w:tcW w:w="676" w:type="pct"/>
                  <w:noWrap w:val="0"/>
                  <w:vAlign w:val="center"/>
                </w:tcPr>
                <w:p w14:paraId="69F2BC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EF17B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40CE74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61E748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20</w:t>
                  </w:r>
                </w:p>
              </w:tc>
              <w:tc>
                <w:tcPr>
                  <w:tcW w:w="511" w:type="pct"/>
                  <w:noWrap w:val="0"/>
                  <w:vAlign w:val="center"/>
                </w:tcPr>
                <w:p w14:paraId="69E05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69E4F4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0FDCDF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5AD1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501A9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挥发酚</w:t>
                  </w:r>
                </w:p>
              </w:tc>
              <w:tc>
                <w:tcPr>
                  <w:tcW w:w="676" w:type="pct"/>
                  <w:noWrap w:val="0"/>
                  <w:vAlign w:val="center"/>
                </w:tcPr>
                <w:p w14:paraId="6A087D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3688C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7C5166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32A8B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≤0.0</w:t>
                  </w:r>
                  <w:r>
                    <w:rPr>
                      <w:rFonts w:hint="default" w:ascii="Times New Roman" w:hAnsi="Times New Roman" w:cs="Times New Roman"/>
                      <w:bCs/>
                      <w:color w:val="auto"/>
                      <w:sz w:val="18"/>
                      <w:szCs w:val="18"/>
                      <w:lang w:val="en-US" w:eastAsia="zh-CN"/>
                    </w:rPr>
                    <w:t>0</w:t>
                  </w:r>
                  <w:r>
                    <w:rPr>
                      <w:rFonts w:hint="default" w:ascii="Times New Roman" w:hAnsi="Times New Roman" w:cs="Times New Roman"/>
                      <w:bCs/>
                      <w:color w:val="auto"/>
                      <w:sz w:val="18"/>
                      <w:szCs w:val="18"/>
                    </w:rPr>
                    <w:t>5</w:t>
                  </w:r>
                </w:p>
              </w:tc>
              <w:tc>
                <w:tcPr>
                  <w:tcW w:w="511" w:type="pct"/>
                  <w:noWrap w:val="0"/>
                  <w:vAlign w:val="center"/>
                </w:tcPr>
                <w:p w14:paraId="25E39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6B526D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2F88F2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447E4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48D55D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阴离子表面活性剂</w:t>
                  </w:r>
                </w:p>
              </w:tc>
              <w:tc>
                <w:tcPr>
                  <w:tcW w:w="676" w:type="pct"/>
                  <w:noWrap w:val="0"/>
                  <w:vAlign w:val="center"/>
                </w:tcPr>
                <w:p w14:paraId="6B5A8E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D7370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B6772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32BBAD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w:t>
                  </w:r>
                </w:p>
              </w:tc>
              <w:tc>
                <w:tcPr>
                  <w:tcW w:w="511" w:type="pct"/>
                  <w:noWrap w:val="0"/>
                  <w:vAlign w:val="center"/>
                </w:tcPr>
                <w:p w14:paraId="27C7E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43B472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28ED78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2DEBD3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E405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eastAsia="zh-CN"/>
                    </w:rPr>
                    <w:t>叶绿素</w:t>
                  </w:r>
                  <w:r>
                    <w:rPr>
                      <w:rFonts w:hint="default" w:ascii="Times New Roman" w:hAnsi="Times New Roman" w:cs="Times New Roman"/>
                      <w:color w:val="auto"/>
                      <w:sz w:val="18"/>
                      <w:szCs w:val="18"/>
                      <w:lang w:val="en-US" w:eastAsia="zh-CN"/>
                    </w:rPr>
                    <w:t>a(ug/L)</w:t>
                  </w:r>
                </w:p>
              </w:tc>
              <w:tc>
                <w:tcPr>
                  <w:tcW w:w="676" w:type="pct"/>
                  <w:noWrap w:val="0"/>
                  <w:vAlign w:val="center"/>
                </w:tcPr>
                <w:p w14:paraId="00A412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03A8BE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C2DD7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541B64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511" w:type="pct"/>
                  <w:noWrap w:val="0"/>
                  <w:vAlign w:val="center"/>
                </w:tcPr>
                <w:p w14:paraId="5AF6C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4E63A9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7F012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12036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7CAC8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氟化物（氟离子）</w:t>
                  </w:r>
                </w:p>
              </w:tc>
              <w:tc>
                <w:tcPr>
                  <w:tcW w:w="676" w:type="pct"/>
                  <w:noWrap w:val="0"/>
                  <w:vAlign w:val="center"/>
                </w:tcPr>
                <w:p w14:paraId="579E47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0.123</w:t>
                  </w:r>
                </w:p>
              </w:tc>
              <w:tc>
                <w:tcPr>
                  <w:tcW w:w="676" w:type="pct"/>
                  <w:noWrap w:val="0"/>
                  <w:vAlign w:val="center"/>
                </w:tcPr>
                <w:p w14:paraId="648A0E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0.121</w:t>
                  </w:r>
                </w:p>
              </w:tc>
              <w:tc>
                <w:tcPr>
                  <w:tcW w:w="676" w:type="pct"/>
                  <w:noWrap w:val="0"/>
                  <w:vAlign w:val="center"/>
                </w:tcPr>
                <w:p w14:paraId="497832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0.123</w:t>
                  </w:r>
                </w:p>
              </w:tc>
              <w:tc>
                <w:tcPr>
                  <w:tcW w:w="533" w:type="pct"/>
                  <w:noWrap w:val="0"/>
                  <w:vAlign w:val="center"/>
                </w:tcPr>
                <w:p w14:paraId="1B3F9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5322B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w:t>
                  </w:r>
                  <w:r>
                    <w:rPr>
                      <w:rFonts w:hint="eastAsia" w:ascii="Times New Roman" w:hAnsi="Times New Roman" w:cs="Times New Roman"/>
                      <w:color w:val="auto"/>
                      <w:sz w:val="18"/>
                      <w:szCs w:val="18"/>
                      <w:lang w:val="en-US" w:eastAsia="zh-CN"/>
                    </w:rPr>
                    <w:t>23</w:t>
                  </w:r>
                </w:p>
              </w:tc>
              <w:tc>
                <w:tcPr>
                  <w:tcW w:w="442" w:type="pct"/>
                  <w:noWrap w:val="0"/>
                  <w:vAlign w:val="center"/>
                </w:tcPr>
                <w:p w14:paraId="34E620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258B4C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01FBA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0D06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氯化物（氯离子）</w:t>
                  </w:r>
                </w:p>
              </w:tc>
              <w:tc>
                <w:tcPr>
                  <w:tcW w:w="676" w:type="pct"/>
                  <w:noWrap w:val="0"/>
                  <w:vAlign w:val="center"/>
                </w:tcPr>
                <w:p w14:paraId="4C25C4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4.65</w:t>
                  </w:r>
                </w:p>
              </w:tc>
              <w:tc>
                <w:tcPr>
                  <w:tcW w:w="676" w:type="pct"/>
                  <w:noWrap w:val="0"/>
                  <w:vAlign w:val="center"/>
                </w:tcPr>
                <w:p w14:paraId="3C6EA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4.64</w:t>
                  </w:r>
                </w:p>
              </w:tc>
              <w:tc>
                <w:tcPr>
                  <w:tcW w:w="676" w:type="pct"/>
                  <w:noWrap w:val="0"/>
                  <w:vAlign w:val="center"/>
                </w:tcPr>
                <w:p w14:paraId="20612E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4.69</w:t>
                  </w:r>
                </w:p>
              </w:tc>
              <w:tc>
                <w:tcPr>
                  <w:tcW w:w="533" w:type="pct"/>
                  <w:noWrap w:val="0"/>
                  <w:vAlign w:val="center"/>
                </w:tcPr>
                <w:p w14:paraId="121A11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250</w:t>
                  </w:r>
                </w:p>
              </w:tc>
              <w:tc>
                <w:tcPr>
                  <w:tcW w:w="511" w:type="pct"/>
                  <w:noWrap w:val="0"/>
                  <w:vAlign w:val="center"/>
                </w:tcPr>
                <w:p w14:paraId="786C3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w:t>
                  </w:r>
                </w:p>
              </w:tc>
              <w:tc>
                <w:tcPr>
                  <w:tcW w:w="442" w:type="pct"/>
                  <w:noWrap w:val="0"/>
                  <w:vAlign w:val="center"/>
                </w:tcPr>
                <w:p w14:paraId="5DFA79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42295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00595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6368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汞</w:t>
                  </w:r>
                </w:p>
              </w:tc>
              <w:tc>
                <w:tcPr>
                  <w:tcW w:w="676" w:type="pct"/>
                  <w:noWrap w:val="0"/>
                  <w:vAlign w:val="center"/>
                </w:tcPr>
                <w:p w14:paraId="5326DB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693C2B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511E8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637591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0001</w:t>
                  </w:r>
                </w:p>
              </w:tc>
              <w:tc>
                <w:tcPr>
                  <w:tcW w:w="511" w:type="pct"/>
                  <w:noWrap w:val="0"/>
                  <w:vAlign w:val="center"/>
                </w:tcPr>
                <w:p w14:paraId="5793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305938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151AB9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0D13F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075B5E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砷</w:t>
                  </w:r>
                </w:p>
              </w:tc>
              <w:tc>
                <w:tcPr>
                  <w:tcW w:w="676" w:type="pct"/>
                  <w:noWrap w:val="0"/>
                  <w:vAlign w:val="center"/>
                </w:tcPr>
                <w:p w14:paraId="2CEB8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0828E4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27E0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45B613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15136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35A98F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1019D6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EC92B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034C2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硒</w:t>
                  </w:r>
                </w:p>
              </w:tc>
              <w:tc>
                <w:tcPr>
                  <w:tcW w:w="676" w:type="pct"/>
                  <w:noWrap w:val="0"/>
                  <w:vAlign w:val="center"/>
                </w:tcPr>
                <w:p w14:paraId="3A6F27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61D028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77389D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24ADF2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01</w:t>
                  </w:r>
                </w:p>
              </w:tc>
              <w:tc>
                <w:tcPr>
                  <w:tcW w:w="511" w:type="pct"/>
                  <w:noWrap w:val="0"/>
                  <w:vAlign w:val="center"/>
                </w:tcPr>
                <w:p w14:paraId="50EBB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4425AC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779F99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0F65F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FB402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铅</w:t>
                  </w:r>
                </w:p>
              </w:tc>
              <w:tc>
                <w:tcPr>
                  <w:tcW w:w="676" w:type="pct"/>
                  <w:noWrap w:val="0"/>
                  <w:vAlign w:val="center"/>
                </w:tcPr>
                <w:p w14:paraId="5C3689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2BA121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661AF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2689BD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64EE5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0AB43A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690A1B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2B4A56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F995E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镉</w:t>
                  </w:r>
                </w:p>
              </w:tc>
              <w:tc>
                <w:tcPr>
                  <w:tcW w:w="676" w:type="pct"/>
                  <w:noWrap w:val="0"/>
                  <w:vAlign w:val="center"/>
                </w:tcPr>
                <w:p w14:paraId="1F884B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38FC6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994A3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2ECC29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005</w:t>
                  </w:r>
                </w:p>
              </w:tc>
              <w:tc>
                <w:tcPr>
                  <w:tcW w:w="511" w:type="pct"/>
                  <w:noWrap w:val="0"/>
                  <w:vAlign w:val="center"/>
                </w:tcPr>
                <w:p w14:paraId="1380A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08AB82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4CD7DC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6F9CC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E2A6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铜</w:t>
                  </w:r>
                </w:p>
              </w:tc>
              <w:tc>
                <w:tcPr>
                  <w:tcW w:w="676" w:type="pct"/>
                  <w:noWrap w:val="0"/>
                  <w:vAlign w:val="center"/>
                </w:tcPr>
                <w:p w14:paraId="21902E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04FE3B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1C774C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06577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5F273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0FBF4A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1C7045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B7CDD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FDE5D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锌</w:t>
                  </w:r>
                </w:p>
              </w:tc>
              <w:tc>
                <w:tcPr>
                  <w:tcW w:w="676" w:type="pct"/>
                  <w:noWrap w:val="0"/>
                  <w:vAlign w:val="center"/>
                </w:tcPr>
                <w:p w14:paraId="180CB3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E8F7B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087645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5AEDA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6A3B3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2" w:type="pct"/>
                  <w:noWrap w:val="0"/>
                  <w:vAlign w:val="center"/>
                </w:tcPr>
                <w:p w14:paraId="26A0D9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0D9958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restart"/>
                  <w:noWrap w:val="0"/>
                  <w:vAlign w:val="center"/>
                </w:tcPr>
                <w:p w14:paraId="1E986A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w:t>
                  </w:r>
                </w:p>
              </w:tc>
              <w:tc>
                <w:tcPr>
                  <w:tcW w:w="937" w:type="pct"/>
                  <w:noWrap w:val="0"/>
                  <w:vAlign w:val="center"/>
                </w:tcPr>
                <w:p w14:paraId="2910F6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pH（无量纲）</w:t>
                  </w:r>
                </w:p>
              </w:tc>
              <w:tc>
                <w:tcPr>
                  <w:tcW w:w="676" w:type="pct"/>
                  <w:noWrap w:val="0"/>
                  <w:vAlign w:val="center"/>
                </w:tcPr>
                <w:p w14:paraId="1B2A4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7</w:t>
                  </w:r>
                </w:p>
              </w:tc>
              <w:tc>
                <w:tcPr>
                  <w:tcW w:w="676" w:type="pct"/>
                  <w:noWrap w:val="0"/>
                  <w:vAlign w:val="center"/>
                </w:tcPr>
                <w:p w14:paraId="0FC04E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7</w:t>
                  </w:r>
                </w:p>
              </w:tc>
              <w:tc>
                <w:tcPr>
                  <w:tcW w:w="676" w:type="pct"/>
                  <w:noWrap w:val="0"/>
                  <w:vAlign w:val="center"/>
                </w:tcPr>
                <w:p w14:paraId="49B7FB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6</w:t>
                  </w:r>
                </w:p>
              </w:tc>
              <w:tc>
                <w:tcPr>
                  <w:tcW w:w="533" w:type="pct"/>
                  <w:noWrap w:val="0"/>
                  <w:vAlign w:val="center"/>
                </w:tcPr>
                <w:p w14:paraId="49588E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6-9</w:t>
                  </w:r>
                </w:p>
              </w:tc>
              <w:tc>
                <w:tcPr>
                  <w:tcW w:w="511" w:type="pct"/>
                  <w:noWrap w:val="0"/>
                  <w:vAlign w:val="center"/>
                </w:tcPr>
                <w:p w14:paraId="6CB84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0.35</w:t>
                  </w:r>
                </w:p>
              </w:tc>
              <w:tc>
                <w:tcPr>
                  <w:tcW w:w="442" w:type="pct"/>
                  <w:noWrap w:val="0"/>
                  <w:vAlign w:val="center"/>
                </w:tcPr>
                <w:p w14:paraId="0360C5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4645E8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4A499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287C11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溶解氧</w:t>
                  </w:r>
                </w:p>
              </w:tc>
              <w:tc>
                <w:tcPr>
                  <w:tcW w:w="676" w:type="pct"/>
                  <w:noWrap w:val="0"/>
                  <w:vAlign w:val="center"/>
                </w:tcPr>
                <w:p w14:paraId="77D61B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7.4</w:t>
                  </w:r>
                </w:p>
              </w:tc>
              <w:tc>
                <w:tcPr>
                  <w:tcW w:w="676" w:type="pct"/>
                  <w:noWrap w:val="0"/>
                  <w:vAlign w:val="center"/>
                </w:tcPr>
                <w:p w14:paraId="56F095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7.3</w:t>
                  </w:r>
                </w:p>
              </w:tc>
              <w:tc>
                <w:tcPr>
                  <w:tcW w:w="676" w:type="pct"/>
                  <w:noWrap w:val="0"/>
                  <w:vAlign w:val="center"/>
                </w:tcPr>
                <w:p w14:paraId="601841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7.2</w:t>
                  </w:r>
                </w:p>
              </w:tc>
              <w:tc>
                <w:tcPr>
                  <w:tcW w:w="533" w:type="pct"/>
                  <w:noWrap w:val="0"/>
                  <w:vAlign w:val="center"/>
                </w:tcPr>
                <w:p w14:paraId="76F5AE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≥5</w:t>
                  </w:r>
                </w:p>
              </w:tc>
              <w:tc>
                <w:tcPr>
                  <w:tcW w:w="511" w:type="pct"/>
                  <w:noWrap w:val="0"/>
                  <w:vAlign w:val="center"/>
                </w:tcPr>
                <w:p w14:paraId="0801B4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eastAsia"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0.7</w:t>
                  </w:r>
                  <w:r>
                    <w:rPr>
                      <w:rFonts w:hint="eastAsia" w:ascii="Times New Roman" w:hAnsi="Times New Roman" w:eastAsia="等线" w:cs="Times New Roman"/>
                      <w:color w:val="auto"/>
                      <w:sz w:val="18"/>
                      <w:szCs w:val="18"/>
                      <w:lang w:val="en-US" w:eastAsia="zh-CN"/>
                    </w:rPr>
                    <w:t>1</w:t>
                  </w:r>
                </w:p>
              </w:tc>
              <w:tc>
                <w:tcPr>
                  <w:tcW w:w="442" w:type="pct"/>
                  <w:noWrap w:val="0"/>
                  <w:vAlign w:val="center"/>
                </w:tcPr>
                <w:p w14:paraId="3CBBAF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064837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BAB1C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0E52C7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水温（℃）</w:t>
                  </w:r>
                </w:p>
              </w:tc>
              <w:tc>
                <w:tcPr>
                  <w:tcW w:w="676" w:type="pct"/>
                  <w:noWrap w:val="0"/>
                  <w:vAlign w:val="center"/>
                </w:tcPr>
                <w:p w14:paraId="0241A0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7.1</w:t>
                  </w:r>
                </w:p>
              </w:tc>
              <w:tc>
                <w:tcPr>
                  <w:tcW w:w="676" w:type="pct"/>
                  <w:noWrap w:val="0"/>
                  <w:vAlign w:val="center"/>
                </w:tcPr>
                <w:p w14:paraId="78DFAC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w:t>
                  </w:r>
                </w:p>
              </w:tc>
              <w:tc>
                <w:tcPr>
                  <w:tcW w:w="676" w:type="pct"/>
                  <w:noWrap w:val="0"/>
                  <w:vAlign w:val="center"/>
                </w:tcPr>
                <w:p w14:paraId="3DC796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5</w:t>
                  </w:r>
                  <w:r>
                    <w:rPr>
                      <w:rFonts w:hint="default" w:ascii="Times New Roman" w:hAnsi="Times New Roman" w:cs="Times New Roman"/>
                      <w:bCs/>
                      <w:color w:val="auto"/>
                      <w:sz w:val="18"/>
                      <w:szCs w:val="18"/>
                    </w:rPr>
                    <w:t>.6</w:t>
                  </w:r>
                </w:p>
              </w:tc>
              <w:tc>
                <w:tcPr>
                  <w:tcW w:w="533" w:type="pct"/>
                  <w:noWrap w:val="0"/>
                  <w:vAlign w:val="center"/>
                </w:tcPr>
                <w:p w14:paraId="2E028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7A9FCA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3B7007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23F381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F9C77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4B42A6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悬浮物</w:t>
                  </w:r>
                </w:p>
              </w:tc>
              <w:tc>
                <w:tcPr>
                  <w:tcW w:w="676" w:type="pct"/>
                  <w:noWrap w:val="0"/>
                  <w:vAlign w:val="center"/>
                </w:tcPr>
                <w:p w14:paraId="45A0CD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8</w:t>
                  </w:r>
                </w:p>
              </w:tc>
              <w:tc>
                <w:tcPr>
                  <w:tcW w:w="676" w:type="pct"/>
                  <w:noWrap w:val="0"/>
                  <w:vAlign w:val="center"/>
                </w:tcPr>
                <w:p w14:paraId="31E5CF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1</w:t>
                  </w:r>
                  <w:r>
                    <w:rPr>
                      <w:rFonts w:hint="default" w:ascii="Times New Roman" w:hAnsi="Times New Roman" w:cs="Times New Roman"/>
                      <w:bCs/>
                      <w:color w:val="auto"/>
                      <w:sz w:val="18"/>
                      <w:szCs w:val="18"/>
                      <w:lang w:val="en-US" w:eastAsia="zh-CN"/>
                    </w:rPr>
                    <w:t>3</w:t>
                  </w:r>
                </w:p>
              </w:tc>
              <w:tc>
                <w:tcPr>
                  <w:tcW w:w="676" w:type="pct"/>
                  <w:noWrap w:val="0"/>
                  <w:vAlign w:val="center"/>
                </w:tcPr>
                <w:p w14:paraId="01F2F8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12</w:t>
                  </w:r>
                </w:p>
              </w:tc>
              <w:tc>
                <w:tcPr>
                  <w:tcW w:w="533" w:type="pct"/>
                  <w:noWrap w:val="0"/>
                  <w:vAlign w:val="center"/>
                </w:tcPr>
                <w:p w14:paraId="439715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064122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1E9D67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4AB3C3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42009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14020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lang w:val="en-US" w:eastAsia="zh-CN" w:bidi="ar"/>
                    </w:rPr>
                    <w:t>CODcr</w:t>
                  </w:r>
                </w:p>
              </w:tc>
              <w:tc>
                <w:tcPr>
                  <w:tcW w:w="676" w:type="pct"/>
                  <w:noWrap w:val="0"/>
                  <w:vAlign w:val="center"/>
                </w:tcPr>
                <w:p w14:paraId="7C0E67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14</w:t>
                  </w:r>
                </w:p>
              </w:tc>
              <w:tc>
                <w:tcPr>
                  <w:tcW w:w="676" w:type="pct"/>
                  <w:noWrap w:val="0"/>
                  <w:vAlign w:val="center"/>
                </w:tcPr>
                <w:p w14:paraId="0138F2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w:t>
                  </w:r>
                </w:p>
              </w:tc>
              <w:tc>
                <w:tcPr>
                  <w:tcW w:w="676" w:type="pct"/>
                  <w:noWrap w:val="0"/>
                  <w:vAlign w:val="center"/>
                </w:tcPr>
                <w:p w14:paraId="1F5E82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w:t>
                  </w:r>
                </w:p>
              </w:tc>
              <w:tc>
                <w:tcPr>
                  <w:tcW w:w="533" w:type="pct"/>
                  <w:noWrap w:val="0"/>
                  <w:vAlign w:val="center"/>
                </w:tcPr>
                <w:p w14:paraId="492D6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≤20</w:t>
                  </w:r>
                </w:p>
              </w:tc>
              <w:tc>
                <w:tcPr>
                  <w:tcW w:w="511" w:type="pct"/>
                  <w:noWrap w:val="0"/>
                  <w:vAlign w:val="center"/>
                </w:tcPr>
                <w:p w14:paraId="25C0F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0.80</w:t>
                  </w:r>
                </w:p>
              </w:tc>
              <w:tc>
                <w:tcPr>
                  <w:tcW w:w="442" w:type="pct"/>
                  <w:noWrap w:val="0"/>
                  <w:vAlign w:val="center"/>
                </w:tcPr>
                <w:p w14:paraId="39BA92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val="0"/>
                      <w:color w:val="auto"/>
                      <w:sz w:val="18"/>
                      <w:szCs w:val="18"/>
                    </w:rPr>
                  </w:pPr>
                  <w:r>
                    <w:rPr>
                      <w:rFonts w:hint="default" w:ascii="Times New Roman" w:hAnsi="Times New Roman" w:cs="Times New Roman"/>
                      <w:b w:val="0"/>
                      <w:bCs/>
                      <w:color w:val="auto"/>
                      <w:sz w:val="18"/>
                      <w:szCs w:val="18"/>
                      <w:lang w:eastAsia="zh-CN"/>
                    </w:rPr>
                    <w:t>达</w:t>
                  </w:r>
                  <w:r>
                    <w:rPr>
                      <w:rFonts w:hint="default" w:ascii="Times New Roman" w:hAnsi="Times New Roman" w:cs="Times New Roman"/>
                      <w:b w:val="0"/>
                      <w:bCs/>
                      <w:color w:val="auto"/>
                      <w:sz w:val="18"/>
                      <w:szCs w:val="18"/>
                    </w:rPr>
                    <w:t>标</w:t>
                  </w:r>
                </w:p>
              </w:tc>
            </w:tr>
            <w:tr w14:paraId="44FB9A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A8684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55D6BB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lang w:val="en-US" w:eastAsia="zh-CN" w:bidi="ar"/>
                    </w:rPr>
                    <w:t>BOD</w:t>
                  </w:r>
                  <w:r>
                    <w:rPr>
                      <w:rFonts w:hint="eastAsia" w:ascii="Times New Roman" w:hAnsi="Times New Roman" w:cs="Times New Roman"/>
                      <w:color w:val="auto"/>
                      <w:kern w:val="0"/>
                      <w:sz w:val="18"/>
                      <w:szCs w:val="18"/>
                      <w:vertAlign w:val="subscript"/>
                      <w:lang w:val="en-US" w:eastAsia="zh-CN" w:bidi="ar"/>
                    </w:rPr>
                    <w:t>5</w:t>
                  </w:r>
                </w:p>
              </w:tc>
              <w:tc>
                <w:tcPr>
                  <w:tcW w:w="676" w:type="pct"/>
                  <w:noWrap w:val="0"/>
                  <w:vAlign w:val="center"/>
                </w:tcPr>
                <w:p w14:paraId="2995ED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2.7</w:t>
                  </w:r>
                </w:p>
              </w:tc>
              <w:tc>
                <w:tcPr>
                  <w:tcW w:w="676" w:type="pct"/>
                  <w:noWrap w:val="0"/>
                  <w:vAlign w:val="center"/>
                </w:tcPr>
                <w:p w14:paraId="3E5CEB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2.8</w:t>
                  </w:r>
                </w:p>
              </w:tc>
              <w:tc>
                <w:tcPr>
                  <w:tcW w:w="676" w:type="pct"/>
                  <w:noWrap w:val="0"/>
                  <w:vAlign w:val="center"/>
                </w:tcPr>
                <w:p w14:paraId="645BE3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2.9</w:t>
                  </w:r>
                </w:p>
              </w:tc>
              <w:tc>
                <w:tcPr>
                  <w:tcW w:w="533" w:type="pct"/>
                  <w:noWrap w:val="0"/>
                  <w:vAlign w:val="center"/>
                </w:tcPr>
                <w:p w14:paraId="1F3F54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≤4</w:t>
                  </w:r>
                </w:p>
              </w:tc>
              <w:tc>
                <w:tcPr>
                  <w:tcW w:w="511" w:type="pct"/>
                  <w:noWrap w:val="0"/>
                  <w:vAlign w:val="center"/>
                </w:tcPr>
                <w:p w14:paraId="7CF528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0.7</w:t>
                  </w:r>
                  <w:r>
                    <w:rPr>
                      <w:rFonts w:hint="eastAsia" w:ascii="Times New Roman" w:hAnsi="Times New Roman" w:eastAsia="等线" w:cs="Times New Roman"/>
                      <w:color w:val="auto"/>
                      <w:sz w:val="18"/>
                      <w:szCs w:val="18"/>
                      <w:lang w:val="en-US" w:eastAsia="zh-CN"/>
                    </w:rPr>
                    <w:t>3</w:t>
                  </w:r>
                </w:p>
              </w:tc>
              <w:tc>
                <w:tcPr>
                  <w:tcW w:w="442" w:type="pct"/>
                  <w:noWrap w:val="0"/>
                  <w:vAlign w:val="center"/>
                </w:tcPr>
                <w:p w14:paraId="721E24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val="0"/>
                      <w:color w:val="auto"/>
                      <w:sz w:val="18"/>
                      <w:szCs w:val="18"/>
                    </w:rPr>
                  </w:pPr>
                  <w:r>
                    <w:rPr>
                      <w:rFonts w:hint="default" w:ascii="Times New Roman" w:hAnsi="Times New Roman" w:cs="Times New Roman"/>
                      <w:b w:val="0"/>
                      <w:bCs/>
                      <w:color w:val="auto"/>
                      <w:sz w:val="18"/>
                      <w:szCs w:val="18"/>
                      <w:lang w:eastAsia="zh-CN"/>
                    </w:rPr>
                    <w:t>达</w:t>
                  </w:r>
                  <w:r>
                    <w:rPr>
                      <w:rFonts w:hint="default" w:ascii="Times New Roman" w:hAnsi="Times New Roman" w:cs="Times New Roman"/>
                      <w:b w:val="0"/>
                      <w:bCs/>
                      <w:color w:val="auto"/>
                      <w:sz w:val="18"/>
                      <w:szCs w:val="18"/>
                    </w:rPr>
                    <w:t>标</w:t>
                  </w:r>
                </w:p>
              </w:tc>
            </w:tr>
            <w:tr w14:paraId="6D64A3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46" w:type="pct"/>
                  <w:vMerge w:val="continue"/>
                  <w:noWrap w:val="0"/>
                  <w:vAlign w:val="center"/>
                </w:tcPr>
                <w:p w14:paraId="0217C8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72638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粪大肠菌群（MPN/L）</w:t>
                  </w:r>
                </w:p>
              </w:tc>
              <w:tc>
                <w:tcPr>
                  <w:tcW w:w="676" w:type="pct"/>
                  <w:noWrap w:val="0"/>
                  <w:vAlign w:val="center"/>
                </w:tcPr>
                <w:p w14:paraId="152205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rPr>
                    <w:t>5.0×10</w:t>
                  </w:r>
                  <w:r>
                    <w:rPr>
                      <w:rFonts w:hint="default" w:ascii="Times New Roman" w:hAnsi="Times New Roman" w:cs="Times New Roman"/>
                      <w:bCs/>
                      <w:color w:val="auto"/>
                      <w:sz w:val="18"/>
                      <w:szCs w:val="18"/>
                      <w:vertAlign w:val="superscript"/>
                    </w:rPr>
                    <w:t>2</w:t>
                  </w:r>
                </w:p>
              </w:tc>
              <w:tc>
                <w:tcPr>
                  <w:tcW w:w="676" w:type="pct"/>
                  <w:noWrap w:val="0"/>
                  <w:vAlign w:val="center"/>
                </w:tcPr>
                <w:p w14:paraId="141EB0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6</w:t>
                  </w:r>
                  <w:r>
                    <w:rPr>
                      <w:rFonts w:hint="default" w:ascii="Times New Roman" w:hAnsi="Times New Roman" w:cs="Times New Roman"/>
                      <w:bCs/>
                      <w:color w:val="auto"/>
                      <w:sz w:val="18"/>
                      <w:szCs w:val="18"/>
                    </w:rPr>
                    <w:t>.0×10</w:t>
                  </w:r>
                  <w:r>
                    <w:rPr>
                      <w:rFonts w:hint="default" w:ascii="Times New Roman" w:hAnsi="Times New Roman" w:cs="Times New Roman"/>
                      <w:bCs/>
                      <w:color w:val="auto"/>
                      <w:sz w:val="18"/>
                      <w:szCs w:val="18"/>
                      <w:vertAlign w:val="superscript"/>
                    </w:rPr>
                    <w:t>2</w:t>
                  </w:r>
                </w:p>
              </w:tc>
              <w:tc>
                <w:tcPr>
                  <w:tcW w:w="676" w:type="pct"/>
                  <w:noWrap w:val="0"/>
                  <w:vAlign w:val="center"/>
                </w:tcPr>
                <w:p w14:paraId="6137C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6</w:t>
                  </w:r>
                  <w:r>
                    <w:rPr>
                      <w:rFonts w:hint="default" w:ascii="Times New Roman" w:hAnsi="Times New Roman" w:cs="Times New Roman"/>
                      <w:bCs/>
                      <w:color w:val="auto"/>
                      <w:sz w:val="18"/>
                      <w:szCs w:val="18"/>
                    </w:rPr>
                    <w:t>.0×10</w:t>
                  </w:r>
                  <w:r>
                    <w:rPr>
                      <w:rFonts w:hint="default" w:ascii="Times New Roman" w:hAnsi="Times New Roman" w:cs="Times New Roman"/>
                      <w:bCs/>
                      <w:color w:val="auto"/>
                      <w:sz w:val="18"/>
                      <w:szCs w:val="18"/>
                      <w:vertAlign w:val="superscript"/>
                    </w:rPr>
                    <w:t>2</w:t>
                  </w:r>
                </w:p>
              </w:tc>
              <w:tc>
                <w:tcPr>
                  <w:tcW w:w="533" w:type="pct"/>
                  <w:noWrap w:val="0"/>
                  <w:vAlign w:val="center"/>
                </w:tcPr>
                <w:p w14:paraId="4B8CB5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≤1000</w:t>
                  </w:r>
                </w:p>
              </w:tc>
              <w:tc>
                <w:tcPr>
                  <w:tcW w:w="511" w:type="pct"/>
                  <w:noWrap w:val="0"/>
                  <w:vAlign w:val="center"/>
                </w:tcPr>
                <w:p w14:paraId="19E7E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6</w:t>
                  </w:r>
                  <w:r>
                    <w:rPr>
                      <w:rFonts w:hint="default" w:ascii="Times New Roman" w:hAnsi="Times New Roman" w:eastAsia="等线" w:cs="Times New Roman"/>
                      <w:color w:val="auto"/>
                      <w:sz w:val="18"/>
                      <w:szCs w:val="18"/>
                      <w:lang w:val="en-US" w:eastAsia="zh-CN"/>
                    </w:rPr>
                    <w:t>0</w:t>
                  </w:r>
                </w:p>
              </w:tc>
              <w:tc>
                <w:tcPr>
                  <w:tcW w:w="442" w:type="pct"/>
                  <w:noWrap w:val="0"/>
                  <w:vAlign w:val="center"/>
                </w:tcPr>
                <w:p w14:paraId="796550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5248D9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85C9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F2145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氨氮</w:t>
                  </w:r>
                </w:p>
              </w:tc>
              <w:tc>
                <w:tcPr>
                  <w:tcW w:w="676" w:type="pct"/>
                  <w:noWrap w:val="0"/>
                  <w:vAlign w:val="center"/>
                </w:tcPr>
                <w:p w14:paraId="306264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664</w:t>
                  </w:r>
                </w:p>
              </w:tc>
              <w:tc>
                <w:tcPr>
                  <w:tcW w:w="676" w:type="pct"/>
                  <w:noWrap w:val="0"/>
                  <w:vAlign w:val="center"/>
                </w:tcPr>
                <w:p w14:paraId="593F2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654</w:t>
                  </w:r>
                </w:p>
              </w:tc>
              <w:tc>
                <w:tcPr>
                  <w:tcW w:w="676" w:type="pct"/>
                  <w:noWrap w:val="0"/>
                  <w:vAlign w:val="center"/>
                </w:tcPr>
                <w:p w14:paraId="6103B6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675</w:t>
                  </w:r>
                </w:p>
              </w:tc>
              <w:tc>
                <w:tcPr>
                  <w:tcW w:w="533" w:type="pct"/>
                  <w:noWrap w:val="0"/>
                  <w:vAlign w:val="center"/>
                </w:tcPr>
                <w:p w14:paraId="1AE6EB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≤1.0</w:t>
                  </w:r>
                </w:p>
              </w:tc>
              <w:tc>
                <w:tcPr>
                  <w:tcW w:w="511" w:type="pct"/>
                  <w:noWrap w:val="0"/>
                  <w:vAlign w:val="center"/>
                </w:tcPr>
                <w:p w14:paraId="53342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68</w:t>
                  </w:r>
                </w:p>
              </w:tc>
              <w:tc>
                <w:tcPr>
                  <w:tcW w:w="442" w:type="pct"/>
                  <w:noWrap w:val="0"/>
                  <w:vAlign w:val="center"/>
                </w:tcPr>
                <w:p w14:paraId="1CD84C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15156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83A70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80BC5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总磷</w:t>
                  </w:r>
                </w:p>
              </w:tc>
              <w:tc>
                <w:tcPr>
                  <w:tcW w:w="676" w:type="pct"/>
                  <w:noWrap w:val="0"/>
                  <w:vAlign w:val="center"/>
                </w:tcPr>
                <w:p w14:paraId="19E40D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01</w:t>
                  </w:r>
                </w:p>
              </w:tc>
              <w:tc>
                <w:tcPr>
                  <w:tcW w:w="676" w:type="pct"/>
                  <w:noWrap w:val="0"/>
                  <w:vAlign w:val="center"/>
                </w:tcPr>
                <w:p w14:paraId="7F13D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w:t>
                  </w:r>
                </w:p>
              </w:tc>
              <w:tc>
                <w:tcPr>
                  <w:tcW w:w="676" w:type="pct"/>
                  <w:noWrap w:val="0"/>
                  <w:vAlign w:val="center"/>
                </w:tcPr>
                <w:p w14:paraId="228A6D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0.01</w:t>
                  </w:r>
                </w:p>
              </w:tc>
              <w:tc>
                <w:tcPr>
                  <w:tcW w:w="533" w:type="pct"/>
                  <w:noWrap w:val="0"/>
                  <w:vAlign w:val="center"/>
                </w:tcPr>
                <w:p w14:paraId="3667BA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≤0.2</w:t>
                  </w:r>
                </w:p>
              </w:tc>
              <w:tc>
                <w:tcPr>
                  <w:tcW w:w="511" w:type="pct"/>
                  <w:noWrap w:val="0"/>
                  <w:vAlign w:val="center"/>
                </w:tcPr>
                <w:p w14:paraId="06FF7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0.10</w:t>
                  </w:r>
                </w:p>
              </w:tc>
              <w:tc>
                <w:tcPr>
                  <w:tcW w:w="442" w:type="pct"/>
                  <w:noWrap w:val="0"/>
                  <w:vAlign w:val="center"/>
                </w:tcPr>
                <w:p w14:paraId="0FA08D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lang w:eastAsia="zh-CN"/>
                    </w:rPr>
                    <w:t>达标</w:t>
                  </w:r>
                </w:p>
              </w:tc>
            </w:tr>
            <w:tr w14:paraId="61001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A0DDA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2429E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676" w:type="pct"/>
                  <w:noWrap w:val="0"/>
                  <w:vAlign w:val="center"/>
                </w:tcPr>
                <w:p w14:paraId="2FFE4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1.95</w:t>
                  </w:r>
                </w:p>
              </w:tc>
              <w:tc>
                <w:tcPr>
                  <w:tcW w:w="676" w:type="pct"/>
                  <w:noWrap w:val="0"/>
                  <w:vAlign w:val="center"/>
                </w:tcPr>
                <w:p w14:paraId="2A4905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2.01</w:t>
                  </w:r>
                </w:p>
              </w:tc>
              <w:tc>
                <w:tcPr>
                  <w:tcW w:w="676" w:type="pct"/>
                  <w:noWrap w:val="0"/>
                  <w:vAlign w:val="center"/>
                </w:tcPr>
                <w:p w14:paraId="2472FF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1.90</w:t>
                  </w:r>
                </w:p>
              </w:tc>
              <w:tc>
                <w:tcPr>
                  <w:tcW w:w="533" w:type="pct"/>
                  <w:noWrap w:val="0"/>
                  <w:vAlign w:val="center"/>
                </w:tcPr>
                <w:p w14:paraId="3E596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0D965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0434C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lang w:val="en-US" w:eastAsia="zh-CN"/>
                    </w:rPr>
                    <w:t>/</w:t>
                  </w:r>
                </w:p>
              </w:tc>
            </w:tr>
            <w:tr w14:paraId="16B1A8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053F1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FF421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eastAsia="zh-CN"/>
                    </w:rPr>
                    <w:t>六价铬</w:t>
                  </w:r>
                </w:p>
              </w:tc>
              <w:tc>
                <w:tcPr>
                  <w:tcW w:w="676" w:type="pct"/>
                  <w:noWrap w:val="0"/>
                  <w:vAlign w:val="center"/>
                </w:tcPr>
                <w:p w14:paraId="143617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DAA39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3240D0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17C15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1A619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163D8D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3D5BC1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EEE12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8B0A3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石油类</w:t>
                  </w:r>
                </w:p>
              </w:tc>
              <w:tc>
                <w:tcPr>
                  <w:tcW w:w="676" w:type="pct"/>
                  <w:noWrap w:val="0"/>
                  <w:vAlign w:val="center"/>
                </w:tcPr>
                <w:p w14:paraId="0AF142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FFF9E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78DFD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0.01</w:t>
                  </w:r>
                </w:p>
              </w:tc>
              <w:tc>
                <w:tcPr>
                  <w:tcW w:w="533" w:type="pct"/>
                  <w:noWrap w:val="0"/>
                  <w:vAlign w:val="center"/>
                </w:tcPr>
                <w:p w14:paraId="16ADB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70C9F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0.20</w:t>
                  </w:r>
                </w:p>
              </w:tc>
              <w:tc>
                <w:tcPr>
                  <w:tcW w:w="442" w:type="pct"/>
                  <w:noWrap w:val="0"/>
                  <w:vAlign w:val="center"/>
                </w:tcPr>
                <w:p w14:paraId="168AF3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3F5FC0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C403D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012CCC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硫化物</w:t>
                  </w:r>
                </w:p>
              </w:tc>
              <w:tc>
                <w:tcPr>
                  <w:tcW w:w="676" w:type="pct"/>
                  <w:noWrap w:val="0"/>
                  <w:vAlign w:val="center"/>
                </w:tcPr>
                <w:p w14:paraId="0DE94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E67FE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74EA81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1143AD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20</w:t>
                  </w:r>
                </w:p>
              </w:tc>
              <w:tc>
                <w:tcPr>
                  <w:tcW w:w="511" w:type="pct"/>
                  <w:noWrap w:val="0"/>
                  <w:vAlign w:val="center"/>
                </w:tcPr>
                <w:p w14:paraId="6E645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53DF97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3BE04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A24FC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20560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挥发酚</w:t>
                  </w:r>
                </w:p>
              </w:tc>
              <w:tc>
                <w:tcPr>
                  <w:tcW w:w="676" w:type="pct"/>
                  <w:noWrap w:val="0"/>
                  <w:vAlign w:val="center"/>
                </w:tcPr>
                <w:p w14:paraId="15CAE7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57D9F8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45E686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054D3E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w:t>
                  </w:r>
                  <w:r>
                    <w:rPr>
                      <w:rFonts w:hint="default" w:ascii="Times New Roman" w:hAnsi="Times New Roman" w:cs="Times New Roman"/>
                      <w:bCs/>
                      <w:color w:val="auto"/>
                      <w:sz w:val="18"/>
                      <w:szCs w:val="18"/>
                      <w:lang w:val="en-US" w:eastAsia="zh-CN"/>
                    </w:rPr>
                    <w:t>0</w:t>
                  </w:r>
                  <w:r>
                    <w:rPr>
                      <w:rFonts w:hint="default" w:ascii="Times New Roman" w:hAnsi="Times New Roman" w:cs="Times New Roman"/>
                      <w:bCs/>
                      <w:color w:val="auto"/>
                      <w:sz w:val="18"/>
                      <w:szCs w:val="18"/>
                    </w:rPr>
                    <w:t>5</w:t>
                  </w:r>
                </w:p>
              </w:tc>
              <w:tc>
                <w:tcPr>
                  <w:tcW w:w="511" w:type="pct"/>
                  <w:noWrap w:val="0"/>
                  <w:vAlign w:val="center"/>
                </w:tcPr>
                <w:p w14:paraId="5DA3C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1C9DF0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396A1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EB0D7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E67D1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阴离子表面活性剂</w:t>
                  </w:r>
                </w:p>
              </w:tc>
              <w:tc>
                <w:tcPr>
                  <w:tcW w:w="676" w:type="pct"/>
                  <w:noWrap w:val="0"/>
                  <w:vAlign w:val="center"/>
                </w:tcPr>
                <w:p w14:paraId="6BC51E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67AF7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369E58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366437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w:t>
                  </w:r>
                </w:p>
              </w:tc>
              <w:tc>
                <w:tcPr>
                  <w:tcW w:w="511" w:type="pct"/>
                  <w:noWrap w:val="0"/>
                  <w:vAlign w:val="center"/>
                </w:tcPr>
                <w:p w14:paraId="32DF2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DB769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2C7505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C4EF1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7ED32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叶绿素</w:t>
                  </w:r>
                  <w:r>
                    <w:rPr>
                      <w:rFonts w:hint="default" w:ascii="Times New Roman" w:hAnsi="Times New Roman" w:cs="Times New Roman"/>
                      <w:color w:val="auto"/>
                      <w:sz w:val="18"/>
                      <w:szCs w:val="18"/>
                      <w:lang w:val="en-US" w:eastAsia="zh-CN"/>
                    </w:rPr>
                    <w:t>a(ug/L)</w:t>
                  </w:r>
                </w:p>
              </w:tc>
              <w:tc>
                <w:tcPr>
                  <w:tcW w:w="676" w:type="pct"/>
                  <w:noWrap w:val="0"/>
                  <w:vAlign w:val="center"/>
                </w:tcPr>
                <w:p w14:paraId="7B8FDF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5634B3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676" w:type="pct"/>
                  <w:noWrap w:val="0"/>
                  <w:vAlign w:val="center"/>
                </w:tcPr>
                <w:p w14:paraId="4D17EB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5A6B22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w:t>
                  </w:r>
                </w:p>
              </w:tc>
              <w:tc>
                <w:tcPr>
                  <w:tcW w:w="511" w:type="pct"/>
                  <w:noWrap w:val="0"/>
                  <w:vAlign w:val="center"/>
                </w:tcPr>
                <w:p w14:paraId="09E0A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523DFE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048D0E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C61DD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2CA690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氟化物（氟离子）</w:t>
                  </w:r>
                </w:p>
              </w:tc>
              <w:tc>
                <w:tcPr>
                  <w:tcW w:w="676" w:type="pct"/>
                  <w:noWrap w:val="0"/>
                  <w:vAlign w:val="center"/>
                </w:tcPr>
                <w:p w14:paraId="058C3A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0.126</w:t>
                  </w:r>
                </w:p>
              </w:tc>
              <w:tc>
                <w:tcPr>
                  <w:tcW w:w="676" w:type="pct"/>
                  <w:noWrap w:val="0"/>
                  <w:vAlign w:val="center"/>
                </w:tcPr>
                <w:p w14:paraId="51087D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0.118</w:t>
                  </w:r>
                </w:p>
              </w:tc>
              <w:tc>
                <w:tcPr>
                  <w:tcW w:w="676" w:type="pct"/>
                  <w:noWrap w:val="0"/>
                  <w:vAlign w:val="center"/>
                </w:tcPr>
                <w:p w14:paraId="14F66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0.123</w:t>
                  </w:r>
                </w:p>
              </w:tc>
              <w:tc>
                <w:tcPr>
                  <w:tcW w:w="533" w:type="pct"/>
                  <w:noWrap w:val="0"/>
                  <w:vAlign w:val="center"/>
                </w:tcPr>
                <w:p w14:paraId="46E051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2A902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0.12</w:t>
                  </w:r>
                  <w:r>
                    <w:rPr>
                      <w:rFonts w:hint="eastAsia" w:ascii="Times New Roman" w:hAnsi="Times New Roman" w:eastAsia="等线" w:cs="Times New Roman"/>
                      <w:color w:val="auto"/>
                      <w:sz w:val="18"/>
                      <w:szCs w:val="18"/>
                      <w:lang w:val="en-US" w:eastAsia="zh-CN"/>
                    </w:rPr>
                    <w:t>6</w:t>
                  </w:r>
                </w:p>
              </w:tc>
              <w:tc>
                <w:tcPr>
                  <w:tcW w:w="442" w:type="pct"/>
                  <w:noWrap w:val="0"/>
                  <w:vAlign w:val="center"/>
                </w:tcPr>
                <w:p w14:paraId="48ADD8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9733C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6989E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E100B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氯化物</w:t>
                  </w:r>
                </w:p>
                <w:p w14:paraId="50291A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（氯离子）</w:t>
                  </w:r>
                </w:p>
              </w:tc>
              <w:tc>
                <w:tcPr>
                  <w:tcW w:w="676" w:type="pct"/>
                  <w:noWrap w:val="0"/>
                  <w:vAlign w:val="center"/>
                </w:tcPr>
                <w:p w14:paraId="6E19FE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4.90</w:t>
                  </w:r>
                </w:p>
              </w:tc>
              <w:tc>
                <w:tcPr>
                  <w:tcW w:w="676" w:type="pct"/>
                  <w:noWrap w:val="0"/>
                  <w:vAlign w:val="center"/>
                </w:tcPr>
                <w:p w14:paraId="168D40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4.94</w:t>
                  </w:r>
                </w:p>
              </w:tc>
              <w:tc>
                <w:tcPr>
                  <w:tcW w:w="676" w:type="pct"/>
                  <w:noWrap w:val="0"/>
                  <w:vAlign w:val="center"/>
                </w:tcPr>
                <w:p w14:paraId="4CE97C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4.92</w:t>
                  </w:r>
                </w:p>
              </w:tc>
              <w:tc>
                <w:tcPr>
                  <w:tcW w:w="533" w:type="pct"/>
                  <w:noWrap w:val="0"/>
                  <w:vAlign w:val="center"/>
                </w:tcPr>
                <w:p w14:paraId="44D4C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250</w:t>
                  </w:r>
                </w:p>
              </w:tc>
              <w:tc>
                <w:tcPr>
                  <w:tcW w:w="511" w:type="pct"/>
                  <w:noWrap w:val="0"/>
                  <w:vAlign w:val="center"/>
                </w:tcPr>
                <w:p w14:paraId="1D4DE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0.02</w:t>
                  </w:r>
                </w:p>
              </w:tc>
              <w:tc>
                <w:tcPr>
                  <w:tcW w:w="442" w:type="pct"/>
                  <w:noWrap w:val="0"/>
                  <w:vAlign w:val="center"/>
                </w:tcPr>
                <w:p w14:paraId="5A87C6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4951C3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585E4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2D313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汞</w:t>
                  </w:r>
                </w:p>
              </w:tc>
              <w:tc>
                <w:tcPr>
                  <w:tcW w:w="676" w:type="pct"/>
                  <w:noWrap w:val="0"/>
                  <w:vAlign w:val="center"/>
                </w:tcPr>
                <w:p w14:paraId="020C1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58FB9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3F4446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30D5AF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0001</w:t>
                  </w:r>
                </w:p>
              </w:tc>
              <w:tc>
                <w:tcPr>
                  <w:tcW w:w="511" w:type="pct"/>
                  <w:noWrap w:val="0"/>
                  <w:vAlign w:val="center"/>
                </w:tcPr>
                <w:p w14:paraId="1E488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3FEE5A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6064B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F3BF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45F953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砷</w:t>
                  </w:r>
                </w:p>
              </w:tc>
              <w:tc>
                <w:tcPr>
                  <w:tcW w:w="676" w:type="pct"/>
                  <w:noWrap w:val="0"/>
                  <w:vAlign w:val="center"/>
                </w:tcPr>
                <w:p w14:paraId="1D116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2686C3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2212D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78959C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1766E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3DE7A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15E0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DB5E2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D6B4B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硒</w:t>
                  </w:r>
                </w:p>
              </w:tc>
              <w:tc>
                <w:tcPr>
                  <w:tcW w:w="676" w:type="pct"/>
                  <w:noWrap w:val="0"/>
                  <w:vAlign w:val="center"/>
                </w:tcPr>
                <w:p w14:paraId="5F7ED3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0374AD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288A3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1D1E9D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01</w:t>
                  </w:r>
                </w:p>
              </w:tc>
              <w:tc>
                <w:tcPr>
                  <w:tcW w:w="511" w:type="pct"/>
                  <w:noWrap w:val="0"/>
                  <w:vAlign w:val="center"/>
                </w:tcPr>
                <w:p w14:paraId="16E57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7F09C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57A1FE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0E382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54B29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铅</w:t>
                  </w:r>
                </w:p>
              </w:tc>
              <w:tc>
                <w:tcPr>
                  <w:tcW w:w="676" w:type="pct"/>
                  <w:noWrap w:val="0"/>
                  <w:vAlign w:val="center"/>
                </w:tcPr>
                <w:p w14:paraId="1BBE01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9FDD7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7D5A91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79CD07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7A45F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74DCD2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2F186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96D76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4E579D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镉</w:t>
                  </w:r>
                </w:p>
              </w:tc>
              <w:tc>
                <w:tcPr>
                  <w:tcW w:w="676" w:type="pct"/>
                  <w:noWrap w:val="0"/>
                  <w:vAlign w:val="center"/>
                </w:tcPr>
                <w:p w14:paraId="1E45E4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01172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6F05C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043B5A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005</w:t>
                  </w:r>
                </w:p>
              </w:tc>
              <w:tc>
                <w:tcPr>
                  <w:tcW w:w="511" w:type="pct"/>
                  <w:noWrap w:val="0"/>
                  <w:vAlign w:val="center"/>
                </w:tcPr>
                <w:p w14:paraId="61847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4EF7B4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2A8CB8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89F9D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41F91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铜</w:t>
                  </w:r>
                </w:p>
              </w:tc>
              <w:tc>
                <w:tcPr>
                  <w:tcW w:w="676" w:type="pct"/>
                  <w:noWrap w:val="0"/>
                  <w:vAlign w:val="center"/>
                </w:tcPr>
                <w:p w14:paraId="69AE41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1B85A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079D9F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0A9B66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5F226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D7F00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082AA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84CDD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90626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锌</w:t>
                  </w:r>
                </w:p>
              </w:tc>
              <w:tc>
                <w:tcPr>
                  <w:tcW w:w="676" w:type="pct"/>
                  <w:noWrap w:val="0"/>
                  <w:vAlign w:val="center"/>
                </w:tcPr>
                <w:p w14:paraId="62B2CF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2222C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59E1C3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533" w:type="pct"/>
                  <w:noWrap w:val="0"/>
                  <w:vAlign w:val="center"/>
                </w:tcPr>
                <w:p w14:paraId="77FC36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7FA50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446E94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5C9DE3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restart"/>
                  <w:noWrap w:val="0"/>
                  <w:vAlign w:val="center"/>
                </w:tcPr>
                <w:p w14:paraId="4B4187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3#</w:t>
                  </w:r>
                </w:p>
              </w:tc>
              <w:tc>
                <w:tcPr>
                  <w:tcW w:w="937" w:type="pct"/>
                  <w:noWrap w:val="0"/>
                  <w:vAlign w:val="center"/>
                </w:tcPr>
                <w:p w14:paraId="535FF7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pH（无量纲）</w:t>
                  </w:r>
                </w:p>
              </w:tc>
              <w:tc>
                <w:tcPr>
                  <w:tcW w:w="676" w:type="pct"/>
                  <w:noWrap w:val="0"/>
                  <w:vAlign w:val="center"/>
                </w:tcPr>
                <w:p w14:paraId="12335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8</w:t>
                  </w:r>
                </w:p>
              </w:tc>
              <w:tc>
                <w:tcPr>
                  <w:tcW w:w="676" w:type="pct"/>
                  <w:noWrap w:val="0"/>
                  <w:vAlign w:val="center"/>
                </w:tcPr>
                <w:p w14:paraId="0D4CEE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7</w:t>
                  </w:r>
                </w:p>
              </w:tc>
              <w:tc>
                <w:tcPr>
                  <w:tcW w:w="676" w:type="pct"/>
                  <w:noWrap w:val="0"/>
                  <w:vAlign w:val="center"/>
                </w:tcPr>
                <w:p w14:paraId="6A0B9F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7.</w:t>
                  </w:r>
                  <w:r>
                    <w:rPr>
                      <w:rFonts w:hint="default" w:ascii="Times New Roman" w:hAnsi="Times New Roman" w:cs="Times New Roman"/>
                      <w:bCs/>
                      <w:color w:val="auto"/>
                      <w:sz w:val="18"/>
                      <w:szCs w:val="18"/>
                      <w:lang w:val="en-US" w:eastAsia="zh-CN"/>
                    </w:rPr>
                    <w:t>6</w:t>
                  </w:r>
                </w:p>
              </w:tc>
              <w:tc>
                <w:tcPr>
                  <w:tcW w:w="533" w:type="pct"/>
                  <w:noWrap w:val="0"/>
                  <w:vAlign w:val="center"/>
                </w:tcPr>
                <w:p w14:paraId="07B2B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6-9</w:t>
                  </w:r>
                </w:p>
              </w:tc>
              <w:tc>
                <w:tcPr>
                  <w:tcW w:w="511" w:type="pct"/>
                  <w:noWrap w:val="0"/>
                  <w:vAlign w:val="center"/>
                </w:tcPr>
                <w:p w14:paraId="078D0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w:t>
                  </w:r>
                  <w:r>
                    <w:rPr>
                      <w:rFonts w:hint="default" w:ascii="Times New Roman" w:hAnsi="Times New Roman" w:eastAsia="等线" w:cs="Times New Roman"/>
                      <w:color w:val="auto"/>
                      <w:sz w:val="18"/>
                      <w:szCs w:val="18"/>
                      <w:lang w:val="en-US" w:eastAsia="zh-CN"/>
                    </w:rPr>
                    <w:t>40</w:t>
                  </w:r>
                </w:p>
              </w:tc>
              <w:tc>
                <w:tcPr>
                  <w:tcW w:w="442" w:type="pct"/>
                  <w:noWrap w:val="0"/>
                  <w:vAlign w:val="center"/>
                </w:tcPr>
                <w:p w14:paraId="137E4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6C977D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44190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BDAE4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溶解氧</w:t>
                  </w:r>
                </w:p>
              </w:tc>
              <w:tc>
                <w:tcPr>
                  <w:tcW w:w="676" w:type="pct"/>
                  <w:noWrap w:val="0"/>
                  <w:vAlign w:val="center"/>
                </w:tcPr>
                <w:p w14:paraId="4B950C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7.2</w:t>
                  </w:r>
                </w:p>
              </w:tc>
              <w:tc>
                <w:tcPr>
                  <w:tcW w:w="676" w:type="pct"/>
                  <w:noWrap w:val="0"/>
                  <w:vAlign w:val="center"/>
                </w:tcPr>
                <w:p w14:paraId="05FBF3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7.1</w:t>
                  </w:r>
                </w:p>
              </w:tc>
              <w:tc>
                <w:tcPr>
                  <w:tcW w:w="676" w:type="pct"/>
                  <w:noWrap w:val="0"/>
                  <w:vAlign w:val="center"/>
                </w:tcPr>
                <w:p w14:paraId="518010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533" w:type="pct"/>
                  <w:noWrap w:val="0"/>
                  <w:vAlign w:val="center"/>
                </w:tcPr>
                <w:p w14:paraId="2A615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≥5</w:t>
                  </w:r>
                </w:p>
              </w:tc>
              <w:tc>
                <w:tcPr>
                  <w:tcW w:w="511" w:type="pct"/>
                  <w:noWrap w:val="0"/>
                  <w:vAlign w:val="center"/>
                </w:tcPr>
                <w:p w14:paraId="409EF9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w:t>
                  </w:r>
                  <w:r>
                    <w:rPr>
                      <w:rFonts w:hint="eastAsia" w:ascii="Times New Roman" w:hAnsi="Times New Roman" w:eastAsia="等线" w:cs="Times New Roman"/>
                      <w:color w:val="auto"/>
                      <w:sz w:val="18"/>
                      <w:szCs w:val="18"/>
                      <w:lang w:val="en-US" w:eastAsia="zh-CN"/>
                    </w:rPr>
                    <w:t>71</w:t>
                  </w:r>
                </w:p>
              </w:tc>
              <w:tc>
                <w:tcPr>
                  <w:tcW w:w="442" w:type="pct"/>
                  <w:noWrap w:val="0"/>
                  <w:vAlign w:val="center"/>
                </w:tcPr>
                <w:p w14:paraId="2C4F28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1D8FAA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2BE249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2ECBD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水温（℃）</w:t>
                  </w:r>
                </w:p>
              </w:tc>
              <w:tc>
                <w:tcPr>
                  <w:tcW w:w="676" w:type="pct"/>
                  <w:noWrap w:val="0"/>
                  <w:vAlign w:val="center"/>
                </w:tcPr>
                <w:p w14:paraId="10ABB7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7.2</w:t>
                  </w:r>
                </w:p>
              </w:tc>
              <w:tc>
                <w:tcPr>
                  <w:tcW w:w="676" w:type="pct"/>
                  <w:noWrap w:val="0"/>
                  <w:vAlign w:val="center"/>
                </w:tcPr>
                <w:p w14:paraId="4BF91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6.3</w:t>
                  </w:r>
                </w:p>
              </w:tc>
              <w:tc>
                <w:tcPr>
                  <w:tcW w:w="676" w:type="pct"/>
                  <w:noWrap w:val="0"/>
                  <w:vAlign w:val="center"/>
                </w:tcPr>
                <w:p w14:paraId="2B97C4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5.7</w:t>
                  </w:r>
                </w:p>
              </w:tc>
              <w:tc>
                <w:tcPr>
                  <w:tcW w:w="533" w:type="pct"/>
                  <w:noWrap w:val="0"/>
                  <w:vAlign w:val="center"/>
                </w:tcPr>
                <w:p w14:paraId="0965A3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3E96B4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00B55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7F6DD3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7E3F5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4AC20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悬浮物</w:t>
                  </w:r>
                </w:p>
              </w:tc>
              <w:tc>
                <w:tcPr>
                  <w:tcW w:w="676" w:type="pct"/>
                  <w:noWrap w:val="0"/>
                  <w:vAlign w:val="center"/>
                </w:tcPr>
                <w:p w14:paraId="602830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w:t>
                  </w:r>
                </w:p>
              </w:tc>
              <w:tc>
                <w:tcPr>
                  <w:tcW w:w="676" w:type="pct"/>
                  <w:noWrap w:val="0"/>
                  <w:vAlign w:val="center"/>
                </w:tcPr>
                <w:p w14:paraId="3D5D44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10</w:t>
                  </w:r>
                </w:p>
              </w:tc>
              <w:tc>
                <w:tcPr>
                  <w:tcW w:w="676" w:type="pct"/>
                  <w:noWrap w:val="0"/>
                  <w:vAlign w:val="center"/>
                </w:tcPr>
                <w:p w14:paraId="2CA7FF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w:t>
                  </w:r>
                </w:p>
              </w:tc>
              <w:tc>
                <w:tcPr>
                  <w:tcW w:w="533" w:type="pct"/>
                  <w:noWrap w:val="0"/>
                  <w:vAlign w:val="center"/>
                </w:tcPr>
                <w:p w14:paraId="62607A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7411CE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eastAsia="等线" w:cs="Times New Roman"/>
                      <w:color w:val="auto"/>
                      <w:sz w:val="18"/>
                      <w:szCs w:val="18"/>
                    </w:rPr>
                    <w:t>/</w:t>
                  </w:r>
                </w:p>
              </w:tc>
              <w:tc>
                <w:tcPr>
                  <w:tcW w:w="442" w:type="pct"/>
                  <w:noWrap w:val="0"/>
                  <w:vAlign w:val="center"/>
                </w:tcPr>
                <w:p w14:paraId="6AE697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0E7D67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2D17F1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57BED4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lang w:val="en-US" w:eastAsia="zh-CN" w:bidi="ar"/>
                    </w:rPr>
                    <w:t>CODcr</w:t>
                  </w:r>
                </w:p>
              </w:tc>
              <w:tc>
                <w:tcPr>
                  <w:tcW w:w="676" w:type="pct"/>
                  <w:noWrap w:val="0"/>
                  <w:vAlign w:val="center"/>
                </w:tcPr>
                <w:p w14:paraId="0D0B1F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12</w:t>
                  </w:r>
                </w:p>
              </w:tc>
              <w:tc>
                <w:tcPr>
                  <w:tcW w:w="676" w:type="pct"/>
                  <w:noWrap w:val="0"/>
                  <w:vAlign w:val="center"/>
                </w:tcPr>
                <w:p w14:paraId="267BEA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12</w:t>
                  </w:r>
                </w:p>
              </w:tc>
              <w:tc>
                <w:tcPr>
                  <w:tcW w:w="676" w:type="pct"/>
                  <w:noWrap w:val="0"/>
                  <w:vAlign w:val="center"/>
                </w:tcPr>
                <w:p w14:paraId="33EF8D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533" w:type="pct"/>
                  <w:noWrap w:val="0"/>
                  <w:vAlign w:val="center"/>
                </w:tcPr>
                <w:p w14:paraId="12343B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≤20</w:t>
                  </w:r>
                </w:p>
              </w:tc>
              <w:tc>
                <w:tcPr>
                  <w:tcW w:w="511" w:type="pct"/>
                  <w:noWrap w:val="0"/>
                  <w:vAlign w:val="center"/>
                </w:tcPr>
                <w:p w14:paraId="4C06E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6</w:t>
                  </w:r>
                  <w:r>
                    <w:rPr>
                      <w:rFonts w:hint="default" w:ascii="Times New Roman" w:hAnsi="Times New Roman" w:eastAsia="等线" w:cs="Times New Roman"/>
                      <w:color w:val="auto"/>
                      <w:sz w:val="18"/>
                      <w:szCs w:val="18"/>
                      <w:lang w:val="en-US" w:eastAsia="zh-CN"/>
                    </w:rPr>
                    <w:t>5</w:t>
                  </w:r>
                </w:p>
              </w:tc>
              <w:tc>
                <w:tcPr>
                  <w:tcW w:w="442" w:type="pct"/>
                  <w:noWrap w:val="0"/>
                  <w:vAlign w:val="center"/>
                </w:tcPr>
                <w:p w14:paraId="6DC10C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val="0"/>
                      <w:color w:val="auto"/>
                      <w:sz w:val="18"/>
                      <w:szCs w:val="18"/>
                    </w:rPr>
                  </w:pPr>
                  <w:r>
                    <w:rPr>
                      <w:rFonts w:hint="default" w:ascii="Times New Roman" w:hAnsi="Times New Roman" w:cs="Times New Roman"/>
                      <w:bCs/>
                      <w:color w:val="auto"/>
                      <w:sz w:val="18"/>
                      <w:szCs w:val="18"/>
                    </w:rPr>
                    <w:t>达标</w:t>
                  </w:r>
                </w:p>
              </w:tc>
            </w:tr>
            <w:tr w14:paraId="2CAF78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72DEC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1422" w:type="dxa"/>
                  <w:noWrap w:val="0"/>
                  <w:vAlign w:val="center"/>
                </w:tcPr>
                <w:p w14:paraId="1396A7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lang w:val="en-US" w:eastAsia="zh-CN" w:bidi="ar"/>
                    </w:rPr>
                    <w:t>BOD</w:t>
                  </w:r>
                  <w:r>
                    <w:rPr>
                      <w:rFonts w:hint="eastAsia" w:ascii="Times New Roman" w:hAnsi="Times New Roman" w:cs="Times New Roman"/>
                      <w:color w:val="auto"/>
                      <w:kern w:val="0"/>
                      <w:sz w:val="18"/>
                      <w:szCs w:val="18"/>
                      <w:vertAlign w:val="subscript"/>
                      <w:lang w:val="en-US" w:eastAsia="zh-CN" w:bidi="ar"/>
                    </w:rPr>
                    <w:t>5</w:t>
                  </w:r>
                </w:p>
              </w:tc>
              <w:tc>
                <w:tcPr>
                  <w:tcW w:w="676" w:type="pct"/>
                  <w:noWrap w:val="0"/>
                  <w:vAlign w:val="center"/>
                </w:tcPr>
                <w:p w14:paraId="60D714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2.5</w:t>
                  </w:r>
                </w:p>
              </w:tc>
              <w:tc>
                <w:tcPr>
                  <w:tcW w:w="676" w:type="pct"/>
                  <w:noWrap w:val="0"/>
                  <w:vAlign w:val="center"/>
                </w:tcPr>
                <w:p w14:paraId="5CCE9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2.6</w:t>
                  </w:r>
                </w:p>
              </w:tc>
              <w:tc>
                <w:tcPr>
                  <w:tcW w:w="676" w:type="pct"/>
                  <w:noWrap w:val="0"/>
                  <w:vAlign w:val="center"/>
                </w:tcPr>
                <w:p w14:paraId="36001F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2</w:t>
                  </w:r>
                  <w:r>
                    <w:rPr>
                      <w:rFonts w:hint="default" w:ascii="Times New Roman" w:hAnsi="Times New Roman" w:cs="Times New Roman"/>
                      <w:bCs/>
                      <w:color w:val="auto"/>
                      <w:sz w:val="18"/>
                      <w:szCs w:val="18"/>
                    </w:rPr>
                    <w:t>.6</w:t>
                  </w:r>
                </w:p>
              </w:tc>
              <w:tc>
                <w:tcPr>
                  <w:tcW w:w="533" w:type="pct"/>
                  <w:noWrap w:val="0"/>
                  <w:vAlign w:val="center"/>
                </w:tcPr>
                <w:p w14:paraId="4E4B17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≤4</w:t>
                  </w:r>
                </w:p>
              </w:tc>
              <w:tc>
                <w:tcPr>
                  <w:tcW w:w="511" w:type="pct"/>
                  <w:noWrap w:val="0"/>
                  <w:vAlign w:val="center"/>
                </w:tcPr>
                <w:p w14:paraId="1CD143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65</w:t>
                  </w:r>
                </w:p>
              </w:tc>
              <w:tc>
                <w:tcPr>
                  <w:tcW w:w="442" w:type="pct"/>
                  <w:noWrap w:val="0"/>
                  <w:vAlign w:val="center"/>
                </w:tcPr>
                <w:p w14:paraId="1288AA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
                      <w:bCs w:val="0"/>
                      <w:color w:val="auto"/>
                      <w:sz w:val="18"/>
                      <w:szCs w:val="18"/>
                    </w:rPr>
                  </w:pPr>
                  <w:r>
                    <w:rPr>
                      <w:rFonts w:hint="default" w:ascii="Times New Roman" w:hAnsi="Times New Roman" w:cs="Times New Roman"/>
                      <w:bCs/>
                      <w:color w:val="auto"/>
                      <w:sz w:val="18"/>
                      <w:szCs w:val="18"/>
                    </w:rPr>
                    <w:t>达标</w:t>
                  </w:r>
                </w:p>
              </w:tc>
            </w:tr>
            <w:tr w14:paraId="1523B5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5C2B93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C7096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粪大肠菌群（MPN/L）</w:t>
                  </w:r>
                </w:p>
              </w:tc>
              <w:tc>
                <w:tcPr>
                  <w:tcW w:w="676" w:type="pct"/>
                  <w:noWrap w:val="0"/>
                  <w:vAlign w:val="center"/>
                </w:tcPr>
                <w:p w14:paraId="5D18A0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9.0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676" w:type="pct"/>
                  <w:noWrap w:val="0"/>
                  <w:vAlign w:val="center"/>
                </w:tcPr>
                <w:p w14:paraId="406F70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val="en-US" w:eastAsia="zh-CN"/>
                    </w:rPr>
                    <w:t>7.0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676" w:type="pct"/>
                  <w:noWrap w:val="0"/>
                  <w:vAlign w:val="center"/>
                </w:tcPr>
                <w:p w14:paraId="1C9EF1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7.0</w:t>
                  </w:r>
                  <w:r>
                    <w:rPr>
                      <w:rFonts w:hint="default" w:ascii="Times New Roman" w:hAnsi="Times New Roman" w:cs="Times New Roman"/>
                      <w:bCs/>
                      <w:color w:val="auto"/>
                      <w:sz w:val="18"/>
                      <w:szCs w:val="18"/>
                    </w:rPr>
                    <w:t>×10</w:t>
                  </w:r>
                  <w:r>
                    <w:rPr>
                      <w:rFonts w:hint="default" w:ascii="Times New Roman" w:hAnsi="Times New Roman" w:cs="Times New Roman"/>
                      <w:bCs/>
                      <w:color w:val="auto"/>
                      <w:sz w:val="18"/>
                      <w:szCs w:val="18"/>
                      <w:vertAlign w:val="superscript"/>
                    </w:rPr>
                    <w:t>2</w:t>
                  </w:r>
                </w:p>
              </w:tc>
              <w:tc>
                <w:tcPr>
                  <w:tcW w:w="533" w:type="pct"/>
                  <w:noWrap w:val="0"/>
                  <w:vAlign w:val="center"/>
                </w:tcPr>
                <w:p w14:paraId="2F99BA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≤1000</w:t>
                  </w:r>
                </w:p>
              </w:tc>
              <w:tc>
                <w:tcPr>
                  <w:tcW w:w="511" w:type="pct"/>
                  <w:noWrap w:val="0"/>
                  <w:vAlign w:val="center"/>
                </w:tcPr>
                <w:p w14:paraId="7C614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rPr>
                    <w:t>0.</w:t>
                  </w:r>
                  <w:r>
                    <w:rPr>
                      <w:rFonts w:hint="eastAsia" w:ascii="Times New Roman" w:hAnsi="Times New Roman" w:eastAsia="等线" w:cs="Times New Roman"/>
                      <w:color w:val="auto"/>
                      <w:sz w:val="18"/>
                      <w:szCs w:val="18"/>
                      <w:lang w:val="en-US" w:eastAsia="zh-CN"/>
                    </w:rPr>
                    <w:t>9</w:t>
                  </w:r>
                  <w:r>
                    <w:rPr>
                      <w:rFonts w:hint="default" w:ascii="Times New Roman" w:hAnsi="Times New Roman" w:eastAsia="等线" w:cs="Times New Roman"/>
                      <w:color w:val="auto"/>
                      <w:sz w:val="18"/>
                      <w:szCs w:val="18"/>
                      <w:lang w:val="en-US" w:eastAsia="zh-CN"/>
                    </w:rPr>
                    <w:t>0</w:t>
                  </w:r>
                </w:p>
              </w:tc>
              <w:tc>
                <w:tcPr>
                  <w:tcW w:w="442" w:type="pct"/>
                  <w:noWrap w:val="0"/>
                  <w:vAlign w:val="center"/>
                </w:tcPr>
                <w:p w14:paraId="37DF58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9CB5D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BA6A1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9C197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氨氮</w:t>
                  </w:r>
                </w:p>
              </w:tc>
              <w:tc>
                <w:tcPr>
                  <w:tcW w:w="676" w:type="pct"/>
                  <w:noWrap w:val="0"/>
                  <w:vAlign w:val="center"/>
                </w:tcPr>
                <w:p w14:paraId="1EA296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683</w:t>
                  </w:r>
                </w:p>
              </w:tc>
              <w:tc>
                <w:tcPr>
                  <w:tcW w:w="676" w:type="pct"/>
                  <w:noWrap w:val="0"/>
                  <w:vAlign w:val="center"/>
                </w:tcPr>
                <w:p w14:paraId="1BAD99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712</w:t>
                  </w:r>
                </w:p>
              </w:tc>
              <w:tc>
                <w:tcPr>
                  <w:tcW w:w="676" w:type="pct"/>
                  <w:noWrap w:val="0"/>
                  <w:vAlign w:val="center"/>
                </w:tcPr>
                <w:p w14:paraId="0DA908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694</w:t>
                  </w:r>
                </w:p>
              </w:tc>
              <w:tc>
                <w:tcPr>
                  <w:tcW w:w="533" w:type="pct"/>
                  <w:noWrap w:val="0"/>
                  <w:vAlign w:val="center"/>
                </w:tcPr>
                <w:p w14:paraId="6767B8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≤1.0</w:t>
                  </w:r>
                </w:p>
              </w:tc>
              <w:tc>
                <w:tcPr>
                  <w:tcW w:w="511" w:type="pct"/>
                  <w:noWrap w:val="0"/>
                  <w:vAlign w:val="center"/>
                </w:tcPr>
                <w:p w14:paraId="11DA0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w:t>
                  </w:r>
                  <w:r>
                    <w:rPr>
                      <w:rFonts w:hint="eastAsia" w:ascii="Times New Roman" w:hAnsi="Times New Roman" w:eastAsia="等线" w:cs="Times New Roman"/>
                      <w:color w:val="auto"/>
                      <w:sz w:val="18"/>
                      <w:szCs w:val="18"/>
                      <w:lang w:val="en-US" w:eastAsia="zh-CN"/>
                    </w:rPr>
                    <w:t>712</w:t>
                  </w:r>
                </w:p>
              </w:tc>
              <w:tc>
                <w:tcPr>
                  <w:tcW w:w="442" w:type="pct"/>
                  <w:noWrap w:val="0"/>
                  <w:vAlign w:val="center"/>
                </w:tcPr>
                <w:p w14:paraId="6DEE4C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达标</w:t>
                  </w:r>
                </w:p>
              </w:tc>
            </w:tr>
            <w:tr w14:paraId="2728EA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079B2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F2A96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总磷</w:t>
                  </w:r>
                </w:p>
              </w:tc>
              <w:tc>
                <w:tcPr>
                  <w:tcW w:w="676" w:type="pct"/>
                  <w:noWrap w:val="0"/>
                  <w:vAlign w:val="center"/>
                </w:tcPr>
                <w:p w14:paraId="4D3DED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02</w:t>
                  </w:r>
                </w:p>
              </w:tc>
              <w:tc>
                <w:tcPr>
                  <w:tcW w:w="676" w:type="pct"/>
                  <w:noWrap w:val="0"/>
                  <w:vAlign w:val="center"/>
                </w:tcPr>
                <w:p w14:paraId="61315B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0.01</w:t>
                  </w:r>
                </w:p>
              </w:tc>
              <w:tc>
                <w:tcPr>
                  <w:tcW w:w="676" w:type="pct"/>
                  <w:noWrap w:val="0"/>
                  <w:vAlign w:val="center"/>
                </w:tcPr>
                <w:p w14:paraId="387634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w:t>
                  </w:r>
                </w:p>
              </w:tc>
              <w:tc>
                <w:tcPr>
                  <w:tcW w:w="533" w:type="pct"/>
                  <w:noWrap w:val="0"/>
                  <w:vAlign w:val="center"/>
                </w:tcPr>
                <w:p w14:paraId="64B0C8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≤0.2</w:t>
                  </w:r>
                </w:p>
              </w:tc>
              <w:tc>
                <w:tcPr>
                  <w:tcW w:w="511" w:type="pct"/>
                  <w:noWrap w:val="0"/>
                  <w:vAlign w:val="center"/>
                </w:tcPr>
                <w:p w14:paraId="16788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0.10</w:t>
                  </w:r>
                </w:p>
              </w:tc>
              <w:tc>
                <w:tcPr>
                  <w:tcW w:w="442" w:type="pct"/>
                  <w:noWrap w:val="0"/>
                  <w:vAlign w:val="center"/>
                </w:tcPr>
                <w:p w14:paraId="5E37EF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达标</w:t>
                  </w:r>
                </w:p>
              </w:tc>
            </w:tr>
            <w:tr w14:paraId="212464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BF895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330D7C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676" w:type="pct"/>
                  <w:noWrap w:val="0"/>
                  <w:vAlign w:val="center"/>
                </w:tcPr>
                <w:p w14:paraId="67D3B3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1.73</w:t>
                  </w:r>
                </w:p>
              </w:tc>
              <w:tc>
                <w:tcPr>
                  <w:tcW w:w="676" w:type="pct"/>
                  <w:noWrap w:val="0"/>
                  <w:vAlign w:val="center"/>
                </w:tcPr>
                <w:p w14:paraId="018F53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1.82</w:t>
                  </w:r>
                </w:p>
              </w:tc>
              <w:tc>
                <w:tcPr>
                  <w:tcW w:w="676" w:type="pct"/>
                  <w:noWrap w:val="0"/>
                  <w:vAlign w:val="center"/>
                </w:tcPr>
                <w:p w14:paraId="77849B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1.77</w:t>
                  </w:r>
                </w:p>
              </w:tc>
              <w:tc>
                <w:tcPr>
                  <w:tcW w:w="533" w:type="pct"/>
                  <w:noWrap w:val="0"/>
                  <w:vAlign w:val="center"/>
                </w:tcPr>
                <w:p w14:paraId="676F36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511" w:type="pct"/>
                  <w:noWrap w:val="0"/>
                  <w:vAlign w:val="center"/>
                </w:tcPr>
                <w:p w14:paraId="5E3FC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F39A9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lang w:val="en-US" w:eastAsia="zh-CN"/>
                    </w:rPr>
                    <w:t>/</w:t>
                  </w:r>
                </w:p>
              </w:tc>
            </w:tr>
            <w:tr w14:paraId="2695FA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2161D8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3E699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eastAsia="zh-CN"/>
                    </w:rPr>
                    <w:t>六价铬</w:t>
                  </w:r>
                </w:p>
              </w:tc>
              <w:tc>
                <w:tcPr>
                  <w:tcW w:w="676" w:type="pct"/>
                  <w:noWrap w:val="0"/>
                  <w:vAlign w:val="center"/>
                </w:tcPr>
                <w:p w14:paraId="66FA2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EB0F0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0BD8EC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28A9EB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625A2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05B0A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333363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B262C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1A726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石油类</w:t>
                  </w:r>
                </w:p>
              </w:tc>
              <w:tc>
                <w:tcPr>
                  <w:tcW w:w="676" w:type="pct"/>
                  <w:noWrap w:val="0"/>
                  <w:vAlign w:val="center"/>
                </w:tcPr>
                <w:p w14:paraId="3F8487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0.0</w:t>
                  </w:r>
                  <w:r>
                    <w:rPr>
                      <w:rFonts w:hint="default" w:ascii="Times New Roman" w:hAnsi="Times New Roman" w:cs="Times New Roman"/>
                      <w:bCs/>
                      <w:color w:val="auto"/>
                      <w:sz w:val="18"/>
                      <w:szCs w:val="18"/>
                      <w:lang w:val="en-US" w:eastAsia="zh-CN"/>
                    </w:rPr>
                    <w:t>1</w:t>
                  </w:r>
                </w:p>
              </w:tc>
              <w:tc>
                <w:tcPr>
                  <w:tcW w:w="676" w:type="pct"/>
                  <w:noWrap w:val="0"/>
                  <w:vAlign w:val="center"/>
                </w:tcPr>
                <w:p w14:paraId="799E9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0.01</w:t>
                  </w:r>
                </w:p>
              </w:tc>
              <w:tc>
                <w:tcPr>
                  <w:tcW w:w="676" w:type="pct"/>
                  <w:noWrap w:val="0"/>
                  <w:vAlign w:val="center"/>
                </w:tcPr>
                <w:p w14:paraId="17129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0.01</w:t>
                  </w:r>
                </w:p>
              </w:tc>
              <w:tc>
                <w:tcPr>
                  <w:tcW w:w="533" w:type="pct"/>
                  <w:noWrap w:val="0"/>
                  <w:vAlign w:val="center"/>
                </w:tcPr>
                <w:p w14:paraId="1CC50D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≤0.05</w:t>
                  </w:r>
                </w:p>
              </w:tc>
              <w:tc>
                <w:tcPr>
                  <w:tcW w:w="511" w:type="pct"/>
                  <w:noWrap w:val="0"/>
                  <w:vAlign w:val="center"/>
                </w:tcPr>
                <w:p w14:paraId="769BE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0.20</w:t>
                  </w:r>
                </w:p>
              </w:tc>
              <w:tc>
                <w:tcPr>
                  <w:tcW w:w="442" w:type="pct"/>
                  <w:noWrap w:val="0"/>
                  <w:vAlign w:val="center"/>
                </w:tcPr>
                <w:p w14:paraId="4DAEEF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eastAsia="zh-CN"/>
                    </w:rPr>
                    <w:t>达标</w:t>
                  </w:r>
                </w:p>
              </w:tc>
            </w:tr>
            <w:tr w14:paraId="64E5AC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87B3D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1ABE3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硫化物</w:t>
                  </w:r>
                </w:p>
              </w:tc>
              <w:tc>
                <w:tcPr>
                  <w:tcW w:w="676" w:type="pct"/>
                  <w:noWrap w:val="0"/>
                  <w:vAlign w:val="center"/>
                </w:tcPr>
                <w:p w14:paraId="3BBEB8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74C0E5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7FCEC6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784D8A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20</w:t>
                  </w:r>
                </w:p>
              </w:tc>
              <w:tc>
                <w:tcPr>
                  <w:tcW w:w="511" w:type="pct"/>
                  <w:noWrap w:val="0"/>
                  <w:vAlign w:val="center"/>
                </w:tcPr>
                <w:p w14:paraId="41258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7B1EAC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63EA80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A1EB5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312E8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挥发酚</w:t>
                  </w:r>
                </w:p>
              </w:tc>
              <w:tc>
                <w:tcPr>
                  <w:tcW w:w="676" w:type="pct"/>
                  <w:noWrap w:val="0"/>
                  <w:vAlign w:val="center"/>
                </w:tcPr>
                <w:p w14:paraId="6C4CA8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CCB95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4DF2E0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4AD732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w:t>
                  </w:r>
                  <w:r>
                    <w:rPr>
                      <w:rFonts w:hint="default" w:ascii="Times New Roman" w:hAnsi="Times New Roman" w:cs="Times New Roman"/>
                      <w:bCs/>
                      <w:color w:val="auto"/>
                      <w:sz w:val="18"/>
                      <w:szCs w:val="18"/>
                      <w:lang w:val="en-US" w:eastAsia="zh-CN"/>
                    </w:rPr>
                    <w:t>0</w:t>
                  </w:r>
                  <w:r>
                    <w:rPr>
                      <w:rFonts w:hint="default" w:ascii="Times New Roman" w:hAnsi="Times New Roman" w:cs="Times New Roman"/>
                      <w:bCs/>
                      <w:color w:val="auto"/>
                      <w:sz w:val="18"/>
                      <w:szCs w:val="18"/>
                    </w:rPr>
                    <w:t>5</w:t>
                  </w:r>
                </w:p>
              </w:tc>
              <w:tc>
                <w:tcPr>
                  <w:tcW w:w="511" w:type="pct"/>
                  <w:noWrap w:val="0"/>
                  <w:vAlign w:val="center"/>
                </w:tcPr>
                <w:p w14:paraId="49943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520A4B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14C54F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83A37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1EE7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阴离子表面活性剂</w:t>
                  </w:r>
                </w:p>
              </w:tc>
              <w:tc>
                <w:tcPr>
                  <w:tcW w:w="676" w:type="pct"/>
                  <w:noWrap w:val="0"/>
                  <w:vAlign w:val="center"/>
                </w:tcPr>
                <w:p w14:paraId="67D59A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1D6543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5F7A3D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521093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2</w:t>
                  </w:r>
                </w:p>
              </w:tc>
              <w:tc>
                <w:tcPr>
                  <w:tcW w:w="511" w:type="pct"/>
                  <w:noWrap w:val="0"/>
                  <w:vAlign w:val="center"/>
                </w:tcPr>
                <w:p w14:paraId="7FBC5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0CB4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达标</w:t>
                  </w:r>
                </w:p>
              </w:tc>
            </w:tr>
            <w:tr w14:paraId="648FA0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4DF9C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182E0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叶绿素</w:t>
                  </w:r>
                  <w:r>
                    <w:rPr>
                      <w:rFonts w:hint="default" w:ascii="Times New Roman" w:hAnsi="Times New Roman" w:cs="Times New Roman"/>
                      <w:color w:val="auto"/>
                      <w:sz w:val="18"/>
                      <w:szCs w:val="18"/>
                      <w:lang w:val="en-US" w:eastAsia="zh-CN"/>
                    </w:rPr>
                    <w:t>a(ug/L)</w:t>
                  </w:r>
                </w:p>
              </w:tc>
              <w:tc>
                <w:tcPr>
                  <w:tcW w:w="676" w:type="pct"/>
                  <w:noWrap w:val="0"/>
                  <w:vAlign w:val="center"/>
                </w:tcPr>
                <w:p w14:paraId="3F941E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349A70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71E819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41F27A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w:t>
                  </w:r>
                </w:p>
              </w:tc>
              <w:tc>
                <w:tcPr>
                  <w:tcW w:w="511" w:type="pct"/>
                  <w:noWrap w:val="0"/>
                  <w:vAlign w:val="center"/>
                </w:tcPr>
                <w:p w14:paraId="749F9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57BCF0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r>
            <w:tr w14:paraId="78FEFD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12786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28CE54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氟化物（氟离子）</w:t>
                  </w:r>
                </w:p>
              </w:tc>
              <w:tc>
                <w:tcPr>
                  <w:tcW w:w="676" w:type="pct"/>
                  <w:noWrap w:val="0"/>
                  <w:vAlign w:val="center"/>
                </w:tcPr>
                <w:p w14:paraId="7627B0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0.158</w:t>
                  </w:r>
                </w:p>
              </w:tc>
              <w:tc>
                <w:tcPr>
                  <w:tcW w:w="676" w:type="pct"/>
                  <w:noWrap w:val="0"/>
                  <w:vAlign w:val="center"/>
                </w:tcPr>
                <w:p w14:paraId="400215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0.121</w:t>
                  </w:r>
                </w:p>
              </w:tc>
              <w:tc>
                <w:tcPr>
                  <w:tcW w:w="676" w:type="pct"/>
                  <w:noWrap w:val="0"/>
                  <w:vAlign w:val="center"/>
                </w:tcPr>
                <w:p w14:paraId="32F3C9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0.133</w:t>
                  </w:r>
                </w:p>
              </w:tc>
              <w:tc>
                <w:tcPr>
                  <w:tcW w:w="533" w:type="pct"/>
                  <w:noWrap w:val="0"/>
                  <w:vAlign w:val="center"/>
                </w:tcPr>
                <w:p w14:paraId="5E0C90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7F067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0.1</w:t>
                  </w:r>
                  <w:r>
                    <w:rPr>
                      <w:rFonts w:hint="eastAsia" w:ascii="Times New Roman" w:hAnsi="Times New Roman" w:eastAsia="等线" w:cs="Times New Roman"/>
                      <w:color w:val="auto"/>
                      <w:sz w:val="18"/>
                      <w:szCs w:val="18"/>
                      <w:lang w:val="en-US" w:eastAsia="zh-CN"/>
                    </w:rPr>
                    <w:t>58</w:t>
                  </w:r>
                </w:p>
              </w:tc>
              <w:tc>
                <w:tcPr>
                  <w:tcW w:w="442" w:type="pct"/>
                  <w:noWrap w:val="0"/>
                  <w:vAlign w:val="center"/>
                </w:tcPr>
                <w:p w14:paraId="429CB3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091E6F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7036E5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52AF31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氯化物（氯离子）</w:t>
                  </w:r>
                </w:p>
              </w:tc>
              <w:tc>
                <w:tcPr>
                  <w:tcW w:w="676" w:type="pct"/>
                  <w:noWrap w:val="0"/>
                  <w:vAlign w:val="center"/>
                </w:tcPr>
                <w:p w14:paraId="0BC153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4.43</w:t>
                  </w:r>
                </w:p>
              </w:tc>
              <w:tc>
                <w:tcPr>
                  <w:tcW w:w="676" w:type="pct"/>
                  <w:noWrap w:val="0"/>
                  <w:vAlign w:val="center"/>
                </w:tcPr>
                <w:p w14:paraId="3C32DC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4.42</w:t>
                  </w:r>
                </w:p>
              </w:tc>
              <w:tc>
                <w:tcPr>
                  <w:tcW w:w="676" w:type="pct"/>
                  <w:noWrap w:val="0"/>
                  <w:vAlign w:val="center"/>
                </w:tcPr>
                <w:p w14:paraId="6A44F9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4.44</w:t>
                  </w:r>
                </w:p>
              </w:tc>
              <w:tc>
                <w:tcPr>
                  <w:tcW w:w="533" w:type="pct"/>
                  <w:noWrap w:val="0"/>
                  <w:vAlign w:val="center"/>
                </w:tcPr>
                <w:p w14:paraId="615243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250</w:t>
                  </w:r>
                </w:p>
              </w:tc>
              <w:tc>
                <w:tcPr>
                  <w:tcW w:w="511" w:type="pct"/>
                  <w:noWrap w:val="0"/>
                  <w:vAlign w:val="center"/>
                </w:tcPr>
                <w:p w14:paraId="705DD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0.02</w:t>
                  </w:r>
                </w:p>
              </w:tc>
              <w:tc>
                <w:tcPr>
                  <w:tcW w:w="442" w:type="pct"/>
                  <w:noWrap w:val="0"/>
                  <w:vAlign w:val="center"/>
                </w:tcPr>
                <w:p w14:paraId="68A93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6D703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39AA14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6D410A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汞</w:t>
                  </w:r>
                </w:p>
              </w:tc>
              <w:tc>
                <w:tcPr>
                  <w:tcW w:w="676" w:type="pct"/>
                  <w:noWrap w:val="0"/>
                  <w:vAlign w:val="center"/>
                </w:tcPr>
                <w:p w14:paraId="1F4BAF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89CBF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D3D3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1664E0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0001</w:t>
                  </w:r>
                </w:p>
              </w:tc>
              <w:tc>
                <w:tcPr>
                  <w:tcW w:w="511" w:type="pct"/>
                  <w:noWrap w:val="0"/>
                  <w:vAlign w:val="center"/>
                </w:tcPr>
                <w:p w14:paraId="0226B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0DF9CA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达标</w:t>
                  </w:r>
                </w:p>
              </w:tc>
            </w:tr>
            <w:tr w14:paraId="3D24CD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F0164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7450DD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砷</w:t>
                  </w:r>
                </w:p>
              </w:tc>
              <w:tc>
                <w:tcPr>
                  <w:tcW w:w="676" w:type="pct"/>
                  <w:noWrap w:val="0"/>
                  <w:vAlign w:val="center"/>
                </w:tcPr>
                <w:p w14:paraId="1D5B1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1258A0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01FD09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221093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3E784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60792B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761FF7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0C8542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7B628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硒</w:t>
                  </w:r>
                </w:p>
              </w:tc>
              <w:tc>
                <w:tcPr>
                  <w:tcW w:w="676" w:type="pct"/>
                  <w:noWrap w:val="0"/>
                  <w:vAlign w:val="center"/>
                </w:tcPr>
                <w:p w14:paraId="7E35D2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62089E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5BB71D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1E14E2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01</w:t>
                  </w:r>
                </w:p>
              </w:tc>
              <w:tc>
                <w:tcPr>
                  <w:tcW w:w="511" w:type="pct"/>
                  <w:noWrap w:val="0"/>
                  <w:vAlign w:val="center"/>
                </w:tcPr>
                <w:p w14:paraId="79A15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3C9653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eastAsia="zh-CN"/>
                    </w:rPr>
                    <w:t>达标</w:t>
                  </w:r>
                </w:p>
              </w:tc>
            </w:tr>
            <w:tr w14:paraId="431EC5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27F14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4C72C0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铅</w:t>
                  </w:r>
                </w:p>
              </w:tc>
              <w:tc>
                <w:tcPr>
                  <w:tcW w:w="676" w:type="pct"/>
                  <w:noWrap w:val="0"/>
                  <w:vAlign w:val="center"/>
                </w:tcPr>
                <w:p w14:paraId="11B4D4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6326E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A18B5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4B35D4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05</w:t>
                  </w:r>
                </w:p>
              </w:tc>
              <w:tc>
                <w:tcPr>
                  <w:tcW w:w="511" w:type="pct"/>
                  <w:noWrap w:val="0"/>
                  <w:vAlign w:val="center"/>
                </w:tcPr>
                <w:p w14:paraId="22BAD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589F5E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4AA51C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4A44DE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D4BE3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镉</w:t>
                  </w:r>
                </w:p>
              </w:tc>
              <w:tc>
                <w:tcPr>
                  <w:tcW w:w="676" w:type="pct"/>
                  <w:noWrap w:val="0"/>
                  <w:vAlign w:val="center"/>
                </w:tcPr>
                <w:p w14:paraId="4E61E6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0E488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670E2E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6DEB8B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r>
                    <w:rPr>
                      <w:rFonts w:hint="default" w:ascii="Times New Roman" w:hAnsi="Times New Roman" w:cs="Times New Roman"/>
                      <w:bCs/>
                      <w:color w:val="auto"/>
                      <w:sz w:val="18"/>
                      <w:szCs w:val="18"/>
                      <w:lang w:val="en-US" w:eastAsia="zh-CN"/>
                    </w:rPr>
                    <w:t>005</w:t>
                  </w:r>
                </w:p>
              </w:tc>
              <w:tc>
                <w:tcPr>
                  <w:tcW w:w="511" w:type="pct"/>
                  <w:noWrap w:val="0"/>
                  <w:vAlign w:val="center"/>
                </w:tcPr>
                <w:p w14:paraId="7C611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3D74D1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r w14:paraId="567911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9A0D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463161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铜</w:t>
                  </w:r>
                </w:p>
              </w:tc>
              <w:tc>
                <w:tcPr>
                  <w:tcW w:w="676" w:type="pct"/>
                  <w:noWrap w:val="0"/>
                  <w:vAlign w:val="center"/>
                </w:tcPr>
                <w:p w14:paraId="7CA593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4DF238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2D6F13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51979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1B28B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3C32EE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达标</w:t>
                  </w:r>
                </w:p>
              </w:tc>
            </w:tr>
            <w:tr w14:paraId="034F80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16B11E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sz w:val="18"/>
                      <w:szCs w:val="18"/>
                    </w:rPr>
                  </w:pPr>
                </w:p>
              </w:tc>
              <w:tc>
                <w:tcPr>
                  <w:tcW w:w="937" w:type="pct"/>
                  <w:noWrap w:val="0"/>
                  <w:vAlign w:val="center"/>
                </w:tcPr>
                <w:p w14:paraId="171296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eastAsia="zh-CN"/>
                    </w:rPr>
                    <w:t>锌</w:t>
                  </w:r>
                </w:p>
              </w:tc>
              <w:tc>
                <w:tcPr>
                  <w:tcW w:w="676" w:type="pct"/>
                  <w:noWrap w:val="0"/>
                  <w:vAlign w:val="center"/>
                </w:tcPr>
                <w:p w14:paraId="285FA6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lang w:val="en-US" w:eastAsia="zh-CN"/>
                    </w:rPr>
                    <w:t>未检出</w:t>
                  </w:r>
                </w:p>
              </w:tc>
              <w:tc>
                <w:tcPr>
                  <w:tcW w:w="676" w:type="pct"/>
                  <w:noWrap w:val="0"/>
                  <w:vAlign w:val="center"/>
                </w:tcPr>
                <w:p w14:paraId="5F4CB0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bCs/>
                      <w:color w:val="auto"/>
                      <w:sz w:val="18"/>
                      <w:szCs w:val="18"/>
                      <w:lang w:eastAsia="zh-CN"/>
                    </w:rPr>
                    <w:t>未检出</w:t>
                  </w:r>
                </w:p>
              </w:tc>
              <w:tc>
                <w:tcPr>
                  <w:tcW w:w="676" w:type="pct"/>
                  <w:noWrap w:val="0"/>
                  <w:vAlign w:val="center"/>
                </w:tcPr>
                <w:p w14:paraId="3A3585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未检出</w:t>
                  </w:r>
                </w:p>
              </w:tc>
              <w:tc>
                <w:tcPr>
                  <w:tcW w:w="533" w:type="pct"/>
                  <w:noWrap w:val="0"/>
                  <w:vAlign w:val="center"/>
                </w:tcPr>
                <w:p w14:paraId="1C8316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val="en-US" w:eastAsia="zh-CN"/>
                    </w:rPr>
                    <w:t>1.0</w:t>
                  </w:r>
                </w:p>
              </w:tc>
              <w:tc>
                <w:tcPr>
                  <w:tcW w:w="511" w:type="pct"/>
                  <w:noWrap w:val="0"/>
                  <w:vAlign w:val="center"/>
                </w:tcPr>
                <w:p w14:paraId="0E0C7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textAlignment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w:t>
                  </w:r>
                </w:p>
              </w:tc>
              <w:tc>
                <w:tcPr>
                  <w:tcW w:w="442" w:type="pct"/>
                  <w:noWrap w:val="0"/>
                  <w:vAlign w:val="center"/>
                </w:tcPr>
                <w:p w14:paraId="2407D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达标</w:t>
                  </w:r>
                </w:p>
              </w:tc>
            </w:tr>
          </w:tbl>
          <w:p w14:paraId="56924163">
            <w:pPr>
              <w:keepNext w:val="0"/>
              <w:keepLines w:val="0"/>
              <w:suppressLineNumbers w:val="0"/>
              <w:spacing w:before="0" w:beforeAutospacing="0" w:after="0" w:afterAutospacing="0"/>
              <w:ind w:left="0" w:right="0" w:firstLine="480"/>
              <w:rPr>
                <w:rFonts w:hint="default" w:cs="Times New Roman"/>
                <w:color w:val="auto"/>
                <w:szCs w:val="32"/>
              </w:rPr>
            </w:pPr>
            <w:r>
              <w:rPr>
                <w:rFonts w:hint="default" w:cs="Times New Roman"/>
                <w:bCs/>
                <w:color w:val="auto"/>
                <w:kern w:val="0"/>
              </w:rPr>
              <w:t>评价结果表明</w:t>
            </w:r>
            <w:bookmarkStart w:id="92" w:name="_Hlk135472985"/>
            <w:r>
              <w:rPr>
                <w:rFonts w:hint="default" w:cs="Times New Roman"/>
                <w:bCs/>
                <w:color w:val="auto"/>
                <w:kern w:val="0"/>
              </w:rPr>
              <w:t>：</w:t>
            </w:r>
            <w:r>
              <w:rPr>
                <w:rFonts w:hint="eastAsia" w:cs="Times New Roman"/>
                <w:bCs/>
                <w:color w:val="auto"/>
                <w:kern w:val="0"/>
                <w:lang w:eastAsia="zh-CN"/>
              </w:rPr>
              <w:t>项目所在区域后河、</w:t>
            </w:r>
            <w:r>
              <w:rPr>
                <w:rFonts w:hint="default" w:cs="Times New Roman"/>
                <w:bCs/>
                <w:color w:val="auto"/>
                <w:kern w:val="0"/>
              </w:rPr>
              <w:t>州河地表水环境各评价指标均满足《地表水环境质量标准》（GB3838-2002）中Ⅲ类水域标准要求</w:t>
            </w:r>
            <w:bookmarkEnd w:id="92"/>
            <w:r>
              <w:rPr>
                <w:rFonts w:hint="default" w:cs="Times New Roman"/>
                <w:bCs/>
                <w:color w:val="auto"/>
                <w:kern w:val="0"/>
              </w:rPr>
              <w:t>，</w:t>
            </w:r>
            <w:r>
              <w:rPr>
                <w:rFonts w:hint="default" w:cs="Times New Roman"/>
                <w:bCs/>
                <w:color w:val="auto"/>
              </w:rPr>
              <w:t>表明区域地表水环境质量良好。</w:t>
            </w:r>
          </w:p>
          <w:p w14:paraId="3079E40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三、声环境质量现状</w:t>
            </w:r>
          </w:p>
          <w:p w14:paraId="7062665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根据《建设项目环境影响报告表编制技术指南（污染影响类）（试行）》，本项目位于宣汉县普光工业园区，项目周边50m范围内无声环境保护目标，无需进行声环境质量现状调查。</w:t>
            </w:r>
          </w:p>
          <w:p w14:paraId="56117052">
            <w:pPr>
              <w:keepNext w:val="0"/>
              <w:keepLines w:val="0"/>
              <w:suppressLineNumbers w:val="0"/>
              <w:spacing w:before="0" w:beforeAutospacing="0" w:after="0" w:afterAutospacing="0"/>
              <w:ind w:left="0" w:right="0" w:firstLine="480"/>
              <w:rPr>
                <w:rFonts w:hint="default" w:cs="Times New Roman"/>
                <w:color w:val="auto"/>
              </w:rPr>
            </w:pPr>
          </w:p>
          <w:p w14:paraId="2CFBAA7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四、地下水环境</w:t>
            </w:r>
          </w:p>
          <w:p w14:paraId="3C53311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经调查，项目所在地500m范围内不涉及集中式饮用水水源地准保护区及补给径流区，不涉及除集中式饮用水水源地以外的国家或地方政府设定的与地下水环境相关的其他保护区，也不涉及特殊地下水资源保护区以外的分布区以及分散居民饮用水源等其他未列入上述敏感分级的环境敏感区。项目不涉及取用地下水，项目生产过程不存在地下水环境污染途径，因此，根据《建设项目环境影响报告表编制技术指南（污染影响类）（试行）》第三条第（三）款第6项之规定，本项目可不进行地下水环境质量现状监测。</w:t>
            </w:r>
          </w:p>
          <w:p w14:paraId="537E7982">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五、土壤环境质量</w:t>
            </w:r>
          </w:p>
          <w:p w14:paraId="6C2ADF6D">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本项目位于普光经开区普光化工园区，属于园区规划的工业用地，园区规划环评已对区域土壤环境质量进行过调查，满足相关标准要求；另外，</w:t>
            </w:r>
          </w:p>
          <w:p w14:paraId="072981F8">
            <w:pPr>
              <w:keepNext w:val="0"/>
              <w:keepLines w:val="0"/>
              <w:suppressLineNumbers w:val="0"/>
              <w:spacing w:before="0" w:beforeAutospacing="0" w:after="0" w:afterAutospacing="0"/>
              <w:ind w:left="0" w:right="0" w:firstLine="0" w:firstLineChars="0"/>
              <w:rPr>
                <w:rFonts w:hint="default" w:cs="Times New Roman"/>
                <w:bCs/>
                <w:color w:val="auto"/>
              </w:rPr>
            </w:pPr>
            <w:r>
              <w:rPr>
                <w:rFonts w:hint="default" w:cs="Times New Roman"/>
                <w:bCs/>
                <w:color w:val="auto"/>
              </w:rPr>
              <w:t>本项目已对地面采取硬化或者重点防渗，项目营运期生产设施及辅助工程等均不涉及土壤污染途径。因此，根据《建设项目环境影响报告表编制技术指南（污染影响类）（试行）》第三条第（三）款第6项之规定，本项目可不进行土壤环境质量现状监测。</w:t>
            </w:r>
          </w:p>
          <w:p w14:paraId="74986F96">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六、生态环境质量现状</w:t>
            </w:r>
          </w:p>
          <w:p w14:paraId="5580265C">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color w:val="auto"/>
              </w:rPr>
              <w:t>本项目厂址为宣汉县普光工业园区，属于工业用地，项目不涉及《环境影响评价技术导则 生态环境》（HJ19-2021）的特殊生态敏感区、重要生态敏感区等生态环境保护目标，因此该区域生态系统敏感程度低。</w:t>
            </w:r>
          </w:p>
        </w:tc>
      </w:tr>
      <w:tr w14:paraId="78D4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14ED7FD5">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环境保护目标</w:t>
            </w:r>
          </w:p>
        </w:tc>
        <w:tc>
          <w:tcPr>
            <w:tcW w:w="4548" w:type="pct"/>
            <w:vAlign w:val="center"/>
          </w:tcPr>
          <w:p w14:paraId="667F2FF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主要环境保护目标（列出名单及保护目标）：</w:t>
            </w:r>
          </w:p>
          <w:p w14:paraId="0B06BB6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本项目位于四川达州普光经济开发区达州普光化工园区内，经现场踏勘，厂界外500m范围内无自然保护区、风景名胜区、文化区域等保护目标，项目环境空气保护目标主要为附近居民。</w:t>
            </w:r>
          </w:p>
          <w:p w14:paraId="7495299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根据现场调查，本项目周边主要环境保护目标分布情况为西北、北以及东北处的散居居民。综上所述，主要环境保护目标如</w:t>
            </w:r>
            <w:r>
              <w:rPr>
                <w:rFonts w:hint="default" w:cs="Times New Roman"/>
                <w:color w:val="auto"/>
              </w:rPr>
              <w:fldChar w:fldCharType="begin"/>
            </w:r>
            <w:r>
              <w:rPr>
                <w:rFonts w:hint="default" w:cs="Times New Roman"/>
                <w:color w:val="auto"/>
              </w:rPr>
              <w:instrText xml:space="preserve"> REF _Ref14317 \n \h  \* MERGEFORMAT </w:instrText>
            </w:r>
            <w:r>
              <w:rPr>
                <w:rFonts w:hint="default" w:cs="Times New Roman"/>
                <w:color w:val="auto"/>
              </w:rPr>
              <w:fldChar w:fldCharType="separate"/>
            </w:r>
            <w:r>
              <w:rPr>
                <w:rFonts w:hint="default" w:cs="Times New Roman"/>
                <w:color w:val="auto"/>
              </w:rPr>
              <w:t xml:space="preserve">表3-5 </w:t>
            </w:r>
            <w:r>
              <w:rPr>
                <w:rFonts w:hint="default" w:cs="Times New Roman"/>
                <w:color w:val="auto"/>
              </w:rPr>
              <w:fldChar w:fldCharType="end"/>
            </w:r>
            <w:r>
              <w:rPr>
                <w:rFonts w:hint="default" w:cs="Times New Roman"/>
                <w:color w:val="auto"/>
              </w:rPr>
              <w:t>所示：</w:t>
            </w:r>
          </w:p>
          <w:p w14:paraId="0A994F6B">
            <w:pPr>
              <w:pStyle w:val="32"/>
              <w:keepNext w:val="0"/>
              <w:keepLines w:val="0"/>
              <w:suppressLineNumbers w:val="0"/>
              <w:spacing w:before="0" w:beforeAutospacing="0" w:after="0" w:afterAutospacing="0"/>
              <w:ind w:left="0" w:right="0"/>
              <w:rPr>
                <w:rFonts w:hint="default" w:cs="Times New Roman"/>
                <w:color w:val="auto"/>
              </w:rPr>
            </w:pPr>
            <w:bookmarkStart w:id="93" w:name="_Ref14317"/>
            <w:r>
              <w:rPr>
                <w:rFonts w:hint="default" w:cs="Times New Roman"/>
                <w:color w:val="auto"/>
              </w:rPr>
              <w:t>环境保护目标一览表</w:t>
            </w:r>
            <w:bookmarkEnd w:id="93"/>
          </w:p>
          <w:tbl>
            <w:tblPr>
              <w:tblStyle w:val="18"/>
              <w:tblW w:w="4996"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autofit"/>
              <w:tblCellMar>
                <w:top w:w="0" w:type="dxa"/>
                <w:left w:w="108" w:type="dxa"/>
                <w:bottom w:w="0" w:type="dxa"/>
                <w:right w:w="108" w:type="dxa"/>
              </w:tblCellMar>
            </w:tblPr>
            <w:tblGrid>
              <w:gridCol w:w="575"/>
              <w:gridCol w:w="1234"/>
              <w:gridCol w:w="1052"/>
              <w:gridCol w:w="1161"/>
              <w:gridCol w:w="1048"/>
              <w:gridCol w:w="566"/>
              <w:gridCol w:w="852"/>
              <w:gridCol w:w="1103"/>
            </w:tblGrid>
            <w:tr w14:paraId="12666A12">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86" w:hRule="atLeast"/>
                <w:jc w:val="center"/>
              </w:trPr>
              <w:tc>
                <w:tcPr>
                  <w:tcW w:w="379" w:type="pct"/>
                  <w:vMerge w:val="restart"/>
                  <w:vAlign w:val="center"/>
                </w:tcPr>
                <w:p w14:paraId="57B3D7C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环境要素</w:t>
                  </w:r>
                </w:p>
              </w:tc>
              <w:tc>
                <w:tcPr>
                  <w:tcW w:w="813" w:type="pct"/>
                  <w:vMerge w:val="restart"/>
                  <w:vAlign w:val="center"/>
                </w:tcPr>
                <w:p w14:paraId="35E8191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敏感目标名称</w:t>
                  </w:r>
                </w:p>
              </w:tc>
              <w:tc>
                <w:tcPr>
                  <w:tcW w:w="1458" w:type="pct"/>
                  <w:gridSpan w:val="2"/>
                  <w:tcBorders>
                    <w:bottom w:val="single" w:color="auto" w:sz="4" w:space="0"/>
                  </w:tcBorders>
                  <w:vAlign w:val="center"/>
                </w:tcPr>
                <w:p w14:paraId="21C9305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坐标</w:t>
                  </w:r>
                </w:p>
              </w:tc>
              <w:tc>
                <w:tcPr>
                  <w:tcW w:w="690" w:type="pct"/>
                  <w:vMerge w:val="restart"/>
                  <w:vAlign w:val="center"/>
                </w:tcPr>
                <w:p w14:paraId="5C6786DA">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保护对象</w:t>
                  </w:r>
                </w:p>
              </w:tc>
              <w:tc>
                <w:tcPr>
                  <w:tcW w:w="373" w:type="pct"/>
                  <w:vMerge w:val="restart"/>
                  <w:vAlign w:val="center"/>
                </w:tcPr>
                <w:p w14:paraId="5EB5FDB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方位</w:t>
                  </w:r>
                </w:p>
              </w:tc>
              <w:tc>
                <w:tcPr>
                  <w:tcW w:w="561" w:type="pct"/>
                  <w:vMerge w:val="restart"/>
                  <w:vAlign w:val="center"/>
                </w:tcPr>
                <w:p w14:paraId="1CB345D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与厂界距离/m</w:t>
                  </w:r>
                </w:p>
              </w:tc>
              <w:tc>
                <w:tcPr>
                  <w:tcW w:w="726" w:type="pct"/>
                  <w:vMerge w:val="restart"/>
                  <w:vAlign w:val="center"/>
                </w:tcPr>
                <w:p w14:paraId="514E759A">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环境功能</w:t>
                  </w:r>
                </w:p>
              </w:tc>
            </w:tr>
            <w:tr w14:paraId="1A42BC9C">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69" w:hRule="atLeast"/>
                <w:jc w:val="center"/>
              </w:trPr>
              <w:tc>
                <w:tcPr>
                  <w:tcW w:w="379" w:type="pct"/>
                  <w:vMerge w:val="continue"/>
                  <w:vAlign w:val="center"/>
                </w:tcPr>
                <w:p w14:paraId="5C5E98B9">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Merge w:val="continue"/>
                  <w:vAlign w:val="center"/>
                </w:tcPr>
                <w:p w14:paraId="64389296">
                  <w:pPr>
                    <w:pStyle w:val="28"/>
                    <w:keepNext w:val="0"/>
                    <w:keepLines w:val="0"/>
                    <w:suppressLineNumbers w:val="0"/>
                    <w:spacing w:before="0" w:beforeAutospacing="0" w:after="0" w:afterAutospacing="0"/>
                    <w:ind w:left="0" w:right="0"/>
                    <w:rPr>
                      <w:rFonts w:hint="default"/>
                      <w:color w:val="auto"/>
                      <w:sz w:val="15"/>
                      <w:szCs w:val="15"/>
                    </w:rPr>
                  </w:pPr>
                </w:p>
              </w:tc>
              <w:tc>
                <w:tcPr>
                  <w:tcW w:w="693" w:type="pct"/>
                  <w:tcBorders>
                    <w:top w:val="single" w:color="auto" w:sz="4" w:space="0"/>
                  </w:tcBorders>
                  <w:vAlign w:val="center"/>
                </w:tcPr>
                <w:p w14:paraId="38B6CFC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X</w:t>
                  </w:r>
                </w:p>
              </w:tc>
              <w:tc>
                <w:tcPr>
                  <w:tcW w:w="765" w:type="pct"/>
                  <w:tcBorders>
                    <w:top w:val="single" w:color="auto" w:sz="4" w:space="0"/>
                  </w:tcBorders>
                  <w:vAlign w:val="center"/>
                </w:tcPr>
                <w:p w14:paraId="1E7ECDD4">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Y</w:t>
                  </w:r>
                </w:p>
              </w:tc>
              <w:tc>
                <w:tcPr>
                  <w:tcW w:w="690" w:type="pct"/>
                  <w:vMerge w:val="continue"/>
                  <w:vAlign w:val="center"/>
                </w:tcPr>
                <w:p w14:paraId="27D015CB">
                  <w:pPr>
                    <w:pStyle w:val="28"/>
                    <w:keepNext w:val="0"/>
                    <w:keepLines w:val="0"/>
                    <w:suppressLineNumbers w:val="0"/>
                    <w:spacing w:before="0" w:beforeAutospacing="0" w:after="0" w:afterAutospacing="0"/>
                    <w:ind w:left="0" w:right="0"/>
                    <w:rPr>
                      <w:rFonts w:hint="default"/>
                      <w:color w:val="auto"/>
                      <w:sz w:val="15"/>
                      <w:szCs w:val="15"/>
                    </w:rPr>
                  </w:pPr>
                </w:p>
              </w:tc>
              <w:tc>
                <w:tcPr>
                  <w:tcW w:w="373" w:type="pct"/>
                  <w:vMerge w:val="continue"/>
                  <w:vAlign w:val="center"/>
                </w:tcPr>
                <w:p w14:paraId="51D05657">
                  <w:pPr>
                    <w:pStyle w:val="28"/>
                    <w:keepNext w:val="0"/>
                    <w:keepLines w:val="0"/>
                    <w:suppressLineNumbers w:val="0"/>
                    <w:spacing w:before="0" w:beforeAutospacing="0" w:after="0" w:afterAutospacing="0"/>
                    <w:ind w:left="0" w:right="0"/>
                    <w:rPr>
                      <w:rFonts w:hint="default"/>
                      <w:color w:val="auto"/>
                      <w:sz w:val="15"/>
                      <w:szCs w:val="15"/>
                    </w:rPr>
                  </w:pPr>
                </w:p>
              </w:tc>
              <w:tc>
                <w:tcPr>
                  <w:tcW w:w="561" w:type="pct"/>
                  <w:vMerge w:val="continue"/>
                  <w:vAlign w:val="center"/>
                </w:tcPr>
                <w:p w14:paraId="45CDB064">
                  <w:pPr>
                    <w:pStyle w:val="28"/>
                    <w:keepNext w:val="0"/>
                    <w:keepLines w:val="0"/>
                    <w:suppressLineNumbers w:val="0"/>
                    <w:spacing w:before="0" w:beforeAutospacing="0" w:after="0" w:afterAutospacing="0"/>
                    <w:ind w:left="0" w:right="0"/>
                    <w:rPr>
                      <w:rFonts w:hint="default"/>
                      <w:color w:val="auto"/>
                      <w:sz w:val="15"/>
                      <w:szCs w:val="15"/>
                    </w:rPr>
                  </w:pPr>
                </w:p>
              </w:tc>
              <w:tc>
                <w:tcPr>
                  <w:tcW w:w="726" w:type="pct"/>
                  <w:vMerge w:val="continue"/>
                  <w:vAlign w:val="center"/>
                </w:tcPr>
                <w:p w14:paraId="11A89275">
                  <w:pPr>
                    <w:pStyle w:val="28"/>
                    <w:keepNext w:val="0"/>
                    <w:keepLines w:val="0"/>
                    <w:suppressLineNumbers w:val="0"/>
                    <w:spacing w:before="0" w:beforeAutospacing="0" w:after="0" w:afterAutospacing="0"/>
                    <w:ind w:left="0" w:right="0"/>
                    <w:rPr>
                      <w:rFonts w:hint="default"/>
                      <w:color w:val="auto"/>
                      <w:sz w:val="15"/>
                      <w:szCs w:val="15"/>
                    </w:rPr>
                  </w:pPr>
                </w:p>
              </w:tc>
            </w:tr>
            <w:tr w14:paraId="67D4B7C7">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14:paraId="5A5A570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大气环境</w:t>
                  </w:r>
                </w:p>
              </w:tc>
              <w:tc>
                <w:tcPr>
                  <w:tcW w:w="813" w:type="pct"/>
                  <w:vAlign w:val="center"/>
                </w:tcPr>
                <w:p w14:paraId="2FCC9CC1">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1#散居农户</w:t>
                  </w:r>
                </w:p>
              </w:tc>
              <w:tc>
                <w:tcPr>
                  <w:tcW w:w="693" w:type="pct"/>
                  <w:vAlign w:val="center"/>
                </w:tcPr>
                <w:p w14:paraId="58E6F128">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36469385.142</w:t>
                  </w:r>
                </w:p>
              </w:tc>
              <w:tc>
                <w:tcPr>
                  <w:tcW w:w="765" w:type="pct"/>
                  <w:vAlign w:val="center"/>
                </w:tcPr>
                <w:p w14:paraId="0DC1943D">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3489036.029</w:t>
                  </w:r>
                </w:p>
              </w:tc>
              <w:tc>
                <w:tcPr>
                  <w:tcW w:w="690" w:type="pct"/>
                  <w:vAlign w:val="center"/>
                </w:tcPr>
                <w:p w14:paraId="69C04344">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4户约15人</w:t>
                  </w:r>
                </w:p>
              </w:tc>
              <w:tc>
                <w:tcPr>
                  <w:tcW w:w="373" w:type="pct"/>
                  <w:vAlign w:val="center"/>
                </w:tcPr>
                <w:p w14:paraId="37C6EA8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W</w:t>
                  </w:r>
                </w:p>
              </w:tc>
              <w:tc>
                <w:tcPr>
                  <w:tcW w:w="561" w:type="pct"/>
                  <w:vAlign w:val="center"/>
                </w:tcPr>
                <w:p w14:paraId="70B5356C">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460-500</w:t>
                  </w:r>
                </w:p>
              </w:tc>
              <w:tc>
                <w:tcPr>
                  <w:tcW w:w="726" w:type="pct"/>
                  <w:vMerge w:val="restart"/>
                  <w:vAlign w:val="center"/>
                </w:tcPr>
                <w:p w14:paraId="2A08FC28">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GB3095-</w:t>
                  </w:r>
                </w:p>
                <w:p w14:paraId="641E200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2012中的</w:t>
                  </w:r>
                </w:p>
                <w:p w14:paraId="467F0AE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二级标准</w:t>
                  </w:r>
                </w:p>
              </w:tc>
            </w:tr>
            <w:tr w14:paraId="4C018623">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6830C5F8">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137BDCA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2#散居农户</w:t>
                  </w:r>
                </w:p>
              </w:tc>
              <w:tc>
                <w:tcPr>
                  <w:tcW w:w="693" w:type="pct"/>
                  <w:vAlign w:val="center"/>
                </w:tcPr>
                <w:p w14:paraId="68820E7D">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36469713.573</w:t>
                  </w:r>
                </w:p>
              </w:tc>
              <w:tc>
                <w:tcPr>
                  <w:tcW w:w="765" w:type="pct"/>
                  <w:vAlign w:val="center"/>
                </w:tcPr>
                <w:p w14:paraId="4BD4AF3E">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3489184.007</w:t>
                  </w:r>
                </w:p>
              </w:tc>
              <w:tc>
                <w:tcPr>
                  <w:tcW w:w="690" w:type="pct"/>
                  <w:vAlign w:val="center"/>
                </w:tcPr>
                <w:p w14:paraId="086CD1B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2户约8人</w:t>
                  </w:r>
                </w:p>
              </w:tc>
              <w:tc>
                <w:tcPr>
                  <w:tcW w:w="373" w:type="pct"/>
                  <w:vAlign w:val="center"/>
                </w:tcPr>
                <w:p w14:paraId="5FCB98F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w:t>
                  </w:r>
                </w:p>
              </w:tc>
              <w:tc>
                <w:tcPr>
                  <w:tcW w:w="561" w:type="pct"/>
                  <w:vAlign w:val="center"/>
                </w:tcPr>
                <w:p w14:paraId="5CFBF11B">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160-200</w:t>
                  </w:r>
                </w:p>
              </w:tc>
              <w:tc>
                <w:tcPr>
                  <w:tcW w:w="726" w:type="pct"/>
                  <w:vMerge w:val="continue"/>
                  <w:vAlign w:val="center"/>
                </w:tcPr>
                <w:p w14:paraId="6185F95B">
                  <w:pPr>
                    <w:pStyle w:val="28"/>
                    <w:keepNext w:val="0"/>
                    <w:keepLines w:val="0"/>
                    <w:suppressLineNumbers w:val="0"/>
                    <w:spacing w:before="0" w:beforeAutospacing="0" w:after="0" w:afterAutospacing="0"/>
                    <w:ind w:left="0" w:right="0"/>
                    <w:rPr>
                      <w:rFonts w:hint="default"/>
                      <w:color w:val="auto"/>
                      <w:sz w:val="15"/>
                      <w:szCs w:val="15"/>
                    </w:rPr>
                  </w:pPr>
                </w:p>
              </w:tc>
            </w:tr>
            <w:tr w14:paraId="481B2130">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4792F10D">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3F9D33DB">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3#散居农户</w:t>
                  </w:r>
                </w:p>
              </w:tc>
              <w:tc>
                <w:tcPr>
                  <w:tcW w:w="693" w:type="pct"/>
                  <w:vAlign w:val="center"/>
                </w:tcPr>
                <w:p w14:paraId="141C93B6">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36469825.949</w:t>
                  </w:r>
                </w:p>
              </w:tc>
              <w:tc>
                <w:tcPr>
                  <w:tcW w:w="765" w:type="pct"/>
                  <w:vAlign w:val="center"/>
                </w:tcPr>
                <w:p w14:paraId="4241F3DB">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3489238.566</w:t>
                  </w:r>
                </w:p>
              </w:tc>
              <w:tc>
                <w:tcPr>
                  <w:tcW w:w="690" w:type="pct"/>
                  <w:vAlign w:val="center"/>
                </w:tcPr>
                <w:p w14:paraId="099F5A8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1户约4人</w:t>
                  </w:r>
                </w:p>
              </w:tc>
              <w:tc>
                <w:tcPr>
                  <w:tcW w:w="373" w:type="pct"/>
                  <w:vAlign w:val="center"/>
                </w:tcPr>
                <w:p w14:paraId="656762E8">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w:t>
                  </w:r>
                </w:p>
              </w:tc>
              <w:tc>
                <w:tcPr>
                  <w:tcW w:w="561" w:type="pct"/>
                  <w:vAlign w:val="center"/>
                </w:tcPr>
                <w:p w14:paraId="026691A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160</w:t>
                  </w:r>
                </w:p>
              </w:tc>
              <w:tc>
                <w:tcPr>
                  <w:tcW w:w="726" w:type="pct"/>
                  <w:vMerge w:val="continue"/>
                  <w:vAlign w:val="center"/>
                </w:tcPr>
                <w:p w14:paraId="49944538">
                  <w:pPr>
                    <w:pStyle w:val="28"/>
                    <w:keepNext w:val="0"/>
                    <w:keepLines w:val="0"/>
                    <w:suppressLineNumbers w:val="0"/>
                    <w:spacing w:before="0" w:beforeAutospacing="0" w:after="0" w:afterAutospacing="0"/>
                    <w:ind w:left="0" w:right="0"/>
                    <w:rPr>
                      <w:rFonts w:hint="default"/>
                      <w:color w:val="auto"/>
                      <w:sz w:val="15"/>
                      <w:szCs w:val="15"/>
                    </w:rPr>
                  </w:pPr>
                </w:p>
              </w:tc>
            </w:tr>
            <w:tr w14:paraId="10CDFEA2">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2D4C99EE">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6039B63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4#散居农户</w:t>
                  </w:r>
                </w:p>
              </w:tc>
              <w:tc>
                <w:tcPr>
                  <w:tcW w:w="693" w:type="pct"/>
                  <w:vAlign w:val="center"/>
                </w:tcPr>
                <w:p w14:paraId="734FCA26">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36469667.698</w:t>
                  </w:r>
                </w:p>
              </w:tc>
              <w:tc>
                <w:tcPr>
                  <w:tcW w:w="765" w:type="pct"/>
                  <w:vAlign w:val="center"/>
                </w:tcPr>
                <w:p w14:paraId="292F9E3A">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3489352.472</w:t>
                  </w:r>
                </w:p>
              </w:tc>
              <w:tc>
                <w:tcPr>
                  <w:tcW w:w="690" w:type="pct"/>
                  <w:vAlign w:val="center"/>
                </w:tcPr>
                <w:p w14:paraId="5321731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3户约12人</w:t>
                  </w:r>
                </w:p>
              </w:tc>
              <w:tc>
                <w:tcPr>
                  <w:tcW w:w="373" w:type="pct"/>
                  <w:vAlign w:val="center"/>
                </w:tcPr>
                <w:p w14:paraId="5F2F037B">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w:t>
                  </w:r>
                </w:p>
              </w:tc>
              <w:tc>
                <w:tcPr>
                  <w:tcW w:w="561" w:type="pct"/>
                  <w:vAlign w:val="center"/>
                </w:tcPr>
                <w:p w14:paraId="50DDE3D9">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320-370</w:t>
                  </w:r>
                </w:p>
              </w:tc>
              <w:tc>
                <w:tcPr>
                  <w:tcW w:w="726" w:type="pct"/>
                  <w:vMerge w:val="continue"/>
                  <w:vAlign w:val="center"/>
                </w:tcPr>
                <w:p w14:paraId="17CD448B">
                  <w:pPr>
                    <w:pStyle w:val="28"/>
                    <w:keepNext w:val="0"/>
                    <w:keepLines w:val="0"/>
                    <w:suppressLineNumbers w:val="0"/>
                    <w:spacing w:before="0" w:beforeAutospacing="0" w:after="0" w:afterAutospacing="0"/>
                    <w:ind w:left="0" w:right="0"/>
                    <w:rPr>
                      <w:rFonts w:hint="default"/>
                      <w:color w:val="auto"/>
                      <w:sz w:val="15"/>
                      <w:szCs w:val="15"/>
                    </w:rPr>
                  </w:pPr>
                </w:p>
              </w:tc>
            </w:tr>
            <w:tr w14:paraId="201CB0C3">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64FFF74B">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7389EE32">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5#散居农户</w:t>
                  </w:r>
                </w:p>
              </w:tc>
              <w:tc>
                <w:tcPr>
                  <w:tcW w:w="693" w:type="pct"/>
                  <w:vAlign w:val="center"/>
                </w:tcPr>
                <w:p w14:paraId="54CAAA5D">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36469941.711</w:t>
                  </w:r>
                </w:p>
              </w:tc>
              <w:tc>
                <w:tcPr>
                  <w:tcW w:w="765" w:type="pct"/>
                  <w:vAlign w:val="center"/>
                </w:tcPr>
                <w:p w14:paraId="059A4E4F">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3489274.736</w:t>
                  </w:r>
                </w:p>
              </w:tc>
              <w:tc>
                <w:tcPr>
                  <w:tcW w:w="690" w:type="pct"/>
                  <w:vAlign w:val="center"/>
                </w:tcPr>
                <w:p w14:paraId="08D0CF0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2户约8人</w:t>
                  </w:r>
                </w:p>
              </w:tc>
              <w:tc>
                <w:tcPr>
                  <w:tcW w:w="373" w:type="pct"/>
                  <w:vAlign w:val="center"/>
                </w:tcPr>
                <w:p w14:paraId="7BD6E73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t>
                  </w:r>
                </w:p>
              </w:tc>
              <w:tc>
                <w:tcPr>
                  <w:tcW w:w="561" w:type="pct"/>
                  <w:vAlign w:val="center"/>
                </w:tcPr>
                <w:p w14:paraId="3F294179">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157-170</w:t>
                  </w:r>
                </w:p>
              </w:tc>
              <w:tc>
                <w:tcPr>
                  <w:tcW w:w="726" w:type="pct"/>
                  <w:vMerge w:val="continue"/>
                  <w:vAlign w:val="center"/>
                </w:tcPr>
                <w:p w14:paraId="31428FDE">
                  <w:pPr>
                    <w:pStyle w:val="28"/>
                    <w:keepNext w:val="0"/>
                    <w:keepLines w:val="0"/>
                    <w:suppressLineNumbers w:val="0"/>
                    <w:spacing w:before="0" w:beforeAutospacing="0" w:after="0" w:afterAutospacing="0"/>
                    <w:ind w:left="0" w:right="0"/>
                    <w:rPr>
                      <w:rFonts w:hint="default"/>
                      <w:color w:val="auto"/>
                      <w:sz w:val="15"/>
                      <w:szCs w:val="15"/>
                    </w:rPr>
                  </w:pPr>
                </w:p>
              </w:tc>
            </w:tr>
            <w:tr w14:paraId="5D4D457E">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1A0B2B29">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02DD25E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6#散居农户</w:t>
                  </w:r>
                </w:p>
              </w:tc>
              <w:tc>
                <w:tcPr>
                  <w:tcW w:w="693" w:type="pct"/>
                  <w:vAlign w:val="center"/>
                </w:tcPr>
                <w:p w14:paraId="0A46F62C">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36469986.680</w:t>
                  </w:r>
                </w:p>
              </w:tc>
              <w:tc>
                <w:tcPr>
                  <w:tcW w:w="765" w:type="pct"/>
                  <w:vAlign w:val="center"/>
                </w:tcPr>
                <w:p w14:paraId="117C2FA6">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3489320.745</w:t>
                  </w:r>
                </w:p>
              </w:tc>
              <w:tc>
                <w:tcPr>
                  <w:tcW w:w="690" w:type="pct"/>
                  <w:vAlign w:val="center"/>
                </w:tcPr>
                <w:p w14:paraId="75F9FEC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1户约4人</w:t>
                  </w:r>
                </w:p>
              </w:tc>
              <w:tc>
                <w:tcPr>
                  <w:tcW w:w="373" w:type="pct"/>
                  <w:vAlign w:val="center"/>
                </w:tcPr>
                <w:p w14:paraId="3C49386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t>
                  </w:r>
                </w:p>
              </w:tc>
              <w:tc>
                <w:tcPr>
                  <w:tcW w:w="561" w:type="pct"/>
                  <w:vAlign w:val="center"/>
                </w:tcPr>
                <w:p w14:paraId="18CD6BB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185</w:t>
                  </w:r>
                </w:p>
              </w:tc>
              <w:tc>
                <w:tcPr>
                  <w:tcW w:w="726" w:type="pct"/>
                  <w:vMerge w:val="continue"/>
                  <w:vAlign w:val="center"/>
                </w:tcPr>
                <w:p w14:paraId="524DD73E">
                  <w:pPr>
                    <w:pStyle w:val="28"/>
                    <w:keepNext w:val="0"/>
                    <w:keepLines w:val="0"/>
                    <w:suppressLineNumbers w:val="0"/>
                    <w:spacing w:before="0" w:beforeAutospacing="0" w:after="0" w:afterAutospacing="0"/>
                    <w:ind w:left="0" w:right="0"/>
                    <w:rPr>
                      <w:rFonts w:hint="default"/>
                      <w:color w:val="auto"/>
                      <w:sz w:val="15"/>
                      <w:szCs w:val="15"/>
                    </w:rPr>
                  </w:pPr>
                </w:p>
              </w:tc>
            </w:tr>
            <w:tr w14:paraId="71068BDC">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2E3E4063">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6D4C6C62">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7#散居农户</w:t>
                  </w:r>
                </w:p>
              </w:tc>
              <w:tc>
                <w:tcPr>
                  <w:tcW w:w="693" w:type="pct"/>
                  <w:vAlign w:val="center"/>
                </w:tcPr>
                <w:p w14:paraId="59A6E09E">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36469997.812</w:t>
                  </w:r>
                </w:p>
              </w:tc>
              <w:tc>
                <w:tcPr>
                  <w:tcW w:w="765" w:type="pct"/>
                  <w:vAlign w:val="center"/>
                </w:tcPr>
                <w:p w14:paraId="6CF3B623">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3489293.841</w:t>
                  </w:r>
                </w:p>
              </w:tc>
              <w:tc>
                <w:tcPr>
                  <w:tcW w:w="690" w:type="pct"/>
                  <w:vAlign w:val="center"/>
                </w:tcPr>
                <w:p w14:paraId="5FF5185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2户约8人</w:t>
                  </w:r>
                </w:p>
              </w:tc>
              <w:tc>
                <w:tcPr>
                  <w:tcW w:w="373" w:type="pct"/>
                  <w:vAlign w:val="center"/>
                </w:tcPr>
                <w:p w14:paraId="25D3CA54">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w:t>
                  </w:r>
                </w:p>
              </w:tc>
              <w:tc>
                <w:tcPr>
                  <w:tcW w:w="561" w:type="pct"/>
                  <w:vAlign w:val="center"/>
                </w:tcPr>
                <w:p w14:paraId="3A142C7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150-175</w:t>
                  </w:r>
                </w:p>
              </w:tc>
              <w:tc>
                <w:tcPr>
                  <w:tcW w:w="726" w:type="pct"/>
                  <w:vMerge w:val="continue"/>
                  <w:vAlign w:val="center"/>
                </w:tcPr>
                <w:p w14:paraId="5AC2E35B">
                  <w:pPr>
                    <w:pStyle w:val="28"/>
                    <w:keepNext w:val="0"/>
                    <w:keepLines w:val="0"/>
                    <w:suppressLineNumbers w:val="0"/>
                    <w:spacing w:before="0" w:beforeAutospacing="0" w:after="0" w:afterAutospacing="0"/>
                    <w:ind w:left="0" w:right="0"/>
                    <w:rPr>
                      <w:rFonts w:hint="default"/>
                      <w:color w:val="auto"/>
                      <w:sz w:val="15"/>
                      <w:szCs w:val="15"/>
                    </w:rPr>
                  </w:pPr>
                </w:p>
              </w:tc>
            </w:tr>
            <w:tr w14:paraId="567B4850">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20130A0">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647A384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8#散居农户</w:t>
                  </w:r>
                </w:p>
              </w:tc>
              <w:tc>
                <w:tcPr>
                  <w:tcW w:w="693" w:type="pct"/>
                  <w:vAlign w:val="center"/>
                </w:tcPr>
                <w:p w14:paraId="191360AA">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36470056.376</w:t>
                  </w:r>
                </w:p>
              </w:tc>
              <w:tc>
                <w:tcPr>
                  <w:tcW w:w="765" w:type="pct"/>
                  <w:vAlign w:val="center"/>
                </w:tcPr>
                <w:p w14:paraId="5F3A5C5E">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3489284.039</w:t>
                  </w:r>
                </w:p>
              </w:tc>
              <w:tc>
                <w:tcPr>
                  <w:tcW w:w="690" w:type="pct"/>
                  <w:vAlign w:val="center"/>
                </w:tcPr>
                <w:p w14:paraId="7BDC1EE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6户约25人</w:t>
                  </w:r>
                </w:p>
              </w:tc>
              <w:tc>
                <w:tcPr>
                  <w:tcW w:w="373" w:type="pct"/>
                  <w:vAlign w:val="center"/>
                </w:tcPr>
                <w:p w14:paraId="077D90C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49DBC35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125-185</w:t>
                  </w:r>
                </w:p>
              </w:tc>
              <w:tc>
                <w:tcPr>
                  <w:tcW w:w="726" w:type="pct"/>
                  <w:vMerge w:val="continue"/>
                  <w:vAlign w:val="center"/>
                </w:tcPr>
                <w:p w14:paraId="1FACD885">
                  <w:pPr>
                    <w:pStyle w:val="28"/>
                    <w:keepNext w:val="0"/>
                    <w:keepLines w:val="0"/>
                    <w:suppressLineNumbers w:val="0"/>
                    <w:spacing w:before="0" w:beforeAutospacing="0" w:after="0" w:afterAutospacing="0"/>
                    <w:ind w:left="0" w:right="0"/>
                    <w:rPr>
                      <w:rFonts w:hint="default"/>
                      <w:color w:val="auto"/>
                      <w:sz w:val="15"/>
                      <w:szCs w:val="15"/>
                    </w:rPr>
                  </w:pPr>
                </w:p>
              </w:tc>
            </w:tr>
            <w:tr w14:paraId="1762B96E">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7A1F189A">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5339AE59">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9#散居农户</w:t>
                  </w:r>
                </w:p>
              </w:tc>
              <w:tc>
                <w:tcPr>
                  <w:tcW w:w="693" w:type="pct"/>
                  <w:vAlign w:val="center"/>
                </w:tcPr>
                <w:p w14:paraId="3C42A5CF">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36470117.983</w:t>
                  </w:r>
                </w:p>
              </w:tc>
              <w:tc>
                <w:tcPr>
                  <w:tcW w:w="765" w:type="pct"/>
                  <w:vAlign w:val="center"/>
                </w:tcPr>
                <w:p w14:paraId="4C78A460">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3489491.167</w:t>
                  </w:r>
                </w:p>
              </w:tc>
              <w:tc>
                <w:tcPr>
                  <w:tcW w:w="690" w:type="pct"/>
                  <w:vAlign w:val="center"/>
                </w:tcPr>
                <w:p w14:paraId="2920B48B">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1户约4人</w:t>
                  </w:r>
                </w:p>
              </w:tc>
              <w:tc>
                <w:tcPr>
                  <w:tcW w:w="373" w:type="pct"/>
                  <w:vAlign w:val="center"/>
                </w:tcPr>
                <w:p w14:paraId="22DA97A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4C64AA2C">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370</w:t>
                  </w:r>
                </w:p>
              </w:tc>
              <w:tc>
                <w:tcPr>
                  <w:tcW w:w="726" w:type="pct"/>
                  <w:vMerge w:val="continue"/>
                  <w:vAlign w:val="center"/>
                </w:tcPr>
                <w:p w14:paraId="32AF9C79">
                  <w:pPr>
                    <w:pStyle w:val="28"/>
                    <w:keepNext w:val="0"/>
                    <w:keepLines w:val="0"/>
                    <w:suppressLineNumbers w:val="0"/>
                    <w:spacing w:before="0" w:beforeAutospacing="0" w:after="0" w:afterAutospacing="0"/>
                    <w:ind w:left="0" w:right="0"/>
                    <w:rPr>
                      <w:rFonts w:hint="default"/>
                      <w:color w:val="auto"/>
                      <w:sz w:val="15"/>
                      <w:szCs w:val="15"/>
                    </w:rPr>
                  </w:pPr>
                </w:p>
              </w:tc>
            </w:tr>
            <w:tr w14:paraId="08A205B4">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52146B1E">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19BB8BAA">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10#散居农户</w:t>
                  </w:r>
                </w:p>
              </w:tc>
              <w:tc>
                <w:tcPr>
                  <w:tcW w:w="693" w:type="pct"/>
                  <w:vAlign w:val="center"/>
                </w:tcPr>
                <w:p w14:paraId="5ED59ED3">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36470133.887</w:t>
                  </w:r>
                </w:p>
              </w:tc>
              <w:tc>
                <w:tcPr>
                  <w:tcW w:w="765" w:type="pct"/>
                  <w:vAlign w:val="center"/>
                </w:tcPr>
                <w:p w14:paraId="5E5020A6">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3489529.337</w:t>
                  </w:r>
                </w:p>
              </w:tc>
              <w:tc>
                <w:tcPr>
                  <w:tcW w:w="690" w:type="pct"/>
                  <w:vAlign w:val="center"/>
                </w:tcPr>
                <w:p w14:paraId="6C94952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1户约4人</w:t>
                  </w:r>
                </w:p>
              </w:tc>
              <w:tc>
                <w:tcPr>
                  <w:tcW w:w="373" w:type="pct"/>
                  <w:vAlign w:val="center"/>
                </w:tcPr>
                <w:p w14:paraId="1929F6E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63E226E2">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410</w:t>
                  </w:r>
                </w:p>
              </w:tc>
              <w:tc>
                <w:tcPr>
                  <w:tcW w:w="726" w:type="pct"/>
                  <w:vMerge w:val="continue"/>
                  <w:vAlign w:val="center"/>
                </w:tcPr>
                <w:p w14:paraId="73F8F85D">
                  <w:pPr>
                    <w:pStyle w:val="28"/>
                    <w:keepNext w:val="0"/>
                    <w:keepLines w:val="0"/>
                    <w:suppressLineNumbers w:val="0"/>
                    <w:spacing w:before="0" w:beforeAutospacing="0" w:after="0" w:afterAutospacing="0"/>
                    <w:ind w:left="0" w:right="0"/>
                    <w:rPr>
                      <w:rFonts w:hint="default"/>
                      <w:color w:val="auto"/>
                      <w:sz w:val="15"/>
                      <w:szCs w:val="15"/>
                    </w:rPr>
                  </w:pPr>
                </w:p>
              </w:tc>
            </w:tr>
            <w:tr w14:paraId="78A659EA">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2EDB5339">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1770822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11#散居农户</w:t>
                  </w:r>
                </w:p>
              </w:tc>
              <w:tc>
                <w:tcPr>
                  <w:tcW w:w="693" w:type="pct"/>
                  <w:vAlign w:val="center"/>
                </w:tcPr>
                <w:p w14:paraId="21732508">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36470192.504</w:t>
                  </w:r>
                </w:p>
              </w:tc>
              <w:tc>
                <w:tcPr>
                  <w:tcW w:w="765" w:type="pct"/>
                  <w:vAlign w:val="center"/>
                </w:tcPr>
                <w:p w14:paraId="12C39BF9">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3489538.296</w:t>
                  </w:r>
                </w:p>
              </w:tc>
              <w:tc>
                <w:tcPr>
                  <w:tcW w:w="690" w:type="pct"/>
                  <w:vAlign w:val="center"/>
                </w:tcPr>
                <w:p w14:paraId="4EAB7CF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9户约30人</w:t>
                  </w:r>
                </w:p>
              </w:tc>
              <w:tc>
                <w:tcPr>
                  <w:tcW w:w="373" w:type="pct"/>
                  <w:vAlign w:val="center"/>
                </w:tcPr>
                <w:p w14:paraId="163A9B1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10A205E2">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400-490</w:t>
                  </w:r>
                </w:p>
              </w:tc>
              <w:tc>
                <w:tcPr>
                  <w:tcW w:w="726" w:type="pct"/>
                  <w:vMerge w:val="continue"/>
                  <w:vAlign w:val="center"/>
                </w:tcPr>
                <w:p w14:paraId="512613B4">
                  <w:pPr>
                    <w:pStyle w:val="28"/>
                    <w:keepNext w:val="0"/>
                    <w:keepLines w:val="0"/>
                    <w:suppressLineNumbers w:val="0"/>
                    <w:spacing w:before="0" w:beforeAutospacing="0" w:after="0" w:afterAutospacing="0"/>
                    <w:ind w:left="0" w:right="0"/>
                    <w:rPr>
                      <w:rFonts w:hint="default"/>
                      <w:color w:val="auto"/>
                      <w:sz w:val="15"/>
                      <w:szCs w:val="15"/>
                    </w:rPr>
                  </w:pPr>
                </w:p>
              </w:tc>
            </w:tr>
            <w:tr w14:paraId="7E769F00">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132CA79B">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78CF232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12#散居农户</w:t>
                  </w:r>
                </w:p>
              </w:tc>
              <w:tc>
                <w:tcPr>
                  <w:tcW w:w="693" w:type="pct"/>
                  <w:vAlign w:val="center"/>
                </w:tcPr>
                <w:p w14:paraId="584A80C9">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36470102.433</w:t>
                  </w:r>
                </w:p>
              </w:tc>
              <w:tc>
                <w:tcPr>
                  <w:tcW w:w="765" w:type="pct"/>
                  <w:vAlign w:val="center"/>
                </w:tcPr>
                <w:p w14:paraId="33AE4D52">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3489576.072</w:t>
                  </w:r>
                </w:p>
              </w:tc>
              <w:tc>
                <w:tcPr>
                  <w:tcW w:w="690" w:type="pct"/>
                  <w:vAlign w:val="center"/>
                </w:tcPr>
                <w:p w14:paraId="0183CA1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3户约12人</w:t>
                  </w:r>
                </w:p>
              </w:tc>
              <w:tc>
                <w:tcPr>
                  <w:tcW w:w="373" w:type="pct"/>
                  <w:vAlign w:val="center"/>
                </w:tcPr>
                <w:p w14:paraId="4748908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32CF0806">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420-480</w:t>
                  </w:r>
                </w:p>
              </w:tc>
              <w:tc>
                <w:tcPr>
                  <w:tcW w:w="726" w:type="pct"/>
                  <w:vMerge w:val="continue"/>
                  <w:vAlign w:val="center"/>
                </w:tcPr>
                <w:p w14:paraId="65389891">
                  <w:pPr>
                    <w:pStyle w:val="28"/>
                    <w:keepNext w:val="0"/>
                    <w:keepLines w:val="0"/>
                    <w:suppressLineNumbers w:val="0"/>
                    <w:spacing w:before="0" w:beforeAutospacing="0" w:after="0" w:afterAutospacing="0"/>
                    <w:ind w:left="0" w:right="0"/>
                    <w:rPr>
                      <w:rFonts w:hint="default"/>
                      <w:color w:val="auto"/>
                      <w:sz w:val="15"/>
                      <w:szCs w:val="15"/>
                    </w:rPr>
                  </w:pPr>
                </w:p>
              </w:tc>
            </w:tr>
            <w:tr w14:paraId="34E17F6A">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44A83DBA">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1EF4B055">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13#散居农户</w:t>
                  </w:r>
                </w:p>
              </w:tc>
              <w:tc>
                <w:tcPr>
                  <w:tcW w:w="693" w:type="pct"/>
                  <w:vAlign w:val="center"/>
                </w:tcPr>
                <w:p w14:paraId="2441D881">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36470055.474</w:t>
                  </w:r>
                </w:p>
              </w:tc>
              <w:tc>
                <w:tcPr>
                  <w:tcW w:w="765" w:type="pct"/>
                  <w:vAlign w:val="center"/>
                </w:tcPr>
                <w:p w14:paraId="39FB02DE">
                  <w:pPr>
                    <w:pStyle w:val="28"/>
                    <w:keepNext w:val="0"/>
                    <w:keepLines w:val="0"/>
                    <w:suppressLineNumbers w:val="0"/>
                    <w:spacing w:before="0" w:beforeAutospacing="0" w:after="0" w:afterAutospacing="0"/>
                    <w:ind w:left="0" w:right="0"/>
                    <w:rPr>
                      <w:rFonts w:hint="default"/>
                      <w:color w:val="auto"/>
                      <w:sz w:val="13"/>
                      <w:szCs w:val="15"/>
                    </w:rPr>
                  </w:pPr>
                  <w:r>
                    <w:rPr>
                      <w:rFonts w:hint="default"/>
                      <w:color w:val="auto"/>
                      <w:sz w:val="13"/>
                      <w:szCs w:val="15"/>
                    </w:rPr>
                    <w:t>3489590.403</w:t>
                  </w:r>
                </w:p>
              </w:tc>
              <w:tc>
                <w:tcPr>
                  <w:tcW w:w="690" w:type="pct"/>
                  <w:vAlign w:val="center"/>
                </w:tcPr>
                <w:p w14:paraId="76E42AA5">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1户约4人</w:t>
                  </w:r>
                </w:p>
              </w:tc>
              <w:tc>
                <w:tcPr>
                  <w:tcW w:w="373" w:type="pct"/>
                  <w:vAlign w:val="center"/>
                </w:tcPr>
                <w:p w14:paraId="3F897457">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NE</w:t>
                  </w:r>
                </w:p>
              </w:tc>
              <w:tc>
                <w:tcPr>
                  <w:tcW w:w="561" w:type="pct"/>
                  <w:vAlign w:val="center"/>
                </w:tcPr>
                <w:p w14:paraId="0D99D74E">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450</w:t>
                  </w:r>
                </w:p>
              </w:tc>
              <w:tc>
                <w:tcPr>
                  <w:tcW w:w="726" w:type="pct"/>
                  <w:vMerge w:val="continue"/>
                  <w:vAlign w:val="center"/>
                </w:tcPr>
                <w:p w14:paraId="733AD711">
                  <w:pPr>
                    <w:pStyle w:val="28"/>
                    <w:keepNext w:val="0"/>
                    <w:keepLines w:val="0"/>
                    <w:suppressLineNumbers w:val="0"/>
                    <w:spacing w:before="0" w:beforeAutospacing="0" w:after="0" w:afterAutospacing="0"/>
                    <w:ind w:left="0" w:right="0"/>
                    <w:rPr>
                      <w:rFonts w:hint="default"/>
                      <w:color w:val="auto"/>
                      <w:sz w:val="15"/>
                      <w:szCs w:val="15"/>
                    </w:rPr>
                  </w:pPr>
                </w:p>
              </w:tc>
            </w:tr>
            <w:tr w14:paraId="2D0BC36E">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Align w:val="center"/>
                </w:tcPr>
                <w:p w14:paraId="24B15889">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声环境</w:t>
                  </w:r>
                </w:p>
              </w:tc>
              <w:tc>
                <w:tcPr>
                  <w:tcW w:w="3895" w:type="pct"/>
                  <w:gridSpan w:val="6"/>
                  <w:vAlign w:val="center"/>
                </w:tcPr>
                <w:p w14:paraId="45E46FC0">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厂界外50m范围内无声环境保护目标</w:t>
                  </w:r>
                </w:p>
              </w:tc>
              <w:tc>
                <w:tcPr>
                  <w:tcW w:w="726" w:type="pct"/>
                  <w:vAlign w:val="center"/>
                </w:tcPr>
                <w:p w14:paraId="45D929CF">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GB3096-</w:t>
                  </w:r>
                </w:p>
                <w:p w14:paraId="2964E6EC">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2008中3类区标准</w:t>
                  </w:r>
                </w:p>
              </w:tc>
            </w:tr>
            <w:tr w14:paraId="37103CA2">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14:paraId="12FF1B2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地表水</w:t>
                  </w:r>
                </w:p>
              </w:tc>
              <w:tc>
                <w:tcPr>
                  <w:tcW w:w="813" w:type="pct"/>
                  <w:vAlign w:val="center"/>
                </w:tcPr>
                <w:p w14:paraId="6A60AD0E">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后巴河</w:t>
                  </w:r>
                </w:p>
              </w:tc>
              <w:tc>
                <w:tcPr>
                  <w:tcW w:w="2148" w:type="pct"/>
                  <w:gridSpan w:val="3"/>
                  <w:vAlign w:val="center"/>
                </w:tcPr>
                <w:p w14:paraId="449B18EE">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河流水质</w:t>
                  </w:r>
                </w:p>
              </w:tc>
              <w:tc>
                <w:tcPr>
                  <w:tcW w:w="373" w:type="pct"/>
                  <w:vAlign w:val="center"/>
                </w:tcPr>
                <w:p w14:paraId="2596ED20">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南侧</w:t>
                  </w:r>
                </w:p>
              </w:tc>
              <w:tc>
                <w:tcPr>
                  <w:tcW w:w="561" w:type="pct"/>
                  <w:vAlign w:val="center"/>
                </w:tcPr>
                <w:p w14:paraId="5F212922">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2.2km</w:t>
                  </w:r>
                </w:p>
              </w:tc>
              <w:tc>
                <w:tcPr>
                  <w:tcW w:w="726" w:type="pct"/>
                  <w:vMerge w:val="restart"/>
                  <w:vAlign w:val="center"/>
                </w:tcPr>
                <w:p w14:paraId="6D9C7468">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GB3838-</w:t>
                  </w:r>
                </w:p>
                <w:p w14:paraId="402DA1BD">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2002中</w:t>
                  </w:r>
                  <w:r>
                    <w:rPr>
                      <w:rFonts w:hint="default"/>
                      <w:color w:val="auto"/>
                      <w:sz w:val="15"/>
                      <w:szCs w:val="15"/>
                    </w:rPr>
                    <w:fldChar w:fldCharType="begin"/>
                  </w:r>
                  <w:r>
                    <w:rPr>
                      <w:rFonts w:hint="default"/>
                      <w:color w:val="auto"/>
                      <w:sz w:val="15"/>
                      <w:szCs w:val="15"/>
                    </w:rPr>
                    <w:instrText xml:space="preserve"> = 3 \* ROMAN \* MERGEFORMAT </w:instrText>
                  </w:r>
                  <w:r>
                    <w:rPr>
                      <w:rFonts w:hint="default"/>
                      <w:color w:val="auto"/>
                      <w:sz w:val="15"/>
                      <w:szCs w:val="15"/>
                    </w:rPr>
                    <w:fldChar w:fldCharType="separate"/>
                  </w:r>
                  <w:r>
                    <w:rPr>
                      <w:rFonts w:hint="default"/>
                      <w:color w:val="auto"/>
                      <w:sz w:val="15"/>
                      <w:szCs w:val="15"/>
                    </w:rPr>
                    <w:t>III</w:t>
                  </w:r>
                  <w:r>
                    <w:rPr>
                      <w:rFonts w:hint="default"/>
                      <w:color w:val="auto"/>
                      <w:sz w:val="15"/>
                      <w:szCs w:val="15"/>
                    </w:rPr>
                    <w:fldChar w:fldCharType="end"/>
                  </w:r>
                </w:p>
                <w:p w14:paraId="2AE74FC0">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类水域</w:t>
                  </w:r>
                </w:p>
              </w:tc>
            </w:tr>
            <w:tr w14:paraId="23CF2785">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61247824">
                  <w:pPr>
                    <w:pStyle w:val="28"/>
                    <w:keepNext w:val="0"/>
                    <w:keepLines w:val="0"/>
                    <w:suppressLineNumbers w:val="0"/>
                    <w:spacing w:before="0" w:beforeAutospacing="0" w:after="0" w:afterAutospacing="0"/>
                    <w:ind w:left="0" w:right="0"/>
                    <w:rPr>
                      <w:rFonts w:hint="default"/>
                      <w:color w:val="auto"/>
                      <w:sz w:val="15"/>
                      <w:szCs w:val="15"/>
                    </w:rPr>
                  </w:pPr>
                </w:p>
              </w:tc>
              <w:tc>
                <w:tcPr>
                  <w:tcW w:w="813" w:type="pct"/>
                  <w:vAlign w:val="center"/>
                </w:tcPr>
                <w:p w14:paraId="727277FE">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后河</w:t>
                  </w:r>
                </w:p>
              </w:tc>
              <w:tc>
                <w:tcPr>
                  <w:tcW w:w="2148" w:type="pct"/>
                  <w:gridSpan w:val="3"/>
                  <w:vAlign w:val="center"/>
                </w:tcPr>
                <w:p w14:paraId="115643F7">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河流水质</w:t>
                  </w:r>
                </w:p>
              </w:tc>
              <w:tc>
                <w:tcPr>
                  <w:tcW w:w="373" w:type="pct"/>
                  <w:vAlign w:val="center"/>
                </w:tcPr>
                <w:p w14:paraId="2722A866">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东侧</w:t>
                  </w:r>
                </w:p>
              </w:tc>
              <w:tc>
                <w:tcPr>
                  <w:tcW w:w="561" w:type="pct"/>
                  <w:vAlign w:val="center"/>
                </w:tcPr>
                <w:p w14:paraId="75CA07CC">
                  <w:pPr>
                    <w:pStyle w:val="28"/>
                    <w:keepNext w:val="0"/>
                    <w:keepLines w:val="0"/>
                    <w:suppressLineNumbers w:val="0"/>
                    <w:spacing w:before="0" w:beforeAutospacing="0" w:after="0" w:afterAutospacing="0"/>
                    <w:ind w:left="0" w:right="0"/>
                    <w:rPr>
                      <w:rFonts w:hint="default"/>
                      <w:color w:val="auto"/>
                      <w:sz w:val="15"/>
                    </w:rPr>
                  </w:pPr>
                  <w:r>
                    <w:rPr>
                      <w:rFonts w:hint="default"/>
                      <w:color w:val="auto"/>
                      <w:sz w:val="15"/>
                    </w:rPr>
                    <w:t>5.8km</w:t>
                  </w:r>
                </w:p>
              </w:tc>
              <w:tc>
                <w:tcPr>
                  <w:tcW w:w="726" w:type="pct"/>
                  <w:vMerge w:val="continue"/>
                  <w:vAlign w:val="center"/>
                </w:tcPr>
                <w:p w14:paraId="14D730D3">
                  <w:pPr>
                    <w:pStyle w:val="28"/>
                    <w:keepNext w:val="0"/>
                    <w:keepLines w:val="0"/>
                    <w:suppressLineNumbers w:val="0"/>
                    <w:spacing w:before="0" w:beforeAutospacing="0" w:after="0" w:afterAutospacing="0"/>
                    <w:ind w:left="0" w:right="0"/>
                    <w:rPr>
                      <w:rFonts w:hint="default"/>
                      <w:color w:val="auto"/>
                      <w:sz w:val="15"/>
                      <w:szCs w:val="15"/>
                    </w:rPr>
                  </w:pPr>
                </w:p>
              </w:tc>
            </w:tr>
            <w:tr w14:paraId="05DD6721">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Align w:val="center"/>
                </w:tcPr>
                <w:p w14:paraId="631891B3">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地下水</w:t>
                  </w:r>
                </w:p>
              </w:tc>
              <w:tc>
                <w:tcPr>
                  <w:tcW w:w="4621" w:type="pct"/>
                  <w:gridSpan w:val="7"/>
                  <w:vAlign w:val="center"/>
                </w:tcPr>
                <w:p w14:paraId="36AB75F4">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根据调查，项目厂界外500米范围内无地下水集中式饮用水水源和热水、矿泉水、温泉等特殊地下水资源。</w:t>
                  </w:r>
                </w:p>
              </w:tc>
            </w:tr>
            <w:tr w14:paraId="3E12D847">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jc w:val="center"/>
              </w:trPr>
              <w:tc>
                <w:tcPr>
                  <w:tcW w:w="379" w:type="pct"/>
                  <w:vAlign w:val="center"/>
                </w:tcPr>
                <w:p w14:paraId="250E5CA1">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生态环境</w:t>
                  </w:r>
                </w:p>
              </w:tc>
              <w:tc>
                <w:tcPr>
                  <w:tcW w:w="4621" w:type="pct"/>
                  <w:gridSpan w:val="7"/>
                  <w:vAlign w:val="center"/>
                </w:tcPr>
                <w:p w14:paraId="27248C58">
                  <w:pPr>
                    <w:pStyle w:val="28"/>
                    <w:keepNext w:val="0"/>
                    <w:keepLines w:val="0"/>
                    <w:suppressLineNumbers w:val="0"/>
                    <w:spacing w:before="0" w:beforeAutospacing="0" w:after="0" w:afterAutospacing="0"/>
                    <w:ind w:left="0" w:right="0"/>
                    <w:rPr>
                      <w:rFonts w:hint="default"/>
                      <w:color w:val="auto"/>
                      <w:sz w:val="15"/>
                      <w:szCs w:val="15"/>
                    </w:rPr>
                  </w:pPr>
                  <w:r>
                    <w:rPr>
                      <w:rFonts w:hint="default"/>
                      <w:color w:val="auto"/>
                      <w:sz w:val="15"/>
                      <w:szCs w:val="15"/>
                    </w:rPr>
                    <w:t>本项目在规划建设用地上进行建设，项目周边无生态环境保护目标。</w:t>
                  </w:r>
                </w:p>
              </w:tc>
            </w:tr>
          </w:tbl>
          <w:p w14:paraId="05F50C2B">
            <w:pPr>
              <w:keepNext w:val="0"/>
              <w:keepLines w:val="0"/>
              <w:suppressLineNumbers w:val="0"/>
              <w:spacing w:before="0" w:beforeAutospacing="0" w:after="0" w:afterAutospacing="0"/>
              <w:ind w:left="0" w:right="0" w:firstLine="480"/>
              <w:rPr>
                <w:rFonts w:hint="default" w:cs="Times New Roman"/>
                <w:color w:val="auto"/>
              </w:rPr>
            </w:pPr>
          </w:p>
        </w:tc>
      </w:tr>
      <w:tr w14:paraId="748B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634E334E">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污染物排放控制标准</w:t>
            </w:r>
          </w:p>
        </w:tc>
        <w:tc>
          <w:tcPr>
            <w:tcW w:w="4548" w:type="pct"/>
            <w:vAlign w:val="center"/>
          </w:tcPr>
          <w:p w14:paraId="0094A1C5">
            <w:pPr>
              <w:keepNext w:val="0"/>
              <w:keepLines w:val="0"/>
              <w:suppressLineNumbers w:val="0"/>
              <w:spacing w:before="0" w:beforeAutospacing="0" w:after="0" w:afterAutospacing="0"/>
              <w:ind w:left="0" w:right="113" w:firstLine="482"/>
              <w:rPr>
                <w:rFonts w:hint="default" w:cs="Times New Roman"/>
                <w:b/>
                <w:bCs/>
                <w:color w:val="auto"/>
              </w:rPr>
            </w:pPr>
            <w:r>
              <w:rPr>
                <w:rFonts w:hint="default" w:cs="Times New Roman"/>
                <w:b/>
                <w:bCs/>
                <w:color w:val="auto"/>
              </w:rPr>
              <w:t>一、废气</w:t>
            </w:r>
          </w:p>
          <w:p w14:paraId="091897A0">
            <w:pPr>
              <w:keepNext w:val="0"/>
              <w:keepLines w:val="0"/>
              <w:suppressLineNumbers w:val="0"/>
              <w:spacing w:before="0" w:beforeAutospacing="0" w:after="0" w:afterAutospacing="0"/>
              <w:ind w:left="0" w:right="113" w:firstLine="480"/>
              <w:rPr>
                <w:rFonts w:hint="default" w:cs="Times New Roman"/>
                <w:color w:val="auto"/>
              </w:rPr>
            </w:pPr>
            <w:r>
              <w:rPr>
                <w:rFonts w:hint="default" w:cs="Times New Roman"/>
                <w:color w:val="auto"/>
              </w:rPr>
              <w:t>项目施工期施工扬尘执行《四川省施工场地扬尘排放标准》（DB51/2682-2020）中相关限值，具体数值见下表。</w:t>
            </w:r>
          </w:p>
          <w:p w14:paraId="509ECEBD">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四川省施工场地扬尘排放标准</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3027"/>
              <w:gridCol w:w="1444"/>
              <w:gridCol w:w="1227"/>
            </w:tblGrid>
            <w:tr w14:paraId="051ED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249" w:type="pct"/>
                  <w:vAlign w:val="center"/>
                </w:tcPr>
                <w:p w14:paraId="22C5DB4C">
                  <w:pPr>
                    <w:pStyle w:val="26"/>
                    <w:keepNext w:val="0"/>
                    <w:keepLines w:val="0"/>
                    <w:suppressLineNumbers w:val="0"/>
                    <w:spacing w:before="0" w:beforeAutospacing="0" w:after="0" w:afterAutospacing="0"/>
                    <w:ind w:left="0" w:right="0"/>
                    <w:rPr>
                      <w:rFonts w:hint="default"/>
                    </w:rPr>
                  </w:pPr>
                  <w:r>
                    <w:rPr>
                      <w:rFonts w:hint="default"/>
                    </w:rPr>
                    <w:t>监测项目</w:t>
                  </w:r>
                </w:p>
              </w:tc>
              <w:tc>
                <w:tcPr>
                  <w:tcW w:w="1991" w:type="pct"/>
                  <w:vAlign w:val="center"/>
                </w:tcPr>
                <w:p w14:paraId="534FD8BB">
                  <w:pPr>
                    <w:pStyle w:val="26"/>
                    <w:keepNext w:val="0"/>
                    <w:keepLines w:val="0"/>
                    <w:suppressLineNumbers w:val="0"/>
                    <w:spacing w:before="0" w:beforeAutospacing="0" w:after="0" w:afterAutospacing="0"/>
                    <w:ind w:left="0" w:right="0"/>
                    <w:rPr>
                      <w:rFonts w:hint="default"/>
                    </w:rPr>
                  </w:pPr>
                  <w:r>
                    <w:rPr>
                      <w:rFonts w:hint="default"/>
                    </w:rPr>
                    <w:t>施工阶段</w:t>
                  </w:r>
                </w:p>
              </w:tc>
              <w:tc>
                <w:tcPr>
                  <w:tcW w:w="950" w:type="pct"/>
                  <w:vAlign w:val="center"/>
                </w:tcPr>
                <w:p w14:paraId="3B9152FC">
                  <w:pPr>
                    <w:pStyle w:val="26"/>
                    <w:keepNext w:val="0"/>
                    <w:keepLines w:val="0"/>
                    <w:suppressLineNumbers w:val="0"/>
                    <w:spacing w:before="0" w:beforeAutospacing="0" w:after="0" w:afterAutospacing="0"/>
                    <w:ind w:left="0" w:right="0"/>
                    <w:rPr>
                      <w:rFonts w:hint="default"/>
                    </w:rPr>
                  </w:pPr>
                  <w:r>
                    <w:rPr>
                      <w:rFonts w:hint="default"/>
                    </w:rPr>
                    <w:t>监测点排放限值（</w:t>
                  </w:r>
                  <w:r>
                    <w:rPr>
                      <w:rFonts w:hint="eastAsia"/>
                    </w:rPr>
                    <w:t>μg/m3</w:t>
                  </w:r>
                  <w:r>
                    <w:rPr>
                      <w:rFonts w:hint="default"/>
                    </w:rPr>
                    <w:t>）</w:t>
                  </w:r>
                </w:p>
              </w:tc>
              <w:tc>
                <w:tcPr>
                  <w:tcW w:w="807" w:type="pct"/>
                  <w:vAlign w:val="center"/>
                </w:tcPr>
                <w:p w14:paraId="03663572">
                  <w:pPr>
                    <w:pStyle w:val="26"/>
                    <w:keepNext w:val="0"/>
                    <w:keepLines w:val="0"/>
                    <w:suppressLineNumbers w:val="0"/>
                    <w:spacing w:before="0" w:beforeAutospacing="0" w:after="0" w:afterAutospacing="0"/>
                    <w:ind w:left="0" w:right="0"/>
                    <w:rPr>
                      <w:rFonts w:hint="default"/>
                    </w:rPr>
                  </w:pPr>
                  <w:r>
                    <w:rPr>
                      <w:rFonts w:hint="default"/>
                    </w:rPr>
                    <w:t>监测时间</w:t>
                  </w:r>
                </w:p>
              </w:tc>
            </w:tr>
            <w:tr w14:paraId="3AC92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vAlign w:val="center"/>
                </w:tcPr>
                <w:p w14:paraId="0FAC05A0">
                  <w:pPr>
                    <w:pStyle w:val="26"/>
                    <w:keepNext w:val="0"/>
                    <w:keepLines w:val="0"/>
                    <w:suppressLineNumbers w:val="0"/>
                    <w:spacing w:before="0" w:beforeAutospacing="0" w:after="0" w:afterAutospacing="0"/>
                    <w:ind w:left="0" w:right="0"/>
                    <w:rPr>
                      <w:rFonts w:hint="default"/>
                    </w:rPr>
                  </w:pPr>
                  <w:r>
                    <w:rPr>
                      <w:rFonts w:hint="default"/>
                    </w:rPr>
                    <w:t>总悬浮颗粒物（TSP）</w:t>
                  </w:r>
                </w:p>
              </w:tc>
              <w:tc>
                <w:tcPr>
                  <w:tcW w:w="1991" w:type="pct"/>
                  <w:vAlign w:val="center"/>
                </w:tcPr>
                <w:p w14:paraId="56BF891E">
                  <w:pPr>
                    <w:pStyle w:val="26"/>
                    <w:keepNext w:val="0"/>
                    <w:keepLines w:val="0"/>
                    <w:suppressLineNumbers w:val="0"/>
                    <w:spacing w:before="0" w:beforeAutospacing="0" w:after="0" w:afterAutospacing="0"/>
                    <w:ind w:left="0" w:right="0"/>
                    <w:rPr>
                      <w:rFonts w:hint="default"/>
                    </w:rPr>
                  </w:pPr>
                  <w:r>
                    <w:rPr>
                      <w:rFonts w:hint="default"/>
                    </w:rPr>
                    <w:t>拆除工程/土方开挖/土方回填阶段</w:t>
                  </w:r>
                </w:p>
              </w:tc>
              <w:tc>
                <w:tcPr>
                  <w:tcW w:w="950" w:type="pct"/>
                  <w:vAlign w:val="center"/>
                </w:tcPr>
                <w:p w14:paraId="384B412B">
                  <w:pPr>
                    <w:pStyle w:val="26"/>
                    <w:keepNext w:val="0"/>
                    <w:keepLines w:val="0"/>
                    <w:suppressLineNumbers w:val="0"/>
                    <w:spacing w:before="0" w:beforeAutospacing="0" w:after="0" w:afterAutospacing="0"/>
                    <w:ind w:left="0" w:right="0"/>
                    <w:rPr>
                      <w:rFonts w:hint="default"/>
                    </w:rPr>
                  </w:pPr>
                  <w:r>
                    <w:rPr>
                      <w:rFonts w:hint="default"/>
                    </w:rPr>
                    <w:t>600</w:t>
                  </w:r>
                </w:p>
              </w:tc>
              <w:tc>
                <w:tcPr>
                  <w:tcW w:w="807" w:type="pct"/>
                  <w:vMerge w:val="restart"/>
                  <w:vAlign w:val="center"/>
                </w:tcPr>
                <w:p w14:paraId="5B9C301A">
                  <w:pPr>
                    <w:pStyle w:val="26"/>
                    <w:keepNext w:val="0"/>
                    <w:keepLines w:val="0"/>
                    <w:suppressLineNumbers w:val="0"/>
                    <w:spacing w:before="0" w:beforeAutospacing="0" w:after="0" w:afterAutospacing="0"/>
                    <w:ind w:left="0" w:right="0"/>
                    <w:rPr>
                      <w:rFonts w:hint="default"/>
                    </w:rPr>
                  </w:pPr>
                  <w:r>
                    <w:rPr>
                      <w:rFonts w:hint="default"/>
                    </w:rPr>
                    <w:t>自监测起持续15分钟</w:t>
                  </w:r>
                </w:p>
              </w:tc>
            </w:tr>
            <w:tr w14:paraId="342B4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01D1092D">
                  <w:pPr>
                    <w:pStyle w:val="26"/>
                    <w:keepNext w:val="0"/>
                    <w:keepLines w:val="0"/>
                    <w:suppressLineNumbers w:val="0"/>
                    <w:spacing w:before="0" w:beforeAutospacing="0" w:after="0" w:afterAutospacing="0"/>
                    <w:ind w:left="0" w:right="0"/>
                    <w:rPr>
                      <w:rFonts w:hint="default"/>
                    </w:rPr>
                  </w:pPr>
                </w:p>
              </w:tc>
              <w:tc>
                <w:tcPr>
                  <w:tcW w:w="1991" w:type="pct"/>
                  <w:vAlign w:val="center"/>
                </w:tcPr>
                <w:p w14:paraId="7837598F">
                  <w:pPr>
                    <w:pStyle w:val="26"/>
                    <w:keepNext w:val="0"/>
                    <w:keepLines w:val="0"/>
                    <w:suppressLineNumbers w:val="0"/>
                    <w:spacing w:before="0" w:beforeAutospacing="0" w:after="0" w:afterAutospacing="0"/>
                    <w:ind w:left="0" w:right="0"/>
                    <w:rPr>
                      <w:rFonts w:hint="default"/>
                    </w:rPr>
                  </w:pPr>
                  <w:r>
                    <w:rPr>
                      <w:rFonts w:hint="default"/>
                    </w:rPr>
                    <w:t>其他工程阶段</w:t>
                  </w:r>
                </w:p>
              </w:tc>
              <w:tc>
                <w:tcPr>
                  <w:tcW w:w="950" w:type="pct"/>
                  <w:vAlign w:val="center"/>
                </w:tcPr>
                <w:p w14:paraId="1333080B">
                  <w:pPr>
                    <w:pStyle w:val="26"/>
                    <w:keepNext w:val="0"/>
                    <w:keepLines w:val="0"/>
                    <w:suppressLineNumbers w:val="0"/>
                    <w:spacing w:before="0" w:beforeAutospacing="0" w:after="0" w:afterAutospacing="0"/>
                    <w:ind w:left="0" w:right="0"/>
                    <w:rPr>
                      <w:rFonts w:hint="default"/>
                    </w:rPr>
                  </w:pPr>
                  <w:r>
                    <w:rPr>
                      <w:rFonts w:hint="default"/>
                    </w:rPr>
                    <w:t>250</w:t>
                  </w:r>
                </w:p>
              </w:tc>
              <w:tc>
                <w:tcPr>
                  <w:tcW w:w="807" w:type="pct"/>
                  <w:vMerge w:val="continue"/>
                  <w:vAlign w:val="center"/>
                </w:tcPr>
                <w:p w14:paraId="1403EE7D">
                  <w:pPr>
                    <w:pStyle w:val="26"/>
                    <w:keepNext w:val="0"/>
                    <w:keepLines w:val="0"/>
                    <w:suppressLineNumbers w:val="0"/>
                    <w:spacing w:before="0" w:beforeAutospacing="0" w:after="0" w:afterAutospacing="0"/>
                    <w:ind w:left="0" w:right="0"/>
                    <w:rPr>
                      <w:rFonts w:hint="default"/>
                    </w:rPr>
                  </w:pPr>
                </w:p>
              </w:tc>
            </w:tr>
          </w:tbl>
          <w:p w14:paraId="4D01E152">
            <w:pPr>
              <w:keepNext w:val="0"/>
              <w:keepLines w:val="0"/>
              <w:suppressLineNumbers w:val="0"/>
              <w:spacing w:before="0" w:beforeAutospacing="0" w:after="0" w:afterAutospacing="0"/>
              <w:ind w:left="0" w:right="113" w:firstLine="480"/>
              <w:rPr>
                <w:rFonts w:hint="default" w:cs="Times New Roman"/>
                <w:color w:val="auto"/>
              </w:rPr>
            </w:pPr>
            <w:r>
              <w:rPr>
                <w:rFonts w:hint="default" w:cs="Times New Roman"/>
                <w:color w:val="auto"/>
              </w:rPr>
              <w:t>项目营运期产生的废气主要为工艺废气（硫化氢、颗粒物）、柴油撬装站废气（非甲烷总烃）、厨房油烟。</w:t>
            </w:r>
          </w:p>
          <w:p w14:paraId="79EE9AFA">
            <w:pPr>
              <w:keepNext w:val="0"/>
              <w:keepLines w:val="0"/>
              <w:suppressLineNumbers w:val="0"/>
              <w:spacing w:before="0" w:beforeAutospacing="0" w:after="0" w:afterAutospacing="0"/>
              <w:ind w:left="0" w:right="113" w:firstLine="480"/>
              <w:rPr>
                <w:rFonts w:hint="default" w:cs="Times New Roman"/>
                <w:color w:val="auto"/>
              </w:rPr>
            </w:pPr>
            <w:r>
              <w:rPr>
                <w:rFonts w:hint="eastAsia" w:ascii="宋体" w:hAnsi="宋体" w:cs="宋体"/>
                <w:color w:val="auto"/>
              </w:rPr>
              <w:t>①</w:t>
            </w:r>
            <w:r>
              <w:rPr>
                <w:rFonts w:hint="default" w:cs="Times New Roman"/>
                <w:color w:val="auto"/>
              </w:rPr>
              <w:t>工艺废气</w:t>
            </w:r>
          </w:p>
          <w:p w14:paraId="2B917AE2">
            <w:pPr>
              <w:keepNext w:val="0"/>
              <w:keepLines w:val="0"/>
              <w:suppressLineNumbers w:val="0"/>
              <w:spacing w:before="0" w:beforeAutospacing="0" w:after="0" w:afterAutospacing="0"/>
              <w:ind w:left="0" w:right="113" w:firstLine="480"/>
              <w:rPr>
                <w:rFonts w:hint="default" w:cs="Times New Roman"/>
                <w:color w:val="auto"/>
              </w:rPr>
            </w:pPr>
            <w:r>
              <w:rPr>
                <w:rFonts w:hint="default" w:cs="Times New Roman"/>
                <w:color w:val="auto"/>
              </w:rPr>
              <w:t>本项目工程工艺废气主要污染物为硫化氢和颗粒物，均执行《无机化学工业污染物排放标准》（GB31573-2015）及其修改单，其中颗粒物无组织排放限值执行《大气污染物综合排放标准》（GB16297-1996）标准限值。标准值详见</w:t>
            </w:r>
            <w:r>
              <w:rPr>
                <w:rFonts w:hint="default" w:cs="Times New Roman"/>
                <w:color w:val="auto"/>
              </w:rPr>
              <w:fldChar w:fldCharType="begin"/>
            </w:r>
            <w:r>
              <w:rPr>
                <w:rFonts w:hint="default" w:cs="Times New Roman"/>
                <w:color w:val="auto"/>
              </w:rPr>
              <w:instrText xml:space="preserve"> REF _Ref24907 \n \h </w:instrText>
            </w:r>
            <w:r>
              <w:rPr>
                <w:rFonts w:hint="default" w:cs="Times New Roman"/>
                <w:color w:val="auto"/>
              </w:rPr>
              <w:fldChar w:fldCharType="separate"/>
            </w:r>
            <w:r>
              <w:rPr>
                <w:rFonts w:hint="default" w:cs="Times New Roman"/>
                <w:color w:val="auto"/>
              </w:rPr>
              <w:t>表3-6</w:t>
            </w:r>
            <w:r>
              <w:rPr>
                <w:rFonts w:hint="default" w:cs="Times New Roman"/>
                <w:color w:val="auto"/>
              </w:rPr>
              <w:fldChar w:fldCharType="end"/>
            </w:r>
            <w:r>
              <w:rPr>
                <w:rFonts w:hint="default" w:cs="Times New Roman"/>
                <w:color w:val="auto"/>
              </w:rPr>
              <w:t>~表3-8所示。</w:t>
            </w:r>
          </w:p>
          <w:p w14:paraId="236FB8E7">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无机化学工业污染物排放标准</w:t>
            </w:r>
          </w:p>
          <w:tbl>
            <w:tblPr>
              <w:tblStyle w:val="18"/>
              <w:tblW w:w="754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534"/>
              <w:gridCol w:w="2853"/>
            </w:tblGrid>
            <w:tr w14:paraId="4C45C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4" w:type="dxa"/>
                  <w:tcBorders>
                    <w:tl2br w:val="nil"/>
                    <w:tr2bl w:val="nil"/>
                  </w:tcBorders>
                  <w:vAlign w:val="center"/>
                </w:tcPr>
                <w:p w14:paraId="09763EB1">
                  <w:pPr>
                    <w:pStyle w:val="26"/>
                    <w:keepNext w:val="0"/>
                    <w:keepLines w:val="0"/>
                    <w:suppressLineNumbers w:val="0"/>
                    <w:spacing w:before="0" w:beforeAutospacing="0" w:after="0" w:afterAutospacing="0"/>
                    <w:ind w:left="0" w:right="0"/>
                    <w:rPr>
                      <w:rFonts w:hint="default"/>
                    </w:rPr>
                  </w:pPr>
                  <w:r>
                    <w:rPr>
                      <w:rFonts w:hint="default"/>
                    </w:rPr>
                    <w:t>污染物</w:t>
                  </w:r>
                </w:p>
              </w:tc>
              <w:tc>
                <w:tcPr>
                  <w:tcW w:w="3534" w:type="dxa"/>
                  <w:tcBorders>
                    <w:tl2br w:val="nil"/>
                    <w:tr2bl w:val="nil"/>
                  </w:tcBorders>
                  <w:vAlign w:val="center"/>
                </w:tcPr>
                <w:p w14:paraId="6B9FD5C7">
                  <w:pPr>
                    <w:pStyle w:val="26"/>
                    <w:keepNext w:val="0"/>
                    <w:keepLines w:val="0"/>
                    <w:suppressLineNumbers w:val="0"/>
                    <w:spacing w:before="0" w:beforeAutospacing="0" w:after="0" w:afterAutospacing="0"/>
                    <w:ind w:left="0" w:right="0"/>
                    <w:rPr>
                      <w:rFonts w:hint="default"/>
                    </w:rPr>
                  </w:pPr>
                  <w:r>
                    <w:rPr>
                      <w:rFonts w:hint="default"/>
                    </w:rPr>
                    <w:t>大气污染物排放限值/mg/m</w:t>
                  </w:r>
                  <w:r>
                    <w:rPr>
                      <w:rFonts w:hint="default"/>
                      <w:vertAlign w:val="superscript"/>
                    </w:rPr>
                    <w:t>3</w:t>
                  </w:r>
                </w:p>
              </w:tc>
              <w:tc>
                <w:tcPr>
                  <w:tcW w:w="2853" w:type="dxa"/>
                  <w:tcBorders>
                    <w:tl2br w:val="nil"/>
                    <w:tr2bl w:val="nil"/>
                  </w:tcBorders>
                  <w:vAlign w:val="center"/>
                </w:tcPr>
                <w:p w14:paraId="64C92338">
                  <w:pPr>
                    <w:pStyle w:val="26"/>
                    <w:keepNext w:val="0"/>
                    <w:keepLines w:val="0"/>
                    <w:suppressLineNumbers w:val="0"/>
                    <w:spacing w:before="0" w:beforeAutospacing="0" w:after="0" w:afterAutospacing="0"/>
                    <w:ind w:left="0" w:right="0"/>
                    <w:rPr>
                      <w:rFonts w:hint="default"/>
                    </w:rPr>
                  </w:pPr>
                  <w:r>
                    <w:rPr>
                      <w:rFonts w:hint="default"/>
                    </w:rPr>
                    <w:t>企业边界大气污染物排放限值/mg/m</w:t>
                  </w:r>
                  <w:r>
                    <w:rPr>
                      <w:rFonts w:hint="default"/>
                      <w:vertAlign w:val="superscript"/>
                    </w:rPr>
                    <w:t>3</w:t>
                  </w:r>
                </w:p>
              </w:tc>
            </w:tr>
            <w:tr w14:paraId="7F484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4" w:type="dxa"/>
                  <w:tcBorders>
                    <w:tl2br w:val="nil"/>
                    <w:tr2bl w:val="nil"/>
                  </w:tcBorders>
                  <w:vAlign w:val="center"/>
                </w:tcPr>
                <w:p w14:paraId="0E2AF5A5">
                  <w:pPr>
                    <w:pStyle w:val="26"/>
                    <w:keepNext w:val="0"/>
                    <w:keepLines w:val="0"/>
                    <w:suppressLineNumbers w:val="0"/>
                    <w:spacing w:before="0" w:beforeAutospacing="0" w:after="0" w:afterAutospacing="0"/>
                    <w:ind w:left="0" w:right="0"/>
                    <w:rPr>
                      <w:rFonts w:hint="default"/>
                    </w:rPr>
                  </w:pPr>
                  <w:r>
                    <w:rPr>
                      <w:rFonts w:hint="default"/>
                    </w:rPr>
                    <w:t>颗粒物</w:t>
                  </w:r>
                </w:p>
              </w:tc>
              <w:tc>
                <w:tcPr>
                  <w:tcW w:w="3534" w:type="dxa"/>
                  <w:tcBorders>
                    <w:tl2br w:val="nil"/>
                    <w:tr2bl w:val="nil"/>
                  </w:tcBorders>
                  <w:vAlign w:val="center"/>
                </w:tcPr>
                <w:p w14:paraId="296748BA">
                  <w:pPr>
                    <w:pStyle w:val="26"/>
                    <w:keepNext w:val="0"/>
                    <w:keepLines w:val="0"/>
                    <w:suppressLineNumbers w:val="0"/>
                    <w:spacing w:before="0" w:beforeAutospacing="0" w:after="0" w:afterAutospacing="0"/>
                    <w:ind w:left="0" w:right="0"/>
                    <w:rPr>
                      <w:rFonts w:hint="default"/>
                    </w:rPr>
                  </w:pPr>
                  <w:r>
                    <w:rPr>
                      <w:rFonts w:hint="default"/>
                    </w:rPr>
                    <w:t>30</w:t>
                  </w:r>
                </w:p>
              </w:tc>
              <w:tc>
                <w:tcPr>
                  <w:tcW w:w="2853" w:type="dxa"/>
                  <w:tcBorders>
                    <w:tl2br w:val="nil"/>
                    <w:tr2bl w:val="nil"/>
                  </w:tcBorders>
                  <w:vAlign w:val="center"/>
                </w:tcPr>
                <w:p w14:paraId="54AB4349">
                  <w:pPr>
                    <w:pStyle w:val="26"/>
                    <w:keepNext w:val="0"/>
                    <w:keepLines w:val="0"/>
                    <w:suppressLineNumbers w:val="0"/>
                    <w:spacing w:before="0" w:beforeAutospacing="0" w:after="0" w:afterAutospacing="0"/>
                    <w:ind w:left="0" w:right="0"/>
                    <w:rPr>
                      <w:rFonts w:hint="default"/>
                    </w:rPr>
                  </w:pPr>
                  <w:r>
                    <w:rPr>
                      <w:rFonts w:hint="default"/>
                    </w:rPr>
                    <w:t>/</w:t>
                  </w:r>
                </w:p>
              </w:tc>
            </w:tr>
            <w:tr w14:paraId="179BB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4" w:type="dxa"/>
                  <w:tcBorders>
                    <w:tl2br w:val="nil"/>
                    <w:tr2bl w:val="nil"/>
                  </w:tcBorders>
                  <w:vAlign w:val="center"/>
                </w:tcPr>
                <w:p w14:paraId="7841177B">
                  <w:pPr>
                    <w:pStyle w:val="26"/>
                    <w:keepNext w:val="0"/>
                    <w:keepLines w:val="0"/>
                    <w:suppressLineNumbers w:val="0"/>
                    <w:spacing w:before="0" w:beforeAutospacing="0" w:after="0" w:afterAutospacing="0"/>
                    <w:ind w:left="0" w:right="0"/>
                    <w:rPr>
                      <w:rFonts w:hint="default"/>
                    </w:rPr>
                  </w:pPr>
                  <w:r>
                    <w:rPr>
                      <w:rFonts w:hint="default"/>
                    </w:rPr>
                    <w:t>硫化氢</w:t>
                  </w:r>
                </w:p>
              </w:tc>
              <w:tc>
                <w:tcPr>
                  <w:tcW w:w="3534" w:type="dxa"/>
                  <w:tcBorders>
                    <w:tl2br w:val="nil"/>
                    <w:tr2bl w:val="nil"/>
                  </w:tcBorders>
                  <w:vAlign w:val="center"/>
                </w:tcPr>
                <w:p w14:paraId="18E14AC6">
                  <w:pPr>
                    <w:pStyle w:val="26"/>
                    <w:keepNext w:val="0"/>
                    <w:keepLines w:val="0"/>
                    <w:suppressLineNumbers w:val="0"/>
                    <w:spacing w:before="0" w:beforeAutospacing="0" w:after="0" w:afterAutospacing="0"/>
                    <w:ind w:left="0" w:right="0"/>
                    <w:rPr>
                      <w:rFonts w:hint="default"/>
                    </w:rPr>
                  </w:pPr>
                  <w:r>
                    <w:rPr>
                      <w:rFonts w:hint="default"/>
                    </w:rPr>
                    <w:t>10</w:t>
                  </w:r>
                </w:p>
              </w:tc>
              <w:tc>
                <w:tcPr>
                  <w:tcW w:w="2853" w:type="dxa"/>
                  <w:tcBorders>
                    <w:tl2br w:val="nil"/>
                    <w:tr2bl w:val="nil"/>
                  </w:tcBorders>
                  <w:vAlign w:val="center"/>
                </w:tcPr>
                <w:p w14:paraId="1A52D50B">
                  <w:pPr>
                    <w:pStyle w:val="26"/>
                    <w:keepNext w:val="0"/>
                    <w:keepLines w:val="0"/>
                    <w:suppressLineNumbers w:val="0"/>
                    <w:spacing w:before="0" w:beforeAutospacing="0" w:after="0" w:afterAutospacing="0"/>
                    <w:ind w:left="0" w:right="0"/>
                    <w:rPr>
                      <w:rFonts w:hint="default"/>
                    </w:rPr>
                  </w:pPr>
                  <w:r>
                    <w:rPr>
                      <w:rFonts w:hint="default"/>
                    </w:rPr>
                    <w:t>0.03</w:t>
                  </w:r>
                </w:p>
              </w:tc>
            </w:tr>
          </w:tbl>
          <w:p w14:paraId="2BE9286F">
            <w:pPr>
              <w:pStyle w:val="32"/>
              <w:keepNext w:val="0"/>
              <w:keepLines w:val="0"/>
              <w:suppressLineNumbers w:val="0"/>
              <w:spacing w:before="0" w:beforeAutospacing="0" w:after="0" w:afterAutospacing="0"/>
              <w:ind w:left="0" w:right="0"/>
              <w:rPr>
                <w:rFonts w:hint="default" w:cs="Times New Roman"/>
                <w:color w:val="auto"/>
              </w:rPr>
            </w:pPr>
            <w:bookmarkStart w:id="94" w:name="_Ref24914"/>
            <w:r>
              <w:rPr>
                <w:rFonts w:hint="default" w:cs="Times New Roman"/>
                <w:color w:val="auto"/>
              </w:rPr>
              <w:t>大气污染物综合排放标准</w:t>
            </w:r>
            <w:bookmarkEnd w:id="94"/>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94"/>
              <w:gridCol w:w="4903"/>
            </w:tblGrid>
            <w:tr w14:paraId="6A503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773" w:type="pct"/>
                  <w:vAlign w:val="center"/>
                </w:tcPr>
                <w:p w14:paraId="69F031D5">
                  <w:pPr>
                    <w:pStyle w:val="24"/>
                    <w:keepNext w:val="0"/>
                    <w:keepLines w:val="0"/>
                    <w:suppressLineNumbers w:val="0"/>
                    <w:adjustRightInd/>
                    <w:spacing w:before="0" w:beforeAutospacing="0" w:after="0" w:afterAutospacing="0" w:line="240" w:lineRule="auto"/>
                    <w:ind w:left="0" w:right="0"/>
                    <w:rPr>
                      <w:rFonts w:hint="default" w:ascii="Times New Roman" w:hAnsi="Times New Roman"/>
                      <w:color w:val="auto"/>
                    </w:rPr>
                  </w:pPr>
                  <w:r>
                    <w:rPr>
                      <w:rFonts w:hint="default" w:ascii="Times New Roman" w:hAnsi="Times New Roman"/>
                      <w:color w:val="auto"/>
                    </w:rPr>
                    <w:t>污染物</w:t>
                  </w:r>
                </w:p>
              </w:tc>
              <w:tc>
                <w:tcPr>
                  <w:tcW w:w="3227" w:type="pct"/>
                  <w:vAlign w:val="center"/>
                </w:tcPr>
                <w:p w14:paraId="647D2B29">
                  <w:pPr>
                    <w:pStyle w:val="24"/>
                    <w:keepNext w:val="0"/>
                    <w:keepLines w:val="0"/>
                    <w:suppressLineNumbers w:val="0"/>
                    <w:adjustRightInd/>
                    <w:spacing w:before="0" w:beforeAutospacing="0" w:after="0" w:afterAutospacing="0" w:line="240" w:lineRule="auto"/>
                    <w:ind w:left="0" w:right="0"/>
                    <w:rPr>
                      <w:rFonts w:hint="default" w:ascii="Times New Roman" w:hAnsi="Times New Roman"/>
                      <w:color w:val="auto"/>
                    </w:rPr>
                  </w:pPr>
                  <w:r>
                    <w:rPr>
                      <w:rFonts w:hint="default" w:ascii="Times New Roman" w:hAnsi="Times New Roman"/>
                      <w:color w:val="auto"/>
                    </w:rPr>
                    <w:t>无组织排放监控浓度限值（mg/m</w:t>
                  </w:r>
                  <w:r>
                    <w:rPr>
                      <w:rFonts w:hint="default" w:ascii="Times New Roman" w:hAnsi="Times New Roman"/>
                      <w:color w:val="auto"/>
                      <w:vertAlign w:val="superscript"/>
                    </w:rPr>
                    <w:t>3</w:t>
                  </w:r>
                  <w:r>
                    <w:rPr>
                      <w:rFonts w:hint="default" w:ascii="Times New Roman" w:hAnsi="Times New Roman"/>
                      <w:color w:val="auto"/>
                    </w:rPr>
                    <w:t>）</w:t>
                  </w:r>
                </w:p>
              </w:tc>
            </w:tr>
            <w:tr w14:paraId="4FC9D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773" w:type="pct"/>
                  <w:vAlign w:val="center"/>
                </w:tcPr>
                <w:p w14:paraId="5149EDE6">
                  <w:pPr>
                    <w:pStyle w:val="24"/>
                    <w:keepNext w:val="0"/>
                    <w:keepLines w:val="0"/>
                    <w:suppressLineNumbers w:val="0"/>
                    <w:adjustRightInd/>
                    <w:spacing w:before="0" w:beforeAutospacing="0" w:after="0" w:afterAutospacing="0" w:line="240" w:lineRule="auto"/>
                    <w:ind w:left="0" w:right="0"/>
                    <w:rPr>
                      <w:rFonts w:hint="default" w:ascii="Times New Roman" w:hAnsi="Times New Roman"/>
                      <w:color w:val="auto"/>
                    </w:rPr>
                  </w:pPr>
                  <w:r>
                    <w:rPr>
                      <w:rFonts w:hint="default" w:ascii="Times New Roman" w:hAnsi="Times New Roman"/>
                      <w:color w:val="auto"/>
                    </w:rPr>
                    <w:t>颗粒物</w:t>
                  </w:r>
                </w:p>
              </w:tc>
              <w:tc>
                <w:tcPr>
                  <w:tcW w:w="3227" w:type="pct"/>
                  <w:vAlign w:val="center"/>
                </w:tcPr>
                <w:p w14:paraId="7A22E38C">
                  <w:pPr>
                    <w:pStyle w:val="24"/>
                    <w:keepNext w:val="0"/>
                    <w:keepLines w:val="0"/>
                    <w:suppressLineNumbers w:val="0"/>
                    <w:adjustRightInd/>
                    <w:spacing w:before="0" w:beforeAutospacing="0" w:after="0" w:afterAutospacing="0" w:line="240" w:lineRule="auto"/>
                    <w:ind w:left="0" w:right="0"/>
                    <w:rPr>
                      <w:rFonts w:hint="default" w:ascii="Times New Roman" w:hAnsi="Times New Roman"/>
                      <w:color w:val="auto"/>
                    </w:rPr>
                  </w:pPr>
                  <w:r>
                    <w:rPr>
                      <w:rFonts w:hint="default" w:ascii="Times New Roman" w:hAnsi="Times New Roman"/>
                      <w:color w:val="auto"/>
                    </w:rPr>
                    <w:t>1.0</w:t>
                  </w:r>
                </w:p>
              </w:tc>
            </w:tr>
          </w:tbl>
          <w:p w14:paraId="2144776D">
            <w:pPr>
              <w:keepNext w:val="0"/>
              <w:keepLines w:val="0"/>
              <w:suppressLineNumbers w:val="0"/>
              <w:spacing w:before="0" w:beforeAutospacing="0" w:after="0" w:afterAutospacing="0"/>
              <w:ind w:left="0" w:right="113" w:firstLine="480"/>
              <w:rPr>
                <w:rFonts w:hint="default" w:cs="Times New Roman"/>
                <w:color w:val="auto"/>
              </w:rPr>
            </w:pPr>
            <w:r>
              <w:rPr>
                <w:rFonts w:hint="eastAsia" w:ascii="宋体" w:hAnsi="宋体" w:cs="宋体"/>
                <w:color w:val="auto"/>
              </w:rPr>
              <w:t>②</w:t>
            </w:r>
            <w:r>
              <w:rPr>
                <w:rFonts w:hint="default" w:cs="Times New Roman"/>
                <w:color w:val="auto"/>
              </w:rPr>
              <w:t>柴油撬装站废气</w:t>
            </w:r>
          </w:p>
          <w:p w14:paraId="51B09208">
            <w:pPr>
              <w:keepNext w:val="0"/>
              <w:keepLines w:val="0"/>
              <w:suppressLineNumbers w:val="0"/>
              <w:spacing w:before="0" w:beforeAutospacing="0" w:after="0" w:afterAutospacing="0"/>
              <w:ind w:left="0" w:right="113" w:firstLine="480"/>
              <w:rPr>
                <w:rFonts w:hint="default" w:cs="Times New Roman"/>
                <w:color w:val="auto"/>
              </w:rPr>
            </w:pPr>
            <w:r>
              <w:rPr>
                <w:rFonts w:hint="default" w:cs="Times New Roman"/>
                <w:color w:val="auto"/>
              </w:rPr>
              <w:t>本项目涉及柴油撬装站，油气排放浓度执行《四川省加油站大气污染物排放标准》（DB51/2865-2021）中排放限值的要求。</w:t>
            </w:r>
          </w:p>
          <w:p w14:paraId="0CEABD24">
            <w:pPr>
              <w:pStyle w:val="32"/>
              <w:keepNext w:val="0"/>
              <w:keepLines w:val="0"/>
              <w:suppressLineNumbers w:val="0"/>
              <w:tabs>
                <w:tab w:val="clear" w:pos="0"/>
              </w:tabs>
              <w:spacing w:before="0" w:beforeAutospacing="0" w:after="0" w:afterAutospacing="0"/>
              <w:ind w:left="0" w:right="0"/>
              <w:rPr>
                <w:rFonts w:hint="default" w:cs="Times New Roman"/>
                <w:color w:val="auto"/>
              </w:rPr>
            </w:pPr>
            <w:r>
              <w:rPr>
                <w:rFonts w:hint="default" w:cs="Times New Roman"/>
                <w:color w:val="auto"/>
              </w:rPr>
              <w:t xml:space="preserve">  《四川省加油站大气污染物排放标准》油气浓度无组织排放限值要求</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07"/>
              <w:gridCol w:w="2744"/>
              <w:gridCol w:w="3543"/>
            </w:tblGrid>
            <w:tr w14:paraId="68A42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60" w:type="pct"/>
                  <w:tcBorders>
                    <w:tl2br w:val="nil"/>
                    <w:tr2bl w:val="nil"/>
                  </w:tcBorders>
                  <w:vAlign w:val="center"/>
                </w:tcPr>
                <w:p w14:paraId="19EBB5BA">
                  <w:pPr>
                    <w:pStyle w:val="28"/>
                    <w:keepNext w:val="0"/>
                    <w:keepLines w:val="0"/>
                    <w:suppressLineNumbers w:val="0"/>
                    <w:spacing w:before="0" w:beforeAutospacing="0" w:after="0" w:afterAutospacing="0"/>
                    <w:ind w:left="0" w:right="0"/>
                    <w:rPr>
                      <w:rFonts w:hint="default"/>
                      <w:color w:val="auto"/>
                    </w:rPr>
                  </w:pPr>
                  <w:r>
                    <w:rPr>
                      <w:rFonts w:hint="default"/>
                      <w:color w:val="auto"/>
                    </w:rPr>
                    <w:t>污染物名称</w:t>
                  </w:r>
                </w:p>
              </w:tc>
              <w:tc>
                <w:tcPr>
                  <w:tcW w:w="1806" w:type="pct"/>
                  <w:tcBorders>
                    <w:tl2br w:val="nil"/>
                    <w:tr2bl w:val="nil"/>
                  </w:tcBorders>
                  <w:vAlign w:val="center"/>
                </w:tcPr>
                <w:p w14:paraId="1ABBCC5D">
                  <w:pPr>
                    <w:pStyle w:val="28"/>
                    <w:keepNext w:val="0"/>
                    <w:keepLines w:val="0"/>
                    <w:suppressLineNumbers w:val="0"/>
                    <w:spacing w:before="0" w:beforeAutospacing="0" w:after="0" w:afterAutospacing="0"/>
                    <w:ind w:left="0" w:right="0"/>
                    <w:rPr>
                      <w:rFonts w:hint="default"/>
                      <w:color w:val="auto"/>
                    </w:rPr>
                  </w:pPr>
                  <w:r>
                    <w:rPr>
                      <w:rFonts w:hint="default"/>
                      <w:color w:val="auto"/>
                    </w:rPr>
                    <w:t>排放限值</w:t>
                  </w:r>
                </w:p>
              </w:tc>
              <w:tc>
                <w:tcPr>
                  <w:tcW w:w="2332" w:type="pct"/>
                  <w:tcBorders>
                    <w:tl2br w:val="nil"/>
                    <w:tr2bl w:val="nil"/>
                  </w:tcBorders>
                  <w:vAlign w:val="center"/>
                </w:tcPr>
                <w:p w14:paraId="4F547F67">
                  <w:pPr>
                    <w:pStyle w:val="28"/>
                    <w:keepNext w:val="0"/>
                    <w:keepLines w:val="0"/>
                    <w:suppressLineNumbers w:val="0"/>
                    <w:spacing w:before="0" w:beforeAutospacing="0" w:after="0" w:afterAutospacing="0"/>
                    <w:ind w:left="0" w:right="0"/>
                    <w:rPr>
                      <w:rFonts w:hint="default"/>
                      <w:color w:val="auto"/>
                    </w:rPr>
                  </w:pPr>
                  <w:r>
                    <w:rPr>
                      <w:rFonts w:hint="default"/>
                      <w:color w:val="auto"/>
                    </w:rPr>
                    <w:t>限值含义</w:t>
                  </w:r>
                </w:p>
              </w:tc>
            </w:tr>
            <w:tr w14:paraId="1D015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860" w:type="pct"/>
                  <w:tcBorders>
                    <w:tl2br w:val="nil"/>
                    <w:tr2bl w:val="nil"/>
                  </w:tcBorders>
                  <w:vAlign w:val="center"/>
                </w:tcPr>
                <w:p w14:paraId="21B415B3">
                  <w:pPr>
                    <w:pStyle w:val="28"/>
                    <w:keepNext w:val="0"/>
                    <w:keepLines w:val="0"/>
                    <w:suppressLineNumbers w:val="0"/>
                    <w:spacing w:before="0" w:beforeAutospacing="0" w:after="0" w:afterAutospacing="0"/>
                    <w:ind w:left="0" w:right="0"/>
                    <w:rPr>
                      <w:rFonts w:hint="default"/>
                      <w:color w:val="auto"/>
                    </w:rPr>
                  </w:pPr>
                  <w:r>
                    <w:rPr>
                      <w:rFonts w:hint="default"/>
                      <w:color w:val="auto"/>
                    </w:rPr>
                    <w:t>NMHC</w:t>
                  </w:r>
                </w:p>
              </w:tc>
              <w:tc>
                <w:tcPr>
                  <w:tcW w:w="1806" w:type="pct"/>
                  <w:tcBorders>
                    <w:tl2br w:val="nil"/>
                    <w:tr2bl w:val="nil"/>
                  </w:tcBorders>
                  <w:vAlign w:val="center"/>
                </w:tcPr>
                <w:p w14:paraId="4818CFB8">
                  <w:pPr>
                    <w:pStyle w:val="28"/>
                    <w:keepNext w:val="0"/>
                    <w:keepLines w:val="0"/>
                    <w:suppressLineNumbers w:val="0"/>
                    <w:spacing w:before="0" w:beforeAutospacing="0" w:after="0" w:afterAutospacing="0"/>
                    <w:ind w:left="0" w:right="0"/>
                    <w:rPr>
                      <w:rFonts w:hint="default"/>
                      <w:color w:val="auto"/>
                    </w:rPr>
                  </w:pPr>
                  <w:r>
                    <w:rPr>
                      <w:rFonts w:hint="default"/>
                      <w:color w:val="auto"/>
                    </w:rPr>
                    <w:t>4.0mg/m</w:t>
                  </w:r>
                  <w:r>
                    <w:rPr>
                      <w:rFonts w:hint="default"/>
                      <w:color w:val="auto"/>
                      <w:vertAlign w:val="superscript"/>
                    </w:rPr>
                    <w:t>3</w:t>
                  </w:r>
                </w:p>
              </w:tc>
              <w:tc>
                <w:tcPr>
                  <w:tcW w:w="2332" w:type="pct"/>
                  <w:tcBorders>
                    <w:tl2br w:val="nil"/>
                    <w:tr2bl w:val="nil"/>
                  </w:tcBorders>
                  <w:vAlign w:val="center"/>
                </w:tcPr>
                <w:p w14:paraId="15478DF2">
                  <w:pPr>
                    <w:pStyle w:val="28"/>
                    <w:keepNext w:val="0"/>
                    <w:keepLines w:val="0"/>
                    <w:suppressLineNumbers w:val="0"/>
                    <w:spacing w:before="0" w:beforeAutospacing="0" w:after="0" w:afterAutospacing="0"/>
                    <w:ind w:left="0" w:right="0"/>
                    <w:rPr>
                      <w:rFonts w:hint="default"/>
                      <w:color w:val="auto"/>
                    </w:rPr>
                  </w:pPr>
                  <w:r>
                    <w:rPr>
                      <w:rFonts w:hint="default"/>
                      <w:color w:val="auto"/>
                    </w:rPr>
                    <w:t>监控点1小时平均浓度值</w:t>
                  </w:r>
                </w:p>
              </w:tc>
            </w:tr>
          </w:tbl>
          <w:p w14:paraId="70ED1132">
            <w:pPr>
              <w:pStyle w:val="32"/>
              <w:keepNext w:val="0"/>
              <w:keepLines w:val="0"/>
              <w:suppressLineNumbers w:val="0"/>
              <w:tabs>
                <w:tab w:val="clear" w:pos="0"/>
              </w:tabs>
              <w:spacing w:before="0" w:beforeAutospacing="0" w:after="0" w:afterAutospacing="0"/>
              <w:ind w:left="0" w:right="0"/>
              <w:rPr>
                <w:rFonts w:hint="default" w:cs="Times New Roman"/>
                <w:color w:val="auto"/>
              </w:rPr>
            </w:pPr>
            <w:r>
              <w:rPr>
                <w:rFonts w:hint="default" w:cs="Times New Roman"/>
                <w:color w:val="auto"/>
              </w:rPr>
              <w:t xml:space="preserve">  《四川省加油站大气污染物排放标准》</w:t>
            </w:r>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1"/>
              <w:gridCol w:w="3324"/>
            </w:tblGrid>
            <w:tr w14:paraId="2664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tcPr>
                <w:p w14:paraId="65555C6B">
                  <w:pPr>
                    <w:pStyle w:val="28"/>
                    <w:keepNext w:val="0"/>
                    <w:keepLines w:val="0"/>
                    <w:suppressLineNumbers w:val="0"/>
                    <w:spacing w:before="0" w:beforeAutospacing="0" w:after="0" w:afterAutospacing="0"/>
                    <w:ind w:left="0" w:right="0"/>
                    <w:rPr>
                      <w:rFonts w:hint="default"/>
                      <w:color w:val="auto"/>
                    </w:rPr>
                  </w:pPr>
                  <w:r>
                    <w:rPr>
                      <w:rFonts w:hint="default"/>
                      <w:color w:val="auto"/>
                    </w:rPr>
                    <w:t>内容</w:t>
                  </w:r>
                </w:p>
              </w:tc>
              <w:tc>
                <w:tcPr>
                  <w:tcW w:w="2188" w:type="pct"/>
                  <w:tcBorders>
                    <w:tl2br w:val="nil"/>
                    <w:tr2bl w:val="nil"/>
                  </w:tcBorders>
                </w:tcPr>
                <w:p w14:paraId="53D7C9EC">
                  <w:pPr>
                    <w:pStyle w:val="28"/>
                    <w:keepNext w:val="0"/>
                    <w:keepLines w:val="0"/>
                    <w:suppressLineNumbers w:val="0"/>
                    <w:spacing w:before="0" w:beforeAutospacing="0" w:after="0" w:afterAutospacing="0"/>
                    <w:ind w:left="0" w:right="0"/>
                    <w:rPr>
                      <w:rFonts w:hint="default"/>
                      <w:color w:val="auto"/>
                    </w:rPr>
                  </w:pPr>
                  <w:r>
                    <w:rPr>
                      <w:rFonts w:hint="default"/>
                      <w:color w:val="auto"/>
                    </w:rPr>
                    <w:t>标准要求值</w:t>
                  </w:r>
                </w:p>
              </w:tc>
            </w:tr>
            <w:tr w14:paraId="1547F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tcPr>
                <w:p w14:paraId="316CB2DA">
                  <w:pPr>
                    <w:pStyle w:val="28"/>
                    <w:keepNext w:val="0"/>
                    <w:keepLines w:val="0"/>
                    <w:suppressLineNumbers w:val="0"/>
                    <w:spacing w:before="0" w:beforeAutospacing="0" w:after="0" w:afterAutospacing="0"/>
                    <w:ind w:left="0" w:right="0"/>
                    <w:rPr>
                      <w:rFonts w:hint="default"/>
                      <w:color w:val="auto"/>
                    </w:rPr>
                  </w:pPr>
                  <w:r>
                    <w:rPr>
                      <w:rFonts w:hint="default"/>
                      <w:color w:val="auto"/>
                    </w:rPr>
                    <w:t>油气处理装置排气口距地平面高度</w:t>
                  </w:r>
                </w:p>
              </w:tc>
              <w:tc>
                <w:tcPr>
                  <w:tcW w:w="2188" w:type="pct"/>
                  <w:tcBorders>
                    <w:tl2br w:val="nil"/>
                    <w:tr2bl w:val="nil"/>
                  </w:tcBorders>
                </w:tcPr>
                <w:p w14:paraId="1D5C6F1E">
                  <w:pPr>
                    <w:pStyle w:val="28"/>
                    <w:keepNext w:val="0"/>
                    <w:keepLines w:val="0"/>
                    <w:suppressLineNumbers w:val="0"/>
                    <w:spacing w:before="0" w:beforeAutospacing="0" w:after="0" w:afterAutospacing="0"/>
                    <w:ind w:left="0" w:right="0"/>
                    <w:rPr>
                      <w:rFonts w:hint="default"/>
                      <w:color w:val="auto"/>
                    </w:rPr>
                  </w:pPr>
                  <w:r>
                    <w:rPr>
                      <w:rFonts w:hint="default"/>
                      <w:color w:val="auto"/>
                    </w:rPr>
                    <w:t>不应小于4m</w:t>
                  </w:r>
                </w:p>
              </w:tc>
            </w:tr>
            <w:tr w14:paraId="3D9BC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tcPr>
                <w:p w14:paraId="57803D26">
                  <w:pPr>
                    <w:pStyle w:val="28"/>
                    <w:keepNext w:val="0"/>
                    <w:keepLines w:val="0"/>
                    <w:suppressLineNumbers w:val="0"/>
                    <w:spacing w:before="0" w:beforeAutospacing="0" w:after="0" w:afterAutospacing="0"/>
                    <w:ind w:left="0" w:right="0"/>
                    <w:rPr>
                      <w:rFonts w:hint="default"/>
                      <w:color w:val="auto"/>
                    </w:rPr>
                  </w:pPr>
                  <w:r>
                    <w:rPr>
                      <w:rFonts w:hint="default"/>
                      <w:color w:val="auto"/>
                    </w:rPr>
                    <w:t>油气处理装置的油气排放浓度1小时平均浓度值</w:t>
                  </w:r>
                </w:p>
              </w:tc>
              <w:tc>
                <w:tcPr>
                  <w:tcW w:w="2188" w:type="pct"/>
                  <w:tcBorders>
                    <w:tl2br w:val="nil"/>
                    <w:tr2bl w:val="nil"/>
                  </w:tcBorders>
                  <w:vAlign w:val="center"/>
                </w:tcPr>
                <w:p w14:paraId="61F69A98">
                  <w:pPr>
                    <w:pStyle w:val="28"/>
                    <w:keepNext w:val="0"/>
                    <w:keepLines w:val="0"/>
                    <w:suppressLineNumbers w:val="0"/>
                    <w:spacing w:before="0" w:beforeAutospacing="0" w:after="0" w:afterAutospacing="0"/>
                    <w:ind w:left="0" w:right="0"/>
                    <w:rPr>
                      <w:rFonts w:hint="default"/>
                      <w:color w:val="auto"/>
                    </w:rPr>
                  </w:pPr>
                  <w:r>
                    <w:rPr>
                      <w:rFonts w:hint="default"/>
                      <w:color w:val="auto"/>
                    </w:rPr>
                    <w:t>小于等于20mg/m</w:t>
                  </w:r>
                  <w:r>
                    <w:rPr>
                      <w:rFonts w:hint="default"/>
                      <w:color w:val="auto"/>
                      <w:vertAlign w:val="superscript"/>
                    </w:rPr>
                    <w:t>3</w:t>
                  </w:r>
                </w:p>
              </w:tc>
            </w:tr>
            <w:tr w14:paraId="00D68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vAlign w:val="center"/>
                </w:tcPr>
                <w:p w14:paraId="3DA56E3B">
                  <w:pPr>
                    <w:pStyle w:val="28"/>
                    <w:keepNext w:val="0"/>
                    <w:keepLines w:val="0"/>
                    <w:suppressLineNumbers w:val="0"/>
                    <w:spacing w:before="0" w:beforeAutospacing="0" w:after="0" w:afterAutospacing="0"/>
                    <w:ind w:left="0" w:right="0"/>
                    <w:rPr>
                      <w:rFonts w:hint="default"/>
                      <w:color w:val="auto"/>
                    </w:rPr>
                  </w:pPr>
                  <w:r>
                    <w:rPr>
                      <w:rFonts w:hint="default"/>
                      <w:color w:val="auto"/>
                    </w:rPr>
                    <w:t>各种加油加气回收系统的气液比</w:t>
                  </w:r>
                </w:p>
              </w:tc>
              <w:tc>
                <w:tcPr>
                  <w:tcW w:w="2188" w:type="pct"/>
                  <w:tcBorders>
                    <w:tl2br w:val="nil"/>
                    <w:tr2bl w:val="nil"/>
                  </w:tcBorders>
                </w:tcPr>
                <w:p w14:paraId="0206B510">
                  <w:pPr>
                    <w:pStyle w:val="28"/>
                    <w:keepNext w:val="0"/>
                    <w:keepLines w:val="0"/>
                    <w:suppressLineNumbers w:val="0"/>
                    <w:spacing w:before="0" w:beforeAutospacing="0" w:after="0" w:afterAutospacing="0"/>
                    <w:ind w:left="0" w:right="0"/>
                    <w:rPr>
                      <w:rFonts w:hint="default"/>
                      <w:color w:val="auto"/>
                    </w:rPr>
                  </w:pPr>
                  <w:r>
                    <w:rPr>
                      <w:rFonts w:hint="default"/>
                      <w:color w:val="auto"/>
                    </w:rPr>
                    <w:t>均应在大于等于1.0和小于等于1.2范围内</w:t>
                  </w:r>
                </w:p>
              </w:tc>
            </w:tr>
          </w:tbl>
          <w:p w14:paraId="23AA257A">
            <w:pPr>
              <w:keepNext w:val="0"/>
              <w:keepLines w:val="0"/>
              <w:suppressLineNumbers w:val="0"/>
              <w:spacing w:before="0" w:beforeAutospacing="0" w:after="0" w:afterAutospacing="0"/>
              <w:ind w:left="0" w:right="113" w:firstLine="480"/>
              <w:rPr>
                <w:rFonts w:hint="default" w:cs="Times New Roman"/>
                <w:color w:val="auto"/>
              </w:rPr>
            </w:pPr>
            <w:r>
              <w:rPr>
                <w:rFonts w:hint="eastAsia" w:ascii="宋体" w:hAnsi="宋体" w:cs="宋体"/>
                <w:color w:val="auto"/>
              </w:rPr>
              <w:t>③</w:t>
            </w:r>
            <w:r>
              <w:rPr>
                <w:rFonts w:hint="default" w:cs="Times New Roman"/>
                <w:color w:val="auto"/>
              </w:rPr>
              <w:t>厨房油烟</w:t>
            </w:r>
          </w:p>
          <w:p w14:paraId="517D5F77">
            <w:pPr>
              <w:keepNext w:val="0"/>
              <w:keepLines w:val="0"/>
              <w:suppressLineNumbers w:val="0"/>
              <w:spacing w:before="0" w:beforeAutospacing="0" w:after="0" w:afterAutospacing="0"/>
              <w:ind w:left="0" w:right="113" w:firstLine="480"/>
              <w:rPr>
                <w:rFonts w:hint="default" w:cs="Times New Roman"/>
                <w:color w:val="auto"/>
              </w:rPr>
            </w:pPr>
            <w:r>
              <w:rPr>
                <w:rFonts w:hint="default" w:cs="Times New Roman"/>
                <w:color w:val="auto"/>
              </w:rPr>
              <w:t>本项目油烟废气排放执行《饮食业油烟排放标准》（试行）（GB18483-2001）中相应的排放限值。</w:t>
            </w:r>
          </w:p>
          <w:p w14:paraId="121FC7E4">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餐饮业油烟排放标准</w:t>
            </w:r>
          </w:p>
          <w:tbl>
            <w:tblPr>
              <w:tblStyle w:val="18"/>
              <w:tblW w:w="75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2501"/>
              <w:gridCol w:w="1084"/>
              <w:gridCol w:w="1084"/>
              <w:gridCol w:w="1087"/>
            </w:tblGrid>
            <w:tr w14:paraId="1E79C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304" w:type="dxa"/>
                  <w:gridSpan w:val="2"/>
                  <w:vMerge w:val="restart"/>
                  <w:tcBorders>
                    <w:tl2br w:val="nil"/>
                    <w:tr2bl w:val="nil"/>
                  </w:tcBorders>
                  <w:noWrap/>
                  <w:vAlign w:val="center"/>
                </w:tcPr>
                <w:p w14:paraId="1311F059">
                  <w:pPr>
                    <w:pStyle w:val="28"/>
                    <w:keepNext w:val="0"/>
                    <w:keepLines w:val="0"/>
                    <w:suppressLineNumbers w:val="0"/>
                    <w:spacing w:before="0" w:beforeAutospacing="0" w:after="0" w:afterAutospacing="0"/>
                    <w:ind w:left="0" w:right="0"/>
                    <w:rPr>
                      <w:rFonts w:hint="default"/>
                      <w:color w:val="auto"/>
                    </w:rPr>
                  </w:pPr>
                  <w:r>
                    <w:rPr>
                      <w:rFonts w:hint="default"/>
                      <w:color w:val="auto"/>
                    </w:rPr>
                    <w:t>污染物项目</w:t>
                  </w:r>
                </w:p>
              </w:tc>
              <w:tc>
                <w:tcPr>
                  <w:tcW w:w="3255" w:type="dxa"/>
                  <w:gridSpan w:val="3"/>
                  <w:tcBorders>
                    <w:tl2br w:val="nil"/>
                    <w:tr2bl w:val="nil"/>
                  </w:tcBorders>
                  <w:noWrap/>
                  <w:vAlign w:val="center"/>
                </w:tcPr>
                <w:p w14:paraId="69CBFBEE">
                  <w:pPr>
                    <w:pStyle w:val="28"/>
                    <w:keepNext w:val="0"/>
                    <w:keepLines w:val="0"/>
                    <w:suppressLineNumbers w:val="0"/>
                    <w:spacing w:before="0" w:beforeAutospacing="0" w:after="0" w:afterAutospacing="0"/>
                    <w:ind w:left="0" w:right="0"/>
                    <w:rPr>
                      <w:rFonts w:hint="default"/>
                      <w:color w:val="auto"/>
                    </w:rPr>
                  </w:pPr>
                  <w:r>
                    <w:rPr>
                      <w:rFonts w:hint="default"/>
                      <w:color w:val="auto"/>
                    </w:rPr>
                    <w:t>排放限值</w:t>
                  </w:r>
                </w:p>
              </w:tc>
            </w:tr>
            <w:tr w14:paraId="793E1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304" w:type="dxa"/>
                  <w:gridSpan w:val="2"/>
                  <w:vMerge w:val="continue"/>
                  <w:tcBorders>
                    <w:tl2br w:val="nil"/>
                    <w:tr2bl w:val="nil"/>
                  </w:tcBorders>
                  <w:noWrap/>
                  <w:vAlign w:val="center"/>
                </w:tcPr>
                <w:p w14:paraId="4BAAEDD5">
                  <w:pPr>
                    <w:pStyle w:val="28"/>
                    <w:keepNext w:val="0"/>
                    <w:keepLines w:val="0"/>
                    <w:suppressLineNumbers w:val="0"/>
                    <w:spacing w:before="0" w:beforeAutospacing="0" w:after="0" w:afterAutospacing="0"/>
                    <w:ind w:left="0" w:right="0"/>
                    <w:rPr>
                      <w:rFonts w:hint="default"/>
                      <w:color w:val="auto"/>
                    </w:rPr>
                  </w:pPr>
                </w:p>
              </w:tc>
              <w:tc>
                <w:tcPr>
                  <w:tcW w:w="1084" w:type="dxa"/>
                  <w:tcBorders>
                    <w:tl2br w:val="nil"/>
                    <w:tr2bl w:val="nil"/>
                  </w:tcBorders>
                  <w:noWrap/>
                  <w:vAlign w:val="center"/>
                </w:tcPr>
                <w:p w14:paraId="783E7B9C">
                  <w:pPr>
                    <w:pStyle w:val="28"/>
                    <w:keepNext w:val="0"/>
                    <w:keepLines w:val="0"/>
                    <w:suppressLineNumbers w:val="0"/>
                    <w:spacing w:before="0" w:beforeAutospacing="0" w:after="0" w:afterAutospacing="0"/>
                    <w:ind w:left="0" w:right="0"/>
                    <w:rPr>
                      <w:rFonts w:hint="default"/>
                      <w:color w:val="auto"/>
                    </w:rPr>
                  </w:pPr>
                  <w:r>
                    <w:rPr>
                      <w:rFonts w:hint="default"/>
                      <w:color w:val="auto"/>
                    </w:rPr>
                    <w:t>小型</w:t>
                  </w:r>
                </w:p>
              </w:tc>
              <w:tc>
                <w:tcPr>
                  <w:tcW w:w="1084" w:type="dxa"/>
                  <w:tcBorders>
                    <w:tl2br w:val="nil"/>
                    <w:tr2bl w:val="nil"/>
                  </w:tcBorders>
                  <w:noWrap/>
                  <w:vAlign w:val="center"/>
                </w:tcPr>
                <w:p w14:paraId="7EAAC108">
                  <w:pPr>
                    <w:pStyle w:val="28"/>
                    <w:keepNext w:val="0"/>
                    <w:keepLines w:val="0"/>
                    <w:suppressLineNumbers w:val="0"/>
                    <w:spacing w:before="0" w:beforeAutospacing="0" w:after="0" w:afterAutospacing="0"/>
                    <w:ind w:left="0" w:right="0"/>
                    <w:rPr>
                      <w:rFonts w:hint="default"/>
                      <w:color w:val="auto"/>
                    </w:rPr>
                  </w:pPr>
                  <w:r>
                    <w:rPr>
                      <w:rFonts w:hint="default"/>
                      <w:color w:val="auto"/>
                    </w:rPr>
                    <w:t>中型</w:t>
                  </w:r>
                </w:p>
              </w:tc>
              <w:tc>
                <w:tcPr>
                  <w:tcW w:w="1087" w:type="dxa"/>
                  <w:tcBorders>
                    <w:tl2br w:val="nil"/>
                    <w:tr2bl w:val="nil"/>
                  </w:tcBorders>
                  <w:noWrap/>
                  <w:vAlign w:val="center"/>
                </w:tcPr>
                <w:p w14:paraId="49B2D06C">
                  <w:pPr>
                    <w:pStyle w:val="28"/>
                    <w:keepNext w:val="0"/>
                    <w:keepLines w:val="0"/>
                    <w:suppressLineNumbers w:val="0"/>
                    <w:spacing w:before="0" w:beforeAutospacing="0" w:after="0" w:afterAutospacing="0"/>
                    <w:ind w:left="0" w:right="0"/>
                    <w:rPr>
                      <w:rFonts w:hint="default"/>
                      <w:color w:val="auto"/>
                    </w:rPr>
                  </w:pPr>
                  <w:r>
                    <w:rPr>
                      <w:rFonts w:hint="default"/>
                      <w:color w:val="auto"/>
                    </w:rPr>
                    <w:t>大型</w:t>
                  </w:r>
                </w:p>
              </w:tc>
            </w:tr>
            <w:tr w14:paraId="15B44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803" w:type="dxa"/>
                  <w:vMerge w:val="restart"/>
                  <w:tcBorders>
                    <w:tl2br w:val="nil"/>
                    <w:tr2bl w:val="nil"/>
                  </w:tcBorders>
                  <w:noWrap/>
                  <w:vAlign w:val="center"/>
                </w:tcPr>
                <w:p w14:paraId="38D4C995">
                  <w:pPr>
                    <w:pStyle w:val="28"/>
                    <w:keepNext w:val="0"/>
                    <w:keepLines w:val="0"/>
                    <w:suppressLineNumbers w:val="0"/>
                    <w:spacing w:before="0" w:beforeAutospacing="0" w:after="0" w:afterAutospacing="0"/>
                    <w:ind w:left="0" w:right="0"/>
                    <w:rPr>
                      <w:rFonts w:hint="default"/>
                      <w:color w:val="auto"/>
                    </w:rPr>
                  </w:pPr>
                  <w:r>
                    <w:rPr>
                      <w:rFonts w:hint="default"/>
                      <w:color w:val="auto"/>
                    </w:rPr>
                    <w:t>油烟</w:t>
                  </w:r>
                </w:p>
              </w:tc>
              <w:tc>
                <w:tcPr>
                  <w:tcW w:w="2501" w:type="dxa"/>
                  <w:tcBorders>
                    <w:tl2br w:val="nil"/>
                    <w:tr2bl w:val="nil"/>
                  </w:tcBorders>
                  <w:noWrap/>
                  <w:vAlign w:val="center"/>
                </w:tcPr>
                <w:p w14:paraId="485595EC">
                  <w:pPr>
                    <w:pStyle w:val="28"/>
                    <w:keepNext w:val="0"/>
                    <w:keepLines w:val="0"/>
                    <w:suppressLineNumbers w:val="0"/>
                    <w:spacing w:before="0" w:beforeAutospacing="0" w:after="0" w:afterAutospacing="0"/>
                    <w:ind w:left="0" w:right="0"/>
                    <w:rPr>
                      <w:rFonts w:hint="default"/>
                      <w:color w:val="auto"/>
                    </w:rPr>
                  </w:pPr>
                  <w:r>
                    <w:rPr>
                      <w:rFonts w:hint="default"/>
                      <w:color w:val="auto"/>
                    </w:rPr>
                    <w:t>最高允许排放浓度</w:t>
                  </w:r>
                </w:p>
              </w:tc>
              <w:tc>
                <w:tcPr>
                  <w:tcW w:w="3255" w:type="dxa"/>
                  <w:gridSpan w:val="3"/>
                  <w:tcBorders>
                    <w:tl2br w:val="nil"/>
                    <w:tr2bl w:val="nil"/>
                  </w:tcBorders>
                  <w:noWrap/>
                  <w:vAlign w:val="center"/>
                </w:tcPr>
                <w:p w14:paraId="4A19EC15">
                  <w:pPr>
                    <w:pStyle w:val="28"/>
                    <w:keepNext w:val="0"/>
                    <w:keepLines w:val="0"/>
                    <w:suppressLineNumbers w:val="0"/>
                    <w:spacing w:before="0" w:beforeAutospacing="0" w:after="0" w:afterAutospacing="0"/>
                    <w:ind w:left="0" w:right="0"/>
                    <w:rPr>
                      <w:rFonts w:hint="default"/>
                      <w:color w:val="auto"/>
                    </w:rPr>
                  </w:pPr>
                  <w:r>
                    <w:rPr>
                      <w:rFonts w:hint="default"/>
                      <w:color w:val="auto"/>
                    </w:rPr>
                    <w:t>2.0mg/m</w:t>
                  </w:r>
                  <w:r>
                    <w:rPr>
                      <w:rFonts w:hint="default"/>
                      <w:color w:val="auto"/>
                      <w:vertAlign w:val="superscript"/>
                    </w:rPr>
                    <w:t>3</w:t>
                  </w:r>
                </w:p>
              </w:tc>
            </w:tr>
            <w:tr w14:paraId="18F39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03" w:type="dxa"/>
                  <w:vMerge w:val="continue"/>
                  <w:tcBorders>
                    <w:tl2br w:val="nil"/>
                    <w:tr2bl w:val="nil"/>
                  </w:tcBorders>
                  <w:noWrap/>
                  <w:vAlign w:val="center"/>
                </w:tcPr>
                <w:p w14:paraId="36E3D51A">
                  <w:pPr>
                    <w:pStyle w:val="28"/>
                    <w:keepNext w:val="0"/>
                    <w:keepLines w:val="0"/>
                    <w:suppressLineNumbers w:val="0"/>
                    <w:spacing w:before="0" w:beforeAutospacing="0" w:after="0" w:afterAutospacing="0"/>
                    <w:ind w:left="0" w:right="0"/>
                    <w:rPr>
                      <w:rFonts w:hint="default"/>
                      <w:color w:val="auto"/>
                    </w:rPr>
                  </w:pPr>
                </w:p>
              </w:tc>
              <w:tc>
                <w:tcPr>
                  <w:tcW w:w="2501" w:type="dxa"/>
                  <w:tcBorders>
                    <w:tl2br w:val="nil"/>
                    <w:tr2bl w:val="nil"/>
                  </w:tcBorders>
                  <w:noWrap/>
                  <w:vAlign w:val="center"/>
                </w:tcPr>
                <w:p w14:paraId="2B713244">
                  <w:pPr>
                    <w:pStyle w:val="28"/>
                    <w:keepNext w:val="0"/>
                    <w:keepLines w:val="0"/>
                    <w:suppressLineNumbers w:val="0"/>
                    <w:spacing w:before="0" w:beforeAutospacing="0" w:after="0" w:afterAutospacing="0"/>
                    <w:ind w:left="0" w:right="0"/>
                    <w:rPr>
                      <w:rFonts w:hint="default"/>
                      <w:color w:val="auto"/>
                    </w:rPr>
                  </w:pPr>
                  <w:r>
                    <w:rPr>
                      <w:rFonts w:hint="default"/>
                      <w:color w:val="auto"/>
                    </w:rPr>
                    <w:t>净化设施最低去除效率</w:t>
                  </w:r>
                </w:p>
              </w:tc>
              <w:tc>
                <w:tcPr>
                  <w:tcW w:w="1084" w:type="dxa"/>
                  <w:tcBorders>
                    <w:tl2br w:val="nil"/>
                    <w:tr2bl w:val="nil"/>
                  </w:tcBorders>
                  <w:noWrap/>
                  <w:vAlign w:val="center"/>
                </w:tcPr>
                <w:p w14:paraId="79B0D736">
                  <w:pPr>
                    <w:pStyle w:val="28"/>
                    <w:keepNext w:val="0"/>
                    <w:keepLines w:val="0"/>
                    <w:suppressLineNumbers w:val="0"/>
                    <w:spacing w:before="0" w:beforeAutospacing="0" w:after="0" w:afterAutospacing="0"/>
                    <w:ind w:left="0" w:right="0"/>
                    <w:rPr>
                      <w:rFonts w:hint="default"/>
                      <w:color w:val="auto"/>
                    </w:rPr>
                  </w:pPr>
                  <w:r>
                    <w:rPr>
                      <w:rFonts w:hint="default"/>
                      <w:color w:val="auto"/>
                    </w:rPr>
                    <w:t>60</w:t>
                  </w:r>
                </w:p>
              </w:tc>
              <w:tc>
                <w:tcPr>
                  <w:tcW w:w="1084" w:type="dxa"/>
                  <w:tcBorders>
                    <w:tl2br w:val="nil"/>
                    <w:tr2bl w:val="nil"/>
                  </w:tcBorders>
                  <w:noWrap/>
                  <w:vAlign w:val="center"/>
                </w:tcPr>
                <w:p w14:paraId="0058A1E1">
                  <w:pPr>
                    <w:pStyle w:val="28"/>
                    <w:keepNext w:val="0"/>
                    <w:keepLines w:val="0"/>
                    <w:suppressLineNumbers w:val="0"/>
                    <w:spacing w:before="0" w:beforeAutospacing="0" w:after="0" w:afterAutospacing="0"/>
                    <w:ind w:left="0" w:right="0"/>
                    <w:rPr>
                      <w:rFonts w:hint="default"/>
                      <w:color w:val="auto"/>
                    </w:rPr>
                  </w:pPr>
                  <w:r>
                    <w:rPr>
                      <w:rFonts w:hint="default"/>
                      <w:color w:val="auto"/>
                    </w:rPr>
                    <w:t>75</w:t>
                  </w:r>
                </w:p>
              </w:tc>
              <w:tc>
                <w:tcPr>
                  <w:tcW w:w="1087" w:type="dxa"/>
                  <w:tcBorders>
                    <w:tl2br w:val="nil"/>
                    <w:tr2bl w:val="nil"/>
                  </w:tcBorders>
                  <w:noWrap/>
                  <w:vAlign w:val="center"/>
                </w:tcPr>
                <w:p w14:paraId="2FE0F455">
                  <w:pPr>
                    <w:pStyle w:val="28"/>
                    <w:keepNext w:val="0"/>
                    <w:keepLines w:val="0"/>
                    <w:suppressLineNumbers w:val="0"/>
                    <w:spacing w:before="0" w:beforeAutospacing="0" w:after="0" w:afterAutospacing="0"/>
                    <w:ind w:left="0" w:right="0"/>
                    <w:rPr>
                      <w:rFonts w:hint="default"/>
                      <w:color w:val="auto"/>
                    </w:rPr>
                  </w:pPr>
                  <w:r>
                    <w:rPr>
                      <w:rFonts w:hint="default"/>
                      <w:color w:val="auto"/>
                    </w:rPr>
                    <w:t>85</w:t>
                  </w:r>
                </w:p>
              </w:tc>
            </w:tr>
          </w:tbl>
          <w:p w14:paraId="5F6A78EA">
            <w:pPr>
              <w:keepNext w:val="0"/>
              <w:keepLines w:val="0"/>
              <w:suppressLineNumbers w:val="0"/>
              <w:spacing w:before="0" w:beforeAutospacing="0" w:after="0" w:afterAutospacing="0"/>
              <w:ind w:left="0" w:right="113" w:firstLine="482"/>
              <w:rPr>
                <w:rFonts w:hint="default" w:cs="Times New Roman"/>
                <w:b/>
                <w:bCs/>
                <w:color w:val="auto"/>
              </w:rPr>
            </w:pPr>
            <w:r>
              <w:rPr>
                <w:rFonts w:hint="default" w:cs="Times New Roman"/>
                <w:b/>
                <w:bCs/>
                <w:color w:val="auto"/>
              </w:rPr>
              <w:t>二、废水</w:t>
            </w:r>
          </w:p>
          <w:p w14:paraId="45AC94A1">
            <w:pPr>
              <w:keepNext w:val="0"/>
              <w:keepLines w:val="0"/>
              <w:widowControl/>
              <w:suppressLineNumbers w:val="0"/>
              <w:spacing w:before="0" w:beforeAutospacing="0" w:after="0" w:afterAutospacing="0"/>
              <w:ind w:left="0" w:right="0" w:firstLine="480"/>
              <w:rPr>
                <w:rFonts w:hint="default"/>
                <w:kern w:val="0"/>
              </w:rPr>
            </w:pPr>
            <w:r>
              <w:rPr>
                <w:rFonts w:hint="eastAsia" w:cs="Times New Roman"/>
                <w:color w:val="auto"/>
                <w:kern w:val="0"/>
                <w:lang w:bidi="ar"/>
              </w:rPr>
              <w:t>项目产品属于C1495 食品及饲料添加剂制造和C2619 其他基础化学原料制造，由于食品无相应行业排放标准，因此，厂区污水执行</w:t>
            </w:r>
            <w:bookmarkStart w:id="95" w:name="OLE_LINK52"/>
            <w:r>
              <w:rPr>
                <w:rFonts w:hint="default"/>
                <w:color w:val="auto"/>
              </w:rPr>
              <w:t>《</w:t>
            </w:r>
            <w:r>
              <w:rPr>
                <w:rFonts w:hint="eastAsia"/>
                <w:color w:val="auto"/>
              </w:rPr>
              <w:t>四川省化工园区水污染物排放标准</w:t>
            </w:r>
            <w:r>
              <w:rPr>
                <w:rFonts w:hint="default"/>
                <w:color w:val="auto"/>
              </w:rPr>
              <w:t>》（</w:t>
            </w:r>
            <w:r>
              <w:rPr>
                <w:rFonts w:hint="eastAsia"/>
                <w:color w:val="auto"/>
              </w:rPr>
              <w:t>DB51/3202</w:t>
            </w:r>
            <w:r>
              <w:rPr>
                <w:rFonts w:hint="default"/>
                <w:color w:val="auto"/>
              </w:rPr>
              <w:t>-</w:t>
            </w:r>
            <w:r>
              <w:rPr>
                <w:rFonts w:hint="eastAsia"/>
                <w:color w:val="auto"/>
              </w:rPr>
              <w:t>2024</w:t>
            </w:r>
            <w:r>
              <w:rPr>
                <w:rFonts w:hint="default"/>
                <w:color w:val="auto"/>
              </w:rPr>
              <w:t>）</w:t>
            </w:r>
            <w:r>
              <w:rPr>
                <w:rFonts w:hint="eastAsia"/>
                <w:color w:val="auto"/>
              </w:rPr>
              <w:t>表1</w:t>
            </w:r>
            <w:r>
              <w:rPr>
                <w:rFonts w:hint="default"/>
                <w:color w:val="auto"/>
              </w:rPr>
              <w:t>标准</w:t>
            </w:r>
            <w:bookmarkEnd w:id="95"/>
            <w:r>
              <w:rPr>
                <w:rFonts w:hint="eastAsia"/>
                <w:color w:val="auto"/>
              </w:rPr>
              <w:t>，普光工业园区污水处理厂尾水执行《城镇污水处理厂污染物排放标准》（GB 18918-2002）表1一级A标，废水排放</w:t>
            </w:r>
            <w:r>
              <w:rPr>
                <w:rFonts w:hint="default"/>
                <w:color w:val="auto"/>
              </w:rPr>
              <w:t>标准值见</w:t>
            </w:r>
            <w:r>
              <w:rPr>
                <w:rFonts w:hint="eastAsia"/>
                <w:color w:val="auto"/>
              </w:rPr>
              <w:t>下</w:t>
            </w:r>
            <w:r>
              <w:rPr>
                <w:rFonts w:hint="default"/>
                <w:color w:val="auto"/>
              </w:rPr>
              <w:t>表所示。</w:t>
            </w:r>
          </w:p>
          <w:p w14:paraId="5C187C09">
            <w:pPr>
              <w:pStyle w:val="3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本项目厂区废水排放执行标准</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14"/>
              <w:gridCol w:w="1728"/>
              <w:gridCol w:w="1901"/>
              <w:gridCol w:w="2654"/>
            </w:tblGrid>
            <w:tr w14:paraId="0CDDE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Align w:val="center"/>
                </w:tcPr>
                <w:p w14:paraId="118E852A">
                  <w:pPr>
                    <w:pStyle w:val="28"/>
                    <w:keepNext w:val="0"/>
                    <w:keepLines w:val="0"/>
                    <w:suppressLineNumbers w:val="0"/>
                    <w:spacing w:before="0" w:beforeAutospacing="0" w:after="0" w:afterAutospacing="0"/>
                    <w:ind w:left="0" w:right="0"/>
                    <w:rPr>
                      <w:rFonts w:hint="default"/>
                    </w:rPr>
                  </w:pPr>
                  <w:r>
                    <w:rPr>
                      <w:rFonts w:hint="default"/>
                    </w:rPr>
                    <w:t>废水类别</w:t>
                  </w:r>
                </w:p>
              </w:tc>
              <w:tc>
                <w:tcPr>
                  <w:tcW w:w="1137" w:type="pct"/>
                  <w:vAlign w:val="center"/>
                </w:tcPr>
                <w:p w14:paraId="7ADB6F41">
                  <w:pPr>
                    <w:pStyle w:val="28"/>
                    <w:keepNext w:val="0"/>
                    <w:keepLines w:val="0"/>
                    <w:suppressLineNumbers w:val="0"/>
                    <w:spacing w:before="0" w:beforeAutospacing="0" w:after="0" w:afterAutospacing="0"/>
                    <w:ind w:left="0" w:right="0"/>
                    <w:rPr>
                      <w:rFonts w:hint="default"/>
                    </w:rPr>
                  </w:pPr>
                  <w:r>
                    <w:rPr>
                      <w:rFonts w:hint="default"/>
                    </w:rPr>
                    <w:t>污染物</w:t>
                  </w:r>
                </w:p>
              </w:tc>
              <w:tc>
                <w:tcPr>
                  <w:tcW w:w="1251" w:type="pct"/>
                  <w:vAlign w:val="center"/>
                </w:tcPr>
                <w:p w14:paraId="499AEE81">
                  <w:pPr>
                    <w:pStyle w:val="28"/>
                    <w:keepNext w:val="0"/>
                    <w:keepLines w:val="0"/>
                    <w:suppressLineNumbers w:val="0"/>
                    <w:spacing w:before="0" w:beforeAutospacing="0" w:after="0" w:afterAutospacing="0"/>
                    <w:ind w:left="0" w:right="0"/>
                    <w:rPr>
                      <w:rFonts w:hint="default"/>
                    </w:rPr>
                  </w:pPr>
                  <w:r>
                    <w:rPr>
                      <w:rFonts w:hint="default"/>
                    </w:rPr>
                    <w:t>排放标准</w:t>
                  </w:r>
                  <w:r>
                    <w:rPr>
                      <w:rFonts w:hint="eastAsia"/>
                    </w:rPr>
                    <w:t>（</w:t>
                  </w:r>
                  <w:r>
                    <w:rPr>
                      <w:rFonts w:hint="default"/>
                    </w:rPr>
                    <w:t>mg/L</w:t>
                  </w:r>
                  <w:r>
                    <w:rPr>
                      <w:rFonts w:hint="eastAsia"/>
                    </w:rPr>
                    <w:t>）</w:t>
                  </w:r>
                </w:p>
              </w:tc>
              <w:tc>
                <w:tcPr>
                  <w:tcW w:w="1747" w:type="pct"/>
                  <w:vAlign w:val="center"/>
                </w:tcPr>
                <w:p w14:paraId="00CDAF42">
                  <w:pPr>
                    <w:pStyle w:val="28"/>
                    <w:keepNext w:val="0"/>
                    <w:keepLines w:val="0"/>
                    <w:suppressLineNumbers w:val="0"/>
                    <w:spacing w:before="0" w:beforeAutospacing="0" w:after="0" w:afterAutospacing="0"/>
                    <w:ind w:left="0" w:right="0"/>
                    <w:rPr>
                      <w:rFonts w:hint="default"/>
                    </w:rPr>
                  </w:pPr>
                  <w:r>
                    <w:rPr>
                      <w:rFonts w:hint="default"/>
                    </w:rPr>
                    <w:t>标准来源</w:t>
                  </w:r>
                </w:p>
              </w:tc>
            </w:tr>
            <w:tr w14:paraId="74FD42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5" w:type="pct"/>
                  <w:vMerge w:val="restart"/>
                  <w:vAlign w:val="center"/>
                </w:tcPr>
                <w:p w14:paraId="3A936ACB">
                  <w:pPr>
                    <w:pStyle w:val="28"/>
                    <w:keepNext w:val="0"/>
                    <w:keepLines w:val="0"/>
                    <w:suppressLineNumbers w:val="0"/>
                    <w:spacing w:before="0" w:beforeAutospacing="0" w:after="0" w:afterAutospacing="0"/>
                    <w:ind w:left="0" w:right="0"/>
                    <w:rPr>
                      <w:rFonts w:hint="default"/>
                    </w:rPr>
                  </w:pPr>
                  <w:r>
                    <w:rPr>
                      <w:rFonts w:hint="default"/>
                    </w:rPr>
                    <w:t>办公生活污水</w:t>
                  </w:r>
                  <w:r>
                    <w:rPr>
                      <w:rFonts w:hint="eastAsia"/>
                    </w:rPr>
                    <w:t>、</w:t>
                  </w:r>
                  <w:r>
                    <w:rPr>
                      <w:rFonts w:hint="default"/>
                    </w:rPr>
                    <w:t>生产废水</w:t>
                  </w:r>
                </w:p>
              </w:tc>
              <w:tc>
                <w:tcPr>
                  <w:tcW w:w="1137" w:type="pct"/>
                  <w:vAlign w:val="center"/>
                </w:tcPr>
                <w:p w14:paraId="0F73CB19">
                  <w:pPr>
                    <w:pStyle w:val="28"/>
                    <w:keepNext w:val="0"/>
                    <w:keepLines w:val="0"/>
                    <w:suppressLineNumbers w:val="0"/>
                    <w:spacing w:before="0" w:beforeAutospacing="0" w:after="0" w:afterAutospacing="0"/>
                    <w:ind w:left="0" w:right="0"/>
                    <w:rPr>
                      <w:rFonts w:hint="default"/>
                    </w:rPr>
                  </w:pPr>
                  <w:r>
                    <w:rPr>
                      <w:rFonts w:hint="default"/>
                    </w:rPr>
                    <w:t>pH</w:t>
                  </w:r>
                  <w:r>
                    <w:rPr>
                      <w:rFonts w:hint="eastAsia"/>
                    </w:rPr>
                    <w:t>（无量纲）</w:t>
                  </w:r>
                </w:p>
              </w:tc>
              <w:tc>
                <w:tcPr>
                  <w:tcW w:w="1251" w:type="pct"/>
                  <w:vAlign w:val="center"/>
                </w:tcPr>
                <w:p w14:paraId="0B02903A">
                  <w:pPr>
                    <w:pStyle w:val="28"/>
                    <w:keepNext w:val="0"/>
                    <w:keepLines w:val="0"/>
                    <w:suppressLineNumbers w:val="0"/>
                    <w:spacing w:before="0" w:beforeAutospacing="0" w:after="0" w:afterAutospacing="0"/>
                    <w:ind w:left="0" w:right="0"/>
                    <w:rPr>
                      <w:rFonts w:hint="default"/>
                    </w:rPr>
                  </w:pPr>
                  <w:r>
                    <w:rPr>
                      <w:rFonts w:hint="default"/>
                    </w:rPr>
                    <w:t>6~9</w:t>
                  </w:r>
                </w:p>
              </w:tc>
              <w:tc>
                <w:tcPr>
                  <w:tcW w:w="1747" w:type="pct"/>
                  <w:vMerge w:val="restart"/>
                  <w:vAlign w:val="center"/>
                </w:tcPr>
                <w:p w14:paraId="22D384EE">
                  <w:pPr>
                    <w:pStyle w:val="28"/>
                    <w:keepNext w:val="0"/>
                    <w:keepLines w:val="0"/>
                    <w:suppressLineNumbers w:val="0"/>
                    <w:spacing w:before="0" w:beforeAutospacing="0" w:after="0" w:afterAutospacing="0"/>
                    <w:ind w:left="0" w:right="0"/>
                    <w:rPr>
                      <w:rFonts w:hint="default"/>
                    </w:rPr>
                  </w:pPr>
                  <w:r>
                    <w:rPr>
                      <w:rFonts w:hint="eastAsia"/>
                    </w:rPr>
                    <w:t>《四川省化工园区水污染物排放标准》（DB51/3202-2024）表1标准</w:t>
                  </w:r>
                </w:p>
              </w:tc>
            </w:tr>
            <w:tr w14:paraId="0342A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5" w:type="pct"/>
                  <w:vMerge w:val="continue"/>
                  <w:vAlign w:val="center"/>
                </w:tcPr>
                <w:p w14:paraId="36DE6800">
                  <w:pPr>
                    <w:pStyle w:val="28"/>
                    <w:keepNext w:val="0"/>
                    <w:keepLines w:val="0"/>
                    <w:suppressLineNumbers w:val="0"/>
                    <w:spacing w:before="0" w:beforeAutospacing="0" w:after="0" w:afterAutospacing="0"/>
                    <w:ind w:left="0" w:right="0"/>
                    <w:rPr>
                      <w:rFonts w:hint="default"/>
                    </w:rPr>
                  </w:pPr>
                </w:p>
              </w:tc>
              <w:tc>
                <w:tcPr>
                  <w:tcW w:w="1137" w:type="pct"/>
                  <w:vAlign w:val="center"/>
                </w:tcPr>
                <w:p w14:paraId="238840B0">
                  <w:pPr>
                    <w:pStyle w:val="28"/>
                    <w:keepNext w:val="0"/>
                    <w:keepLines w:val="0"/>
                    <w:suppressLineNumbers w:val="0"/>
                    <w:spacing w:before="0" w:beforeAutospacing="0" w:after="0" w:afterAutospacing="0"/>
                    <w:ind w:left="0" w:right="0"/>
                    <w:rPr>
                      <w:rFonts w:hint="default"/>
                    </w:rPr>
                  </w:pPr>
                  <w:r>
                    <w:rPr>
                      <w:rFonts w:hint="default"/>
                    </w:rPr>
                    <w:t>SS</w:t>
                  </w:r>
                </w:p>
              </w:tc>
              <w:tc>
                <w:tcPr>
                  <w:tcW w:w="1251" w:type="pct"/>
                  <w:vAlign w:val="center"/>
                </w:tcPr>
                <w:p w14:paraId="4BF2FF63">
                  <w:pPr>
                    <w:pStyle w:val="28"/>
                    <w:keepNext w:val="0"/>
                    <w:keepLines w:val="0"/>
                    <w:suppressLineNumbers w:val="0"/>
                    <w:spacing w:before="0" w:beforeAutospacing="0" w:after="0" w:afterAutospacing="0"/>
                    <w:ind w:left="0" w:right="0"/>
                    <w:rPr>
                      <w:rFonts w:hint="default"/>
                    </w:rPr>
                  </w:pPr>
                  <w:r>
                    <w:rPr>
                      <w:rFonts w:hint="eastAsia"/>
                    </w:rPr>
                    <w:t>150</w:t>
                  </w:r>
                </w:p>
              </w:tc>
              <w:tc>
                <w:tcPr>
                  <w:tcW w:w="1747" w:type="pct"/>
                  <w:vMerge w:val="continue"/>
                  <w:vAlign w:val="center"/>
                </w:tcPr>
                <w:p w14:paraId="6D2B5152">
                  <w:pPr>
                    <w:pStyle w:val="28"/>
                    <w:keepNext w:val="0"/>
                    <w:keepLines w:val="0"/>
                    <w:suppressLineNumbers w:val="0"/>
                    <w:spacing w:before="0" w:beforeAutospacing="0" w:after="0" w:afterAutospacing="0"/>
                    <w:ind w:left="0" w:right="0"/>
                    <w:rPr>
                      <w:rFonts w:hint="default"/>
                    </w:rPr>
                  </w:pPr>
                </w:p>
              </w:tc>
            </w:tr>
            <w:tr w14:paraId="6849E0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5" w:type="pct"/>
                  <w:vMerge w:val="continue"/>
                  <w:vAlign w:val="center"/>
                </w:tcPr>
                <w:p w14:paraId="4B9A9837">
                  <w:pPr>
                    <w:pStyle w:val="28"/>
                    <w:keepNext w:val="0"/>
                    <w:keepLines w:val="0"/>
                    <w:suppressLineNumbers w:val="0"/>
                    <w:spacing w:before="0" w:beforeAutospacing="0" w:after="0" w:afterAutospacing="0"/>
                    <w:ind w:left="0" w:right="0"/>
                    <w:rPr>
                      <w:rFonts w:hint="default"/>
                    </w:rPr>
                  </w:pPr>
                </w:p>
              </w:tc>
              <w:tc>
                <w:tcPr>
                  <w:tcW w:w="1137" w:type="pct"/>
                  <w:vAlign w:val="center"/>
                </w:tcPr>
                <w:p w14:paraId="5DC1E835">
                  <w:pPr>
                    <w:pStyle w:val="28"/>
                    <w:keepNext w:val="0"/>
                    <w:keepLines w:val="0"/>
                    <w:suppressLineNumbers w:val="0"/>
                    <w:spacing w:before="0" w:beforeAutospacing="0" w:after="0" w:afterAutospacing="0"/>
                    <w:ind w:left="0" w:right="0"/>
                    <w:rPr>
                      <w:rFonts w:hint="default"/>
                    </w:rPr>
                  </w:pPr>
                  <w:r>
                    <w:rPr>
                      <w:rFonts w:hint="default"/>
                    </w:rPr>
                    <w:t>COD</w:t>
                  </w:r>
                  <w:r>
                    <w:rPr>
                      <w:rFonts w:hint="default"/>
                      <w:vertAlign w:val="subscript"/>
                    </w:rPr>
                    <w:t>Cr</w:t>
                  </w:r>
                </w:p>
              </w:tc>
              <w:tc>
                <w:tcPr>
                  <w:tcW w:w="1251" w:type="pct"/>
                  <w:vAlign w:val="center"/>
                </w:tcPr>
                <w:p w14:paraId="67B5BDD2">
                  <w:pPr>
                    <w:pStyle w:val="28"/>
                    <w:keepNext w:val="0"/>
                    <w:keepLines w:val="0"/>
                    <w:suppressLineNumbers w:val="0"/>
                    <w:spacing w:before="0" w:beforeAutospacing="0" w:after="0" w:afterAutospacing="0"/>
                    <w:ind w:left="0" w:right="0"/>
                    <w:rPr>
                      <w:rFonts w:hint="default"/>
                    </w:rPr>
                  </w:pPr>
                  <w:r>
                    <w:rPr>
                      <w:rFonts w:hint="eastAsia"/>
                    </w:rPr>
                    <w:t>500</w:t>
                  </w:r>
                </w:p>
              </w:tc>
              <w:tc>
                <w:tcPr>
                  <w:tcW w:w="1747" w:type="pct"/>
                  <w:vMerge w:val="continue"/>
                  <w:vAlign w:val="center"/>
                </w:tcPr>
                <w:p w14:paraId="3672DAE4">
                  <w:pPr>
                    <w:pStyle w:val="28"/>
                    <w:keepNext w:val="0"/>
                    <w:keepLines w:val="0"/>
                    <w:suppressLineNumbers w:val="0"/>
                    <w:spacing w:before="0" w:beforeAutospacing="0" w:after="0" w:afterAutospacing="0"/>
                    <w:ind w:left="0" w:right="0"/>
                    <w:rPr>
                      <w:rFonts w:hint="default"/>
                    </w:rPr>
                  </w:pPr>
                </w:p>
              </w:tc>
            </w:tr>
            <w:tr w14:paraId="74B3B3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865" w:type="pct"/>
                  <w:vMerge w:val="continue"/>
                  <w:vAlign w:val="center"/>
                </w:tcPr>
                <w:p w14:paraId="4EE76413">
                  <w:pPr>
                    <w:pStyle w:val="28"/>
                    <w:keepNext w:val="0"/>
                    <w:keepLines w:val="0"/>
                    <w:suppressLineNumbers w:val="0"/>
                    <w:spacing w:before="0" w:beforeAutospacing="0" w:after="0" w:afterAutospacing="0"/>
                    <w:ind w:left="0" w:right="0"/>
                    <w:rPr>
                      <w:rFonts w:hint="default"/>
                    </w:rPr>
                  </w:pPr>
                </w:p>
              </w:tc>
              <w:tc>
                <w:tcPr>
                  <w:tcW w:w="1137" w:type="pct"/>
                  <w:vAlign w:val="center"/>
                </w:tcPr>
                <w:p w14:paraId="29F74D8A">
                  <w:pPr>
                    <w:pStyle w:val="28"/>
                    <w:keepNext w:val="0"/>
                    <w:keepLines w:val="0"/>
                    <w:suppressLineNumbers w:val="0"/>
                    <w:spacing w:before="0" w:beforeAutospacing="0" w:after="0" w:afterAutospacing="0"/>
                    <w:ind w:left="0" w:right="0"/>
                    <w:rPr>
                      <w:rFonts w:hint="default"/>
                    </w:rPr>
                  </w:pPr>
                  <w:r>
                    <w:rPr>
                      <w:rFonts w:hint="default"/>
                    </w:rPr>
                    <w:t>氨氮</w:t>
                  </w:r>
                </w:p>
              </w:tc>
              <w:tc>
                <w:tcPr>
                  <w:tcW w:w="1251" w:type="pct"/>
                  <w:vAlign w:val="center"/>
                </w:tcPr>
                <w:p w14:paraId="4F38C7C4">
                  <w:pPr>
                    <w:pStyle w:val="28"/>
                    <w:keepNext w:val="0"/>
                    <w:keepLines w:val="0"/>
                    <w:suppressLineNumbers w:val="0"/>
                    <w:spacing w:before="0" w:beforeAutospacing="0" w:after="0" w:afterAutospacing="0"/>
                    <w:ind w:left="0" w:right="0"/>
                    <w:rPr>
                      <w:rFonts w:hint="default"/>
                    </w:rPr>
                  </w:pPr>
                  <w:r>
                    <w:rPr>
                      <w:rFonts w:hint="eastAsia"/>
                    </w:rPr>
                    <w:t>45</w:t>
                  </w:r>
                </w:p>
              </w:tc>
              <w:tc>
                <w:tcPr>
                  <w:tcW w:w="1747" w:type="pct"/>
                  <w:vMerge w:val="continue"/>
                  <w:vAlign w:val="center"/>
                </w:tcPr>
                <w:p w14:paraId="2D9D41B7">
                  <w:pPr>
                    <w:pStyle w:val="28"/>
                    <w:keepNext w:val="0"/>
                    <w:keepLines w:val="0"/>
                    <w:suppressLineNumbers w:val="0"/>
                    <w:spacing w:before="0" w:beforeAutospacing="0" w:after="0" w:afterAutospacing="0"/>
                    <w:ind w:left="0" w:right="0"/>
                    <w:rPr>
                      <w:rFonts w:hint="default"/>
                    </w:rPr>
                  </w:pPr>
                </w:p>
              </w:tc>
            </w:tr>
            <w:tr w14:paraId="48D75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5" w:type="pct"/>
                  <w:vMerge w:val="continue"/>
                  <w:vAlign w:val="center"/>
                </w:tcPr>
                <w:p w14:paraId="6AE05C0A">
                  <w:pPr>
                    <w:pStyle w:val="28"/>
                    <w:keepNext w:val="0"/>
                    <w:keepLines w:val="0"/>
                    <w:suppressLineNumbers w:val="0"/>
                    <w:spacing w:before="0" w:beforeAutospacing="0" w:after="0" w:afterAutospacing="0"/>
                    <w:ind w:left="0" w:right="0"/>
                    <w:rPr>
                      <w:rFonts w:hint="default"/>
                    </w:rPr>
                  </w:pPr>
                </w:p>
              </w:tc>
              <w:tc>
                <w:tcPr>
                  <w:tcW w:w="1137" w:type="pct"/>
                  <w:vAlign w:val="center"/>
                </w:tcPr>
                <w:p w14:paraId="56066EC1">
                  <w:pPr>
                    <w:pStyle w:val="28"/>
                    <w:keepNext w:val="0"/>
                    <w:keepLines w:val="0"/>
                    <w:suppressLineNumbers w:val="0"/>
                    <w:spacing w:before="0" w:beforeAutospacing="0" w:after="0" w:afterAutospacing="0"/>
                    <w:ind w:left="0" w:right="0"/>
                    <w:rPr>
                      <w:rFonts w:hint="default"/>
                    </w:rPr>
                  </w:pPr>
                  <w:r>
                    <w:rPr>
                      <w:rFonts w:hint="default"/>
                    </w:rPr>
                    <w:t>总氮</w:t>
                  </w:r>
                </w:p>
              </w:tc>
              <w:tc>
                <w:tcPr>
                  <w:tcW w:w="1251" w:type="pct"/>
                  <w:vAlign w:val="center"/>
                </w:tcPr>
                <w:p w14:paraId="57CD71D2">
                  <w:pPr>
                    <w:pStyle w:val="28"/>
                    <w:keepNext w:val="0"/>
                    <w:keepLines w:val="0"/>
                    <w:suppressLineNumbers w:val="0"/>
                    <w:spacing w:before="0" w:beforeAutospacing="0" w:after="0" w:afterAutospacing="0"/>
                    <w:ind w:left="0" w:right="0"/>
                    <w:rPr>
                      <w:rFonts w:hint="default"/>
                    </w:rPr>
                  </w:pPr>
                  <w:r>
                    <w:rPr>
                      <w:rFonts w:hint="eastAsia"/>
                    </w:rPr>
                    <w:t>70</w:t>
                  </w:r>
                </w:p>
              </w:tc>
              <w:tc>
                <w:tcPr>
                  <w:tcW w:w="1747" w:type="pct"/>
                  <w:vMerge w:val="continue"/>
                  <w:vAlign w:val="center"/>
                </w:tcPr>
                <w:p w14:paraId="156B1B44">
                  <w:pPr>
                    <w:pStyle w:val="28"/>
                    <w:keepNext w:val="0"/>
                    <w:keepLines w:val="0"/>
                    <w:suppressLineNumbers w:val="0"/>
                    <w:spacing w:before="0" w:beforeAutospacing="0" w:after="0" w:afterAutospacing="0"/>
                    <w:ind w:left="0" w:right="0"/>
                    <w:rPr>
                      <w:rFonts w:hint="default"/>
                    </w:rPr>
                  </w:pPr>
                </w:p>
              </w:tc>
            </w:tr>
            <w:tr w14:paraId="79C75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5" w:type="pct"/>
                  <w:vMerge w:val="continue"/>
                  <w:vAlign w:val="center"/>
                </w:tcPr>
                <w:p w14:paraId="58A4E126">
                  <w:pPr>
                    <w:pStyle w:val="28"/>
                    <w:keepNext w:val="0"/>
                    <w:keepLines w:val="0"/>
                    <w:suppressLineNumbers w:val="0"/>
                    <w:spacing w:before="0" w:beforeAutospacing="0" w:after="0" w:afterAutospacing="0"/>
                    <w:ind w:left="0" w:right="0"/>
                    <w:rPr>
                      <w:rFonts w:hint="default"/>
                    </w:rPr>
                  </w:pPr>
                </w:p>
              </w:tc>
              <w:tc>
                <w:tcPr>
                  <w:tcW w:w="1137" w:type="pct"/>
                  <w:vAlign w:val="center"/>
                </w:tcPr>
                <w:p w14:paraId="327F290D">
                  <w:pPr>
                    <w:pStyle w:val="28"/>
                    <w:keepNext w:val="0"/>
                    <w:keepLines w:val="0"/>
                    <w:suppressLineNumbers w:val="0"/>
                    <w:spacing w:before="0" w:beforeAutospacing="0" w:after="0" w:afterAutospacing="0"/>
                    <w:ind w:left="0" w:right="0"/>
                    <w:rPr>
                      <w:rFonts w:hint="default"/>
                    </w:rPr>
                  </w:pPr>
                  <w:r>
                    <w:rPr>
                      <w:rFonts w:hint="default"/>
                    </w:rPr>
                    <w:t>总磷</w:t>
                  </w:r>
                </w:p>
              </w:tc>
              <w:tc>
                <w:tcPr>
                  <w:tcW w:w="1251" w:type="pct"/>
                  <w:vAlign w:val="center"/>
                </w:tcPr>
                <w:p w14:paraId="480793CB">
                  <w:pPr>
                    <w:pStyle w:val="28"/>
                    <w:keepNext w:val="0"/>
                    <w:keepLines w:val="0"/>
                    <w:suppressLineNumbers w:val="0"/>
                    <w:spacing w:before="0" w:beforeAutospacing="0" w:after="0" w:afterAutospacing="0"/>
                    <w:ind w:left="0" w:right="0"/>
                    <w:rPr>
                      <w:rFonts w:hint="default"/>
                    </w:rPr>
                  </w:pPr>
                  <w:r>
                    <w:rPr>
                      <w:rFonts w:hint="eastAsia"/>
                    </w:rPr>
                    <w:t>8</w:t>
                  </w:r>
                </w:p>
              </w:tc>
              <w:tc>
                <w:tcPr>
                  <w:tcW w:w="1747" w:type="pct"/>
                  <w:vMerge w:val="continue"/>
                  <w:vAlign w:val="center"/>
                </w:tcPr>
                <w:p w14:paraId="77FF2BC1">
                  <w:pPr>
                    <w:pStyle w:val="28"/>
                    <w:keepNext w:val="0"/>
                    <w:keepLines w:val="0"/>
                    <w:suppressLineNumbers w:val="0"/>
                    <w:spacing w:before="0" w:beforeAutospacing="0" w:after="0" w:afterAutospacing="0"/>
                    <w:ind w:left="0" w:right="0"/>
                    <w:rPr>
                      <w:rFonts w:hint="default"/>
                    </w:rPr>
                  </w:pPr>
                </w:p>
              </w:tc>
            </w:tr>
          </w:tbl>
          <w:p w14:paraId="321AAEB5">
            <w:pPr>
              <w:pStyle w:val="3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污水处理厂出水水质要求      单位：mg/L</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83"/>
              <w:gridCol w:w="959"/>
              <w:gridCol w:w="959"/>
              <w:gridCol w:w="959"/>
              <w:gridCol w:w="959"/>
              <w:gridCol w:w="959"/>
              <w:gridCol w:w="959"/>
              <w:gridCol w:w="960"/>
            </w:tblGrid>
            <w:tr w14:paraId="3B1833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0" w:hRule="atLeast"/>
                <w:jc w:val="center"/>
              </w:trPr>
              <w:tc>
                <w:tcPr>
                  <w:tcW w:w="582" w:type="pct"/>
                  <w:vAlign w:val="center"/>
                </w:tcPr>
                <w:p w14:paraId="7BB57D61">
                  <w:pPr>
                    <w:pStyle w:val="28"/>
                    <w:keepNext w:val="0"/>
                    <w:keepLines w:val="0"/>
                    <w:suppressLineNumbers w:val="0"/>
                    <w:spacing w:before="0" w:beforeAutospacing="0" w:after="0" w:afterAutospacing="0"/>
                    <w:ind w:left="0" w:right="0"/>
                    <w:rPr>
                      <w:rFonts w:hint="default"/>
                    </w:rPr>
                  </w:pPr>
                  <w:r>
                    <w:rPr>
                      <w:rFonts w:hint="default"/>
                    </w:rPr>
                    <w:t>污染物</w:t>
                  </w:r>
                </w:p>
              </w:tc>
              <w:tc>
                <w:tcPr>
                  <w:tcW w:w="631" w:type="pct"/>
                  <w:vAlign w:val="center"/>
                </w:tcPr>
                <w:p w14:paraId="43E1AD9F">
                  <w:pPr>
                    <w:pStyle w:val="28"/>
                    <w:keepNext w:val="0"/>
                    <w:keepLines w:val="0"/>
                    <w:suppressLineNumbers w:val="0"/>
                    <w:spacing w:before="0" w:beforeAutospacing="0" w:after="0" w:afterAutospacing="0"/>
                    <w:ind w:left="0" w:right="0"/>
                    <w:rPr>
                      <w:rFonts w:hint="default"/>
                    </w:rPr>
                  </w:pPr>
                  <w:r>
                    <w:rPr>
                      <w:rFonts w:hint="default"/>
                    </w:rPr>
                    <w:t>COD</w:t>
                  </w:r>
                  <w:r>
                    <w:rPr>
                      <w:rFonts w:hint="default"/>
                      <w:vertAlign w:val="subscript"/>
                    </w:rPr>
                    <w:t>Cr</w:t>
                  </w:r>
                </w:p>
              </w:tc>
              <w:tc>
                <w:tcPr>
                  <w:tcW w:w="631" w:type="pct"/>
                  <w:vAlign w:val="center"/>
                </w:tcPr>
                <w:p w14:paraId="4C70C7C9">
                  <w:pPr>
                    <w:pStyle w:val="28"/>
                    <w:keepNext w:val="0"/>
                    <w:keepLines w:val="0"/>
                    <w:suppressLineNumbers w:val="0"/>
                    <w:spacing w:before="0" w:beforeAutospacing="0" w:after="0" w:afterAutospacing="0"/>
                    <w:ind w:left="0" w:right="0"/>
                    <w:rPr>
                      <w:rFonts w:hint="default"/>
                    </w:rPr>
                  </w:pPr>
                  <w:r>
                    <w:rPr>
                      <w:rFonts w:hint="default"/>
                    </w:rPr>
                    <w:t>BOD</w:t>
                  </w:r>
                  <w:r>
                    <w:rPr>
                      <w:rFonts w:hint="default"/>
                      <w:vertAlign w:val="subscript"/>
                    </w:rPr>
                    <w:t>5</w:t>
                  </w:r>
                </w:p>
              </w:tc>
              <w:tc>
                <w:tcPr>
                  <w:tcW w:w="631" w:type="pct"/>
                  <w:vAlign w:val="center"/>
                </w:tcPr>
                <w:p w14:paraId="06176FC0">
                  <w:pPr>
                    <w:pStyle w:val="28"/>
                    <w:keepNext w:val="0"/>
                    <w:keepLines w:val="0"/>
                    <w:suppressLineNumbers w:val="0"/>
                    <w:spacing w:before="0" w:beforeAutospacing="0" w:after="0" w:afterAutospacing="0"/>
                    <w:ind w:left="0" w:right="0"/>
                    <w:rPr>
                      <w:rFonts w:hint="default"/>
                    </w:rPr>
                  </w:pPr>
                  <w:r>
                    <w:rPr>
                      <w:rFonts w:hint="default"/>
                    </w:rPr>
                    <w:t>氨氮</w:t>
                  </w:r>
                </w:p>
              </w:tc>
              <w:tc>
                <w:tcPr>
                  <w:tcW w:w="631" w:type="pct"/>
                  <w:vAlign w:val="center"/>
                </w:tcPr>
                <w:p w14:paraId="5A24949F">
                  <w:pPr>
                    <w:pStyle w:val="28"/>
                    <w:keepNext w:val="0"/>
                    <w:keepLines w:val="0"/>
                    <w:suppressLineNumbers w:val="0"/>
                    <w:spacing w:before="0" w:beforeAutospacing="0" w:after="0" w:afterAutospacing="0"/>
                    <w:ind w:left="0" w:right="0"/>
                    <w:rPr>
                      <w:rFonts w:hint="default"/>
                    </w:rPr>
                  </w:pPr>
                  <w:r>
                    <w:rPr>
                      <w:rFonts w:hint="eastAsia"/>
                    </w:rPr>
                    <w:t>总氮</w:t>
                  </w:r>
                </w:p>
              </w:tc>
              <w:tc>
                <w:tcPr>
                  <w:tcW w:w="631" w:type="pct"/>
                  <w:vAlign w:val="center"/>
                </w:tcPr>
                <w:p w14:paraId="71317EF3">
                  <w:pPr>
                    <w:pStyle w:val="28"/>
                    <w:keepNext w:val="0"/>
                    <w:keepLines w:val="0"/>
                    <w:suppressLineNumbers w:val="0"/>
                    <w:spacing w:before="0" w:beforeAutospacing="0" w:after="0" w:afterAutospacing="0"/>
                    <w:ind w:left="0" w:right="0"/>
                    <w:rPr>
                      <w:rFonts w:hint="default"/>
                    </w:rPr>
                  </w:pPr>
                  <w:r>
                    <w:rPr>
                      <w:rFonts w:hint="default"/>
                    </w:rPr>
                    <w:t>总磷</w:t>
                  </w:r>
                </w:p>
              </w:tc>
              <w:tc>
                <w:tcPr>
                  <w:tcW w:w="631" w:type="pct"/>
                  <w:vAlign w:val="center"/>
                </w:tcPr>
                <w:p w14:paraId="2174559A">
                  <w:pPr>
                    <w:pStyle w:val="28"/>
                    <w:keepNext w:val="0"/>
                    <w:keepLines w:val="0"/>
                    <w:suppressLineNumbers w:val="0"/>
                    <w:spacing w:before="0" w:beforeAutospacing="0" w:after="0" w:afterAutospacing="0"/>
                    <w:ind w:left="0" w:right="0"/>
                    <w:rPr>
                      <w:rFonts w:hint="default"/>
                    </w:rPr>
                  </w:pPr>
                  <w:r>
                    <w:rPr>
                      <w:rFonts w:hint="default"/>
                    </w:rPr>
                    <w:t>SS</w:t>
                  </w:r>
                </w:p>
              </w:tc>
              <w:tc>
                <w:tcPr>
                  <w:tcW w:w="631" w:type="pct"/>
                  <w:vAlign w:val="center"/>
                </w:tcPr>
                <w:p w14:paraId="05FF6691">
                  <w:pPr>
                    <w:pStyle w:val="28"/>
                    <w:keepNext w:val="0"/>
                    <w:keepLines w:val="0"/>
                    <w:suppressLineNumbers w:val="0"/>
                    <w:spacing w:before="0" w:beforeAutospacing="0" w:after="0" w:afterAutospacing="0"/>
                    <w:ind w:left="0" w:right="0"/>
                    <w:rPr>
                      <w:rFonts w:hint="default"/>
                    </w:rPr>
                  </w:pPr>
                  <w:r>
                    <w:rPr>
                      <w:rFonts w:hint="default"/>
                    </w:rPr>
                    <w:t>pH</w:t>
                  </w:r>
                </w:p>
              </w:tc>
            </w:tr>
            <w:tr w14:paraId="3138B8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07" w:hRule="atLeast"/>
                <w:jc w:val="center"/>
              </w:trPr>
              <w:tc>
                <w:tcPr>
                  <w:tcW w:w="582" w:type="pct"/>
                  <w:vAlign w:val="center"/>
                </w:tcPr>
                <w:p w14:paraId="2CA8DF2A">
                  <w:pPr>
                    <w:pStyle w:val="28"/>
                    <w:keepNext w:val="0"/>
                    <w:keepLines w:val="0"/>
                    <w:suppressLineNumbers w:val="0"/>
                    <w:spacing w:before="0" w:beforeAutospacing="0" w:after="0" w:afterAutospacing="0"/>
                    <w:ind w:left="0" w:right="0"/>
                    <w:rPr>
                      <w:rFonts w:hint="default"/>
                    </w:rPr>
                  </w:pPr>
                  <w:r>
                    <w:rPr>
                      <w:rFonts w:hint="default"/>
                    </w:rPr>
                    <w:t>执行标准</w:t>
                  </w:r>
                </w:p>
              </w:tc>
              <w:tc>
                <w:tcPr>
                  <w:tcW w:w="631" w:type="pct"/>
                  <w:vAlign w:val="center"/>
                </w:tcPr>
                <w:p w14:paraId="79D9D2BE">
                  <w:pPr>
                    <w:pStyle w:val="28"/>
                    <w:keepNext w:val="0"/>
                    <w:keepLines w:val="0"/>
                    <w:suppressLineNumbers w:val="0"/>
                    <w:spacing w:before="0" w:beforeAutospacing="0" w:after="0" w:afterAutospacing="0"/>
                    <w:ind w:left="0" w:right="0"/>
                    <w:rPr>
                      <w:rFonts w:hint="default"/>
                    </w:rPr>
                  </w:pPr>
                  <w:r>
                    <w:rPr>
                      <w:rFonts w:hint="eastAsia"/>
                    </w:rPr>
                    <w:t>50</w:t>
                  </w:r>
                </w:p>
              </w:tc>
              <w:tc>
                <w:tcPr>
                  <w:tcW w:w="631" w:type="pct"/>
                  <w:vAlign w:val="center"/>
                </w:tcPr>
                <w:p w14:paraId="0E806D8E">
                  <w:pPr>
                    <w:pStyle w:val="28"/>
                    <w:keepNext w:val="0"/>
                    <w:keepLines w:val="0"/>
                    <w:suppressLineNumbers w:val="0"/>
                    <w:spacing w:before="0" w:beforeAutospacing="0" w:after="0" w:afterAutospacing="0"/>
                    <w:ind w:left="0" w:right="0"/>
                    <w:rPr>
                      <w:rFonts w:hint="default"/>
                    </w:rPr>
                  </w:pPr>
                  <w:r>
                    <w:rPr>
                      <w:rFonts w:hint="eastAsia"/>
                    </w:rPr>
                    <w:t>10</w:t>
                  </w:r>
                </w:p>
              </w:tc>
              <w:tc>
                <w:tcPr>
                  <w:tcW w:w="631" w:type="pct"/>
                  <w:vAlign w:val="center"/>
                </w:tcPr>
                <w:p w14:paraId="29593F92">
                  <w:pPr>
                    <w:pStyle w:val="28"/>
                    <w:keepNext w:val="0"/>
                    <w:keepLines w:val="0"/>
                    <w:suppressLineNumbers w:val="0"/>
                    <w:spacing w:before="0" w:beforeAutospacing="0" w:after="0" w:afterAutospacing="0"/>
                    <w:ind w:left="0" w:right="0"/>
                    <w:rPr>
                      <w:rFonts w:hint="default"/>
                    </w:rPr>
                  </w:pPr>
                  <w:r>
                    <w:rPr>
                      <w:rFonts w:hint="eastAsia"/>
                    </w:rPr>
                    <w:t>5</w:t>
                  </w:r>
                </w:p>
              </w:tc>
              <w:tc>
                <w:tcPr>
                  <w:tcW w:w="631" w:type="pct"/>
                  <w:vAlign w:val="center"/>
                </w:tcPr>
                <w:p w14:paraId="0E3A55A0">
                  <w:pPr>
                    <w:pStyle w:val="28"/>
                    <w:keepNext w:val="0"/>
                    <w:keepLines w:val="0"/>
                    <w:suppressLineNumbers w:val="0"/>
                    <w:spacing w:before="0" w:beforeAutospacing="0" w:after="0" w:afterAutospacing="0"/>
                    <w:ind w:left="0" w:right="0"/>
                    <w:rPr>
                      <w:rFonts w:hint="default"/>
                    </w:rPr>
                  </w:pPr>
                  <w:r>
                    <w:rPr>
                      <w:rFonts w:hint="eastAsia"/>
                    </w:rPr>
                    <w:t>15</w:t>
                  </w:r>
                </w:p>
              </w:tc>
              <w:tc>
                <w:tcPr>
                  <w:tcW w:w="631" w:type="pct"/>
                  <w:vAlign w:val="center"/>
                </w:tcPr>
                <w:p w14:paraId="7BDEE7B7">
                  <w:pPr>
                    <w:pStyle w:val="28"/>
                    <w:keepNext w:val="0"/>
                    <w:keepLines w:val="0"/>
                    <w:suppressLineNumbers w:val="0"/>
                    <w:spacing w:before="0" w:beforeAutospacing="0" w:after="0" w:afterAutospacing="0"/>
                    <w:ind w:left="0" w:right="0"/>
                    <w:rPr>
                      <w:rFonts w:hint="default"/>
                    </w:rPr>
                  </w:pPr>
                  <w:r>
                    <w:rPr>
                      <w:rFonts w:hint="eastAsia"/>
                    </w:rPr>
                    <w:t>0.5</w:t>
                  </w:r>
                </w:p>
              </w:tc>
              <w:tc>
                <w:tcPr>
                  <w:tcW w:w="631" w:type="pct"/>
                  <w:vAlign w:val="center"/>
                </w:tcPr>
                <w:p w14:paraId="071288E7">
                  <w:pPr>
                    <w:pStyle w:val="28"/>
                    <w:keepNext w:val="0"/>
                    <w:keepLines w:val="0"/>
                    <w:suppressLineNumbers w:val="0"/>
                    <w:spacing w:before="0" w:beforeAutospacing="0" w:after="0" w:afterAutospacing="0"/>
                    <w:ind w:left="0" w:right="0"/>
                    <w:rPr>
                      <w:rFonts w:hint="default"/>
                    </w:rPr>
                  </w:pPr>
                  <w:r>
                    <w:rPr>
                      <w:rFonts w:hint="default"/>
                    </w:rPr>
                    <w:t>10</w:t>
                  </w:r>
                </w:p>
              </w:tc>
              <w:tc>
                <w:tcPr>
                  <w:tcW w:w="631" w:type="pct"/>
                  <w:vAlign w:val="center"/>
                </w:tcPr>
                <w:p w14:paraId="251FD39D">
                  <w:pPr>
                    <w:pStyle w:val="28"/>
                    <w:keepNext w:val="0"/>
                    <w:keepLines w:val="0"/>
                    <w:suppressLineNumbers w:val="0"/>
                    <w:spacing w:before="0" w:beforeAutospacing="0" w:after="0" w:afterAutospacing="0"/>
                    <w:ind w:left="0" w:right="0"/>
                    <w:rPr>
                      <w:rFonts w:hint="default"/>
                    </w:rPr>
                  </w:pPr>
                  <w:r>
                    <w:rPr>
                      <w:rFonts w:hint="default"/>
                    </w:rPr>
                    <w:t>6~9</w:t>
                  </w:r>
                </w:p>
              </w:tc>
            </w:tr>
            <w:tr w14:paraId="6559E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07" w:hRule="atLeast"/>
                <w:jc w:val="center"/>
              </w:trPr>
              <w:tc>
                <w:tcPr>
                  <w:tcW w:w="581" w:type="pct"/>
                  <w:vAlign w:val="center"/>
                </w:tcPr>
                <w:p w14:paraId="2E075BE1">
                  <w:pPr>
                    <w:pStyle w:val="28"/>
                    <w:keepNext w:val="0"/>
                    <w:keepLines w:val="0"/>
                    <w:suppressLineNumbers w:val="0"/>
                    <w:spacing w:before="0" w:beforeAutospacing="0" w:after="0" w:afterAutospacing="0"/>
                    <w:ind w:left="0" w:right="0"/>
                    <w:rPr>
                      <w:rFonts w:hint="default"/>
                    </w:rPr>
                  </w:pPr>
                  <w:r>
                    <w:rPr>
                      <w:rFonts w:hint="default"/>
                    </w:rPr>
                    <w:t>标准来源</w:t>
                  </w:r>
                </w:p>
              </w:tc>
              <w:tc>
                <w:tcPr>
                  <w:tcW w:w="4419" w:type="pct"/>
                  <w:gridSpan w:val="7"/>
                  <w:vAlign w:val="center"/>
                </w:tcPr>
                <w:p w14:paraId="76E2D10D">
                  <w:pPr>
                    <w:pStyle w:val="28"/>
                    <w:keepNext w:val="0"/>
                    <w:keepLines w:val="0"/>
                    <w:suppressLineNumbers w:val="0"/>
                    <w:spacing w:before="0" w:beforeAutospacing="0" w:after="0" w:afterAutospacing="0"/>
                    <w:ind w:left="0" w:right="0"/>
                    <w:rPr>
                      <w:rFonts w:hint="default"/>
                    </w:rPr>
                  </w:pPr>
                  <w:r>
                    <w:rPr>
                      <w:rFonts w:hint="default"/>
                    </w:rPr>
                    <w:t>《城镇污水处理厂污染物排放标准》（</w:t>
                  </w:r>
                  <w:r>
                    <w:rPr>
                      <w:rFonts w:hint="eastAsia"/>
                    </w:rPr>
                    <w:t>GB18918-2002</w:t>
                  </w:r>
                  <w:r>
                    <w:rPr>
                      <w:rFonts w:hint="default"/>
                    </w:rPr>
                    <w:t>）中表1一级A标</w:t>
                  </w:r>
                </w:p>
              </w:tc>
            </w:tr>
          </w:tbl>
          <w:p w14:paraId="5644707F">
            <w:pPr>
              <w:keepNext w:val="0"/>
              <w:keepLines w:val="0"/>
              <w:suppressLineNumbers w:val="0"/>
              <w:tabs>
                <w:tab w:val="left" w:pos="2592"/>
              </w:tabs>
              <w:spacing w:before="0" w:beforeAutospacing="0" w:after="0" w:afterAutospacing="0"/>
              <w:ind w:left="0" w:right="0" w:firstLine="482"/>
              <w:rPr>
                <w:rFonts w:hint="default" w:cs="Times New Roman"/>
                <w:b/>
                <w:bCs/>
                <w:color w:val="auto"/>
              </w:rPr>
            </w:pPr>
            <w:r>
              <w:rPr>
                <w:rFonts w:hint="default" w:cs="Times New Roman"/>
                <w:b/>
                <w:bCs/>
                <w:color w:val="auto"/>
              </w:rPr>
              <w:t>三、噪声</w:t>
            </w:r>
          </w:p>
          <w:p w14:paraId="2B55AFE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施工期执行《建筑施工场界环境噪声排放标准》（GB12523-2011）中的限值标准。有关噪声标准限值见下表。</w:t>
            </w:r>
          </w:p>
          <w:p w14:paraId="6458B600">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建筑施工场界环境噪声排放标准</w:t>
            </w:r>
            <w:r>
              <w:rPr>
                <w:rFonts w:hint="eastAsia" w:cs="Times New Roman"/>
                <w:color w:val="auto"/>
              </w:rPr>
              <w:t>（</w:t>
            </w:r>
            <w:r>
              <w:rPr>
                <w:rFonts w:hint="default" w:cs="Times New Roman"/>
                <w:color w:val="auto"/>
              </w:rPr>
              <w:t>GB12523-2011</w:t>
            </w:r>
            <w:r>
              <w:rPr>
                <w:rFonts w:hint="eastAsia" w:cs="Times New Roman"/>
                <w:color w:val="auto"/>
              </w:rPr>
              <w:t>）</w:t>
            </w:r>
            <w:r>
              <w:rPr>
                <w:rFonts w:hint="default" w:cs="Times New Roman"/>
                <w:color w:val="auto"/>
              </w:rPr>
              <w:t>单位：dB(A)</w:t>
            </w:r>
          </w:p>
          <w:tbl>
            <w:tblPr>
              <w:tblStyle w:val="18"/>
              <w:tblW w:w="73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2150"/>
              <w:gridCol w:w="3072"/>
            </w:tblGrid>
            <w:tr w14:paraId="1DFE6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164" w:type="dxa"/>
                  <w:tcBorders>
                    <w:tl2br w:val="nil"/>
                    <w:tr2bl w:val="nil"/>
                  </w:tcBorders>
                  <w:vAlign w:val="center"/>
                </w:tcPr>
                <w:p w14:paraId="0069FD4E">
                  <w:pPr>
                    <w:pStyle w:val="28"/>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2150" w:type="dxa"/>
                  <w:tcBorders>
                    <w:tl2br w:val="nil"/>
                    <w:tr2bl w:val="nil"/>
                  </w:tcBorders>
                  <w:vAlign w:val="center"/>
                </w:tcPr>
                <w:p w14:paraId="70E48BF5">
                  <w:pPr>
                    <w:pStyle w:val="28"/>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3072" w:type="dxa"/>
                  <w:tcBorders>
                    <w:tl2br w:val="nil"/>
                    <w:tr2bl w:val="nil"/>
                  </w:tcBorders>
                  <w:vAlign w:val="center"/>
                </w:tcPr>
                <w:p w14:paraId="0B53972A">
                  <w:pPr>
                    <w:pStyle w:val="28"/>
                    <w:keepNext w:val="0"/>
                    <w:keepLines w:val="0"/>
                    <w:suppressLineNumbers w:val="0"/>
                    <w:spacing w:before="0" w:beforeAutospacing="0" w:after="0" w:afterAutospacing="0"/>
                    <w:ind w:left="0" w:right="0"/>
                    <w:rPr>
                      <w:rFonts w:hint="default"/>
                      <w:color w:val="auto"/>
                    </w:rPr>
                  </w:pPr>
                  <w:r>
                    <w:rPr>
                      <w:rFonts w:hint="default"/>
                      <w:color w:val="auto"/>
                    </w:rPr>
                    <w:t>标准来源</w:t>
                  </w:r>
                </w:p>
              </w:tc>
            </w:tr>
            <w:tr w14:paraId="63BEB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4" w:type="dxa"/>
                  <w:tcBorders>
                    <w:tl2br w:val="nil"/>
                    <w:tr2bl w:val="nil"/>
                  </w:tcBorders>
                  <w:vAlign w:val="center"/>
                </w:tcPr>
                <w:p w14:paraId="6D44F39F">
                  <w:pPr>
                    <w:pStyle w:val="28"/>
                    <w:keepNext w:val="0"/>
                    <w:keepLines w:val="0"/>
                    <w:suppressLineNumbers w:val="0"/>
                    <w:spacing w:before="0" w:beforeAutospacing="0" w:after="0" w:afterAutospacing="0"/>
                    <w:ind w:left="0" w:right="0"/>
                    <w:rPr>
                      <w:rFonts w:hint="default"/>
                      <w:color w:val="auto"/>
                    </w:rPr>
                  </w:pPr>
                  <w:r>
                    <w:rPr>
                      <w:rFonts w:hint="default"/>
                      <w:color w:val="auto"/>
                    </w:rPr>
                    <w:t>70</w:t>
                  </w:r>
                </w:p>
              </w:tc>
              <w:tc>
                <w:tcPr>
                  <w:tcW w:w="2150" w:type="dxa"/>
                  <w:tcBorders>
                    <w:tl2br w:val="nil"/>
                    <w:tr2bl w:val="nil"/>
                  </w:tcBorders>
                  <w:vAlign w:val="center"/>
                </w:tcPr>
                <w:p w14:paraId="271F51EB">
                  <w:pPr>
                    <w:pStyle w:val="28"/>
                    <w:keepNext w:val="0"/>
                    <w:keepLines w:val="0"/>
                    <w:suppressLineNumbers w:val="0"/>
                    <w:spacing w:before="0" w:beforeAutospacing="0" w:after="0" w:afterAutospacing="0"/>
                    <w:ind w:left="0" w:right="0"/>
                    <w:rPr>
                      <w:rFonts w:hint="default"/>
                      <w:color w:val="auto"/>
                    </w:rPr>
                  </w:pPr>
                  <w:r>
                    <w:rPr>
                      <w:rFonts w:hint="default"/>
                      <w:color w:val="auto"/>
                    </w:rPr>
                    <w:t>55</w:t>
                  </w:r>
                </w:p>
              </w:tc>
              <w:tc>
                <w:tcPr>
                  <w:tcW w:w="3072" w:type="dxa"/>
                  <w:tcBorders>
                    <w:tl2br w:val="nil"/>
                    <w:tr2bl w:val="nil"/>
                  </w:tcBorders>
                  <w:vAlign w:val="center"/>
                </w:tcPr>
                <w:p w14:paraId="01ED2912">
                  <w:pPr>
                    <w:pStyle w:val="28"/>
                    <w:keepNext w:val="0"/>
                    <w:keepLines w:val="0"/>
                    <w:suppressLineNumbers w:val="0"/>
                    <w:spacing w:before="0" w:beforeAutospacing="0" w:after="0" w:afterAutospacing="0"/>
                    <w:ind w:left="0" w:right="0"/>
                    <w:rPr>
                      <w:rFonts w:hint="default"/>
                      <w:color w:val="auto"/>
                    </w:rPr>
                  </w:pPr>
                  <w:r>
                    <w:rPr>
                      <w:rFonts w:hint="default"/>
                      <w:color w:val="auto"/>
                    </w:rPr>
                    <w:t>GB12523-2011</w:t>
                  </w:r>
                </w:p>
              </w:tc>
            </w:tr>
          </w:tbl>
          <w:p w14:paraId="0E1F918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营运期执行《工业企业厂界环境噪声排放标准》（GB12348-2008）的3类标准限值。</w:t>
            </w:r>
          </w:p>
          <w:p w14:paraId="33BA269C">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工业企业厂界环境噪声排放标准（GB12348-2008）单位：dB(A)</w:t>
            </w:r>
          </w:p>
          <w:tbl>
            <w:tblPr>
              <w:tblStyle w:val="18"/>
              <w:tblW w:w="73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2565"/>
              <w:gridCol w:w="2253"/>
            </w:tblGrid>
            <w:tr w14:paraId="3398C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568" w:type="dxa"/>
                  <w:tcBorders>
                    <w:tl2br w:val="nil"/>
                    <w:tr2bl w:val="nil"/>
                  </w:tcBorders>
                  <w:vAlign w:val="center"/>
                </w:tcPr>
                <w:p w14:paraId="21BB1008">
                  <w:pPr>
                    <w:pStyle w:val="28"/>
                    <w:keepNext w:val="0"/>
                    <w:keepLines w:val="0"/>
                    <w:suppressLineNumbers w:val="0"/>
                    <w:spacing w:before="0" w:beforeAutospacing="0" w:after="0" w:afterAutospacing="0"/>
                    <w:ind w:left="0" w:right="0"/>
                    <w:rPr>
                      <w:rFonts w:hint="default"/>
                      <w:color w:val="auto"/>
                    </w:rPr>
                  </w:pPr>
                  <w:r>
                    <w:rPr>
                      <w:rFonts w:hint="default"/>
                      <w:color w:val="auto"/>
                    </w:rPr>
                    <w:t>类别</w:t>
                  </w:r>
                </w:p>
              </w:tc>
              <w:tc>
                <w:tcPr>
                  <w:tcW w:w="2565" w:type="dxa"/>
                  <w:tcBorders>
                    <w:tl2br w:val="nil"/>
                    <w:tr2bl w:val="nil"/>
                  </w:tcBorders>
                  <w:vAlign w:val="center"/>
                </w:tcPr>
                <w:p w14:paraId="1B12F63C">
                  <w:pPr>
                    <w:pStyle w:val="28"/>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2253" w:type="dxa"/>
                  <w:tcBorders>
                    <w:tl2br w:val="nil"/>
                    <w:tr2bl w:val="nil"/>
                  </w:tcBorders>
                  <w:vAlign w:val="center"/>
                </w:tcPr>
                <w:p w14:paraId="4D44CBAF">
                  <w:pPr>
                    <w:pStyle w:val="28"/>
                    <w:keepNext w:val="0"/>
                    <w:keepLines w:val="0"/>
                    <w:suppressLineNumbers w:val="0"/>
                    <w:spacing w:before="0" w:beforeAutospacing="0" w:after="0" w:afterAutospacing="0"/>
                    <w:ind w:left="0" w:right="0"/>
                    <w:rPr>
                      <w:rFonts w:hint="default"/>
                      <w:color w:val="auto"/>
                    </w:rPr>
                  </w:pPr>
                  <w:r>
                    <w:rPr>
                      <w:rFonts w:hint="default"/>
                      <w:color w:val="auto"/>
                    </w:rPr>
                    <w:t>夜间</w:t>
                  </w:r>
                </w:p>
              </w:tc>
            </w:tr>
            <w:tr w14:paraId="6FE98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568" w:type="dxa"/>
                  <w:tcBorders>
                    <w:tl2br w:val="nil"/>
                    <w:tr2bl w:val="nil"/>
                  </w:tcBorders>
                  <w:vAlign w:val="center"/>
                </w:tcPr>
                <w:p w14:paraId="4C7829E6">
                  <w:pPr>
                    <w:pStyle w:val="28"/>
                    <w:keepNext w:val="0"/>
                    <w:keepLines w:val="0"/>
                    <w:suppressLineNumbers w:val="0"/>
                    <w:spacing w:before="0" w:beforeAutospacing="0" w:after="0" w:afterAutospacing="0"/>
                    <w:ind w:left="0" w:right="0"/>
                    <w:rPr>
                      <w:rFonts w:hint="default"/>
                      <w:color w:val="auto"/>
                    </w:rPr>
                  </w:pPr>
                  <w:r>
                    <w:rPr>
                      <w:rFonts w:hint="default"/>
                      <w:color w:val="auto"/>
                    </w:rPr>
                    <w:t>3类</w:t>
                  </w:r>
                </w:p>
              </w:tc>
              <w:tc>
                <w:tcPr>
                  <w:tcW w:w="2565" w:type="dxa"/>
                  <w:tcBorders>
                    <w:tl2br w:val="nil"/>
                    <w:tr2bl w:val="nil"/>
                  </w:tcBorders>
                  <w:vAlign w:val="center"/>
                </w:tcPr>
                <w:p w14:paraId="7733868E">
                  <w:pPr>
                    <w:pStyle w:val="28"/>
                    <w:keepNext w:val="0"/>
                    <w:keepLines w:val="0"/>
                    <w:suppressLineNumbers w:val="0"/>
                    <w:spacing w:before="0" w:beforeAutospacing="0" w:after="0" w:afterAutospacing="0"/>
                    <w:ind w:left="0" w:right="0"/>
                    <w:rPr>
                      <w:rFonts w:hint="default"/>
                      <w:color w:val="auto"/>
                    </w:rPr>
                  </w:pPr>
                  <w:r>
                    <w:rPr>
                      <w:rFonts w:hint="default"/>
                      <w:color w:val="auto"/>
                    </w:rPr>
                    <w:t>65</w:t>
                  </w:r>
                </w:p>
              </w:tc>
              <w:tc>
                <w:tcPr>
                  <w:tcW w:w="2253" w:type="dxa"/>
                  <w:tcBorders>
                    <w:tl2br w:val="nil"/>
                    <w:tr2bl w:val="nil"/>
                  </w:tcBorders>
                  <w:vAlign w:val="center"/>
                </w:tcPr>
                <w:p w14:paraId="2E4FEC86">
                  <w:pPr>
                    <w:pStyle w:val="28"/>
                    <w:keepNext w:val="0"/>
                    <w:keepLines w:val="0"/>
                    <w:suppressLineNumbers w:val="0"/>
                    <w:spacing w:before="0" w:beforeAutospacing="0" w:after="0" w:afterAutospacing="0"/>
                    <w:ind w:left="0" w:right="0"/>
                    <w:rPr>
                      <w:rFonts w:hint="default"/>
                      <w:color w:val="auto"/>
                    </w:rPr>
                  </w:pPr>
                  <w:r>
                    <w:rPr>
                      <w:rFonts w:hint="default"/>
                      <w:color w:val="auto"/>
                    </w:rPr>
                    <w:t>55</w:t>
                  </w:r>
                </w:p>
              </w:tc>
            </w:tr>
          </w:tbl>
          <w:p w14:paraId="5B27D84A">
            <w:pPr>
              <w:keepNext w:val="0"/>
              <w:keepLines w:val="0"/>
              <w:suppressLineNumbers w:val="0"/>
              <w:tabs>
                <w:tab w:val="left" w:pos="2592"/>
              </w:tabs>
              <w:spacing w:before="0" w:beforeAutospacing="0" w:after="0" w:afterAutospacing="0"/>
              <w:ind w:left="0" w:right="0" w:firstLine="482"/>
              <w:rPr>
                <w:rFonts w:hint="default" w:cs="Times New Roman"/>
                <w:b/>
                <w:bCs/>
                <w:color w:val="auto"/>
              </w:rPr>
            </w:pPr>
            <w:r>
              <w:rPr>
                <w:rFonts w:hint="default" w:cs="Times New Roman"/>
                <w:b/>
                <w:bCs/>
                <w:color w:val="auto"/>
              </w:rPr>
              <w:t>四、固废</w:t>
            </w:r>
          </w:p>
          <w:p w14:paraId="49950CA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一般工业固体废物参照执行《一般工业固体废物贮存和填埋污染控制标准》（GB18599-2020）贮存过程应满足相应防渗漏、防雨淋、防扬尘等环境保护要求，危险废物执行《危险废物贮存污染控制标准》（GB18597-2023）。</w:t>
            </w:r>
          </w:p>
        </w:tc>
      </w:tr>
      <w:tr w14:paraId="42EE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7774B28C">
            <w:pPr>
              <w:keepNext w:val="0"/>
              <w:keepLines w:val="0"/>
              <w:suppressLineNumbers w:val="0"/>
              <w:spacing w:before="0" w:beforeAutospacing="0" w:after="0" w:afterAutospacing="0"/>
              <w:ind w:left="0" w:right="0" w:firstLine="0" w:firstLineChars="0"/>
              <w:jc w:val="center"/>
              <w:rPr>
                <w:rFonts w:hint="default" w:cs="Times New Roman"/>
                <w:color w:val="auto"/>
              </w:rPr>
            </w:pPr>
            <w:bookmarkStart w:id="96" w:name="_Hlk82709147"/>
            <w:r>
              <w:rPr>
                <w:rFonts w:hint="default" w:cs="Times New Roman"/>
                <w:color w:val="auto"/>
              </w:rPr>
              <w:t>总量控制标准</w:t>
            </w:r>
          </w:p>
        </w:tc>
        <w:tc>
          <w:tcPr>
            <w:tcW w:w="4548" w:type="pct"/>
            <w:vAlign w:val="center"/>
          </w:tcPr>
          <w:p w14:paraId="3F685E1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国务院《关于印发大气污染防治行动计划的通知》（国发〔2013〕37号）、《关于印发水污染防治行动计划的通知》（国发〔2015〕17号）、国家环保总局《排污许可证试点工作方案》等文件中规定的实施污染物种类与原则，做好评价区总量控制工作。“十四五”总量控制因子只有氮氧化物和VOCs。</w:t>
            </w:r>
          </w:p>
          <w:p w14:paraId="3EE4127D">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1、废水污染物总量控制指标</w:t>
            </w:r>
          </w:p>
          <w:p w14:paraId="1954943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本项目涉及废水污染物总量控制指标为NH</w:t>
            </w:r>
            <w:r>
              <w:rPr>
                <w:rFonts w:hint="default" w:cs="Times New Roman"/>
                <w:color w:val="auto"/>
                <w:vertAlign w:val="subscript"/>
              </w:rPr>
              <w:t>3</w:t>
            </w:r>
            <w:r>
              <w:rPr>
                <w:rFonts w:hint="default" w:cs="Times New Roman"/>
                <w:color w:val="auto"/>
              </w:rPr>
              <w:t>-N与COD。</w:t>
            </w:r>
          </w:p>
          <w:p w14:paraId="44996F6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本项目建成后，本项目进入园区污水管网的废水量为10861.68m</w:t>
            </w:r>
            <w:r>
              <w:rPr>
                <w:rFonts w:hint="default" w:cs="Times New Roman"/>
                <w:color w:val="auto"/>
                <w:vertAlign w:val="superscript"/>
              </w:rPr>
              <w:t>3</w:t>
            </w:r>
            <w:r>
              <w:rPr>
                <w:rFonts w:hint="default" w:cs="Times New Roman"/>
                <w:color w:val="auto"/>
              </w:rPr>
              <w:t>/a，在厂区内处理达</w:t>
            </w:r>
            <w:r>
              <w:rPr>
                <w:rFonts w:hint="default"/>
                <w:color w:val="auto"/>
              </w:rPr>
              <w:t>《</w:t>
            </w:r>
            <w:r>
              <w:rPr>
                <w:rFonts w:hint="eastAsia"/>
                <w:color w:val="auto"/>
              </w:rPr>
              <w:t>四川省化工园区水污染物排放标准</w:t>
            </w:r>
            <w:r>
              <w:rPr>
                <w:rFonts w:hint="default"/>
                <w:color w:val="auto"/>
              </w:rPr>
              <w:t>》（</w:t>
            </w:r>
            <w:r>
              <w:rPr>
                <w:rFonts w:hint="eastAsia"/>
                <w:color w:val="auto"/>
              </w:rPr>
              <w:t>DB51/3202</w:t>
            </w:r>
            <w:r>
              <w:rPr>
                <w:rFonts w:hint="default"/>
                <w:color w:val="auto"/>
              </w:rPr>
              <w:t>-</w:t>
            </w:r>
            <w:r>
              <w:rPr>
                <w:rFonts w:hint="eastAsia"/>
                <w:color w:val="auto"/>
              </w:rPr>
              <w:t>2024</w:t>
            </w:r>
            <w:r>
              <w:rPr>
                <w:rFonts w:hint="default"/>
                <w:color w:val="auto"/>
              </w:rPr>
              <w:t>）</w:t>
            </w:r>
            <w:r>
              <w:rPr>
                <w:rFonts w:hint="eastAsia"/>
                <w:color w:val="auto"/>
              </w:rPr>
              <w:t>表1</w:t>
            </w:r>
            <w:r>
              <w:rPr>
                <w:rFonts w:hint="default"/>
                <w:color w:val="auto"/>
              </w:rPr>
              <w:t>标准</w:t>
            </w:r>
            <w:r>
              <w:rPr>
                <w:rFonts w:hint="default" w:cs="Times New Roman"/>
                <w:color w:val="auto"/>
              </w:rPr>
              <w:t>后，通过</w:t>
            </w:r>
            <w:r>
              <w:rPr>
                <w:rFonts w:hint="eastAsia" w:cs="Times New Roman"/>
                <w:color w:val="auto"/>
              </w:rPr>
              <w:t>园区</w:t>
            </w:r>
            <w:r>
              <w:rPr>
                <w:rFonts w:hint="default" w:cs="Times New Roman"/>
                <w:color w:val="auto"/>
              </w:rPr>
              <w:t>污水管网进入普光工业园区污水处理厂处理达《城镇污水处理厂污染物排放标准》（GB18918-2002）中一级A标后，最终排入后河。</w:t>
            </w:r>
          </w:p>
          <w:p w14:paraId="141482E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（1）企业排口</w:t>
            </w:r>
          </w:p>
          <w:p w14:paraId="5B995FD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项目废水排放量为10861.68m</w:t>
            </w:r>
            <w:r>
              <w:rPr>
                <w:rFonts w:hint="default" w:cs="Times New Roman"/>
                <w:color w:val="auto"/>
                <w:vertAlign w:val="superscript"/>
              </w:rPr>
              <w:t>3</w:t>
            </w:r>
            <w:r>
              <w:rPr>
                <w:rFonts w:hint="default" w:cs="Times New Roman"/>
                <w:color w:val="auto"/>
              </w:rPr>
              <w:t>/a，企业排口废水浓度按</w:t>
            </w:r>
            <w:bookmarkStart w:id="97" w:name="OLE_LINK142"/>
            <w:bookmarkStart w:id="98" w:name="OLE_LINK143"/>
            <w:r>
              <w:rPr>
                <w:rFonts w:hint="default"/>
                <w:color w:val="auto"/>
              </w:rPr>
              <w:t>《</w:t>
            </w:r>
            <w:r>
              <w:rPr>
                <w:rFonts w:hint="eastAsia"/>
                <w:color w:val="auto"/>
              </w:rPr>
              <w:t>四川省化工园区水污染物排放标准</w:t>
            </w:r>
            <w:r>
              <w:rPr>
                <w:rFonts w:hint="default"/>
                <w:color w:val="auto"/>
              </w:rPr>
              <w:t>》（</w:t>
            </w:r>
            <w:r>
              <w:rPr>
                <w:rFonts w:hint="eastAsia"/>
                <w:color w:val="auto"/>
              </w:rPr>
              <w:t>DB51/3202</w:t>
            </w:r>
            <w:r>
              <w:rPr>
                <w:rFonts w:hint="default"/>
                <w:color w:val="auto"/>
              </w:rPr>
              <w:t>-</w:t>
            </w:r>
            <w:r>
              <w:rPr>
                <w:rFonts w:hint="eastAsia"/>
                <w:color w:val="auto"/>
              </w:rPr>
              <w:t>2024</w:t>
            </w:r>
            <w:r>
              <w:rPr>
                <w:rFonts w:hint="default"/>
                <w:color w:val="auto"/>
              </w:rPr>
              <w:t>）</w:t>
            </w:r>
            <w:r>
              <w:rPr>
                <w:rFonts w:hint="eastAsia"/>
                <w:color w:val="auto"/>
              </w:rPr>
              <w:t>表1</w:t>
            </w:r>
            <w:r>
              <w:rPr>
                <w:rFonts w:hint="default"/>
                <w:color w:val="auto"/>
              </w:rPr>
              <w:t>标准</w:t>
            </w:r>
            <w:bookmarkEnd w:id="97"/>
            <w:bookmarkEnd w:id="98"/>
            <w:r>
              <w:rPr>
                <w:rFonts w:hint="eastAsia"/>
                <w:color w:val="auto"/>
              </w:rPr>
              <w:t>（</w:t>
            </w:r>
            <w:r>
              <w:rPr>
                <w:rFonts w:hint="default" w:cs="Times New Roman"/>
                <w:color w:val="auto"/>
              </w:rPr>
              <w:t>COD：500mg/L</w:t>
            </w:r>
            <w:r>
              <w:rPr>
                <w:rFonts w:hint="eastAsia" w:cs="Times New Roman"/>
                <w:color w:val="auto"/>
              </w:rPr>
              <w:t>；</w:t>
            </w:r>
            <w:r>
              <w:rPr>
                <w:rFonts w:hint="default" w:cs="Times New Roman"/>
                <w:color w:val="auto"/>
              </w:rPr>
              <w:t>氨氮45mg/L</w:t>
            </w:r>
            <w:r>
              <w:rPr>
                <w:rFonts w:hint="eastAsia" w:cs="Times New Roman"/>
                <w:color w:val="auto"/>
              </w:rPr>
              <w:t>；</w:t>
            </w:r>
            <w:r>
              <w:rPr>
                <w:rFonts w:hint="default" w:cs="Times New Roman"/>
                <w:color w:val="auto"/>
              </w:rPr>
              <w:t>TP</w:t>
            </w:r>
            <w:r>
              <w:rPr>
                <w:rFonts w:hint="eastAsia" w:cs="Times New Roman"/>
                <w:color w:val="auto"/>
              </w:rPr>
              <w:t>：</w:t>
            </w:r>
            <w:r>
              <w:rPr>
                <w:rFonts w:hint="default" w:cs="Times New Roman"/>
                <w:color w:val="auto"/>
              </w:rPr>
              <w:t>8mg/L</w:t>
            </w:r>
            <w:r>
              <w:rPr>
                <w:rFonts w:hint="eastAsia" w:cs="Times New Roman"/>
                <w:color w:val="auto"/>
              </w:rPr>
              <w:t>）</w:t>
            </w:r>
            <w:r>
              <w:rPr>
                <w:rFonts w:hint="default" w:cs="Times New Roman"/>
                <w:color w:val="auto"/>
              </w:rPr>
              <w:t>，则：</w:t>
            </w:r>
          </w:p>
          <w:p w14:paraId="691358BB">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CODcr：10861.68m</w:t>
            </w:r>
            <w:r>
              <w:rPr>
                <w:rFonts w:hint="default" w:cs="Times New Roman"/>
                <w:color w:val="auto"/>
                <w:vertAlign w:val="superscript"/>
              </w:rPr>
              <w:t>3</w:t>
            </w:r>
            <w:r>
              <w:rPr>
                <w:rFonts w:hint="default" w:cs="Times New Roman"/>
                <w:color w:val="auto"/>
              </w:rPr>
              <w:t>/a×500mg/L×10</w:t>
            </w:r>
            <w:r>
              <w:rPr>
                <w:rFonts w:hint="default" w:cs="Times New Roman"/>
                <w:color w:val="auto"/>
                <w:vertAlign w:val="superscript"/>
              </w:rPr>
              <w:t>-6</w:t>
            </w:r>
            <w:r>
              <w:rPr>
                <w:rFonts w:hint="default" w:cs="Times New Roman"/>
                <w:color w:val="auto"/>
              </w:rPr>
              <w:t>≈5.431t/a</w:t>
            </w:r>
          </w:p>
          <w:p w14:paraId="40734866">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NH</w:t>
            </w:r>
            <w:r>
              <w:rPr>
                <w:rFonts w:hint="default" w:cs="Times New Roman"/>
                <w:color w:val="auto"/>
                <w:vertAlign w:val="subscript"/>
              </w:rPr>
              <w:t>3</w:t>
            </w:r>
            <w:r>
              <w:rPr>
                <w:rFonts w:hint="default" w:cs="Times New Roman"/>
                <w:color w:val="auto"/>
              </w:rPr>
              <w:t>-N：10861.68m</w:t>
            </w:r>
            <w:r>
              <w:rPr>
                <w:rFonts w:hint="default" w:cs="Times New Roman"/>
                <w:color w:val="auto"/>
                <w:vertAlign w:val="superscript"/>
              </w:rPr>
              <w:t>3</w:t>
            </w:r>
            <w:r>
              <w:rPr>
                <w:rFonts w:hint="default" w:cs="Times New Roman"/>
                <w:color w:val="auto"/>
              </w:rPr>
              <w:t>/a×45mg/L×10</w:t>
            </w:r>
            <w:r>
              <w:rPr>
                <w:rFonts w:hint="default" w:cs="Times New Roman"/>
                <w:color w:val="auto"/>
                <w:vertAlign w:val="superscript"/>
              </w:rPr>
              <w:t>-6</w:t>
            </w:r>
            <w:r>
              <w:rPr>
                <w:rFonts w:hint="default" w:cs="Times New Roman"/>
                <w:color w:val="auto"/>
              </w:rPr>
              <w:t>≈0.489t/a</w:t>
            </w:r>
          </w:p>
          <w:p w14:paraId="5D35BD4C">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TP</w:t>
            </w:r>
            <w:r>
              <w:rPr>
                <w:rFonts w:hint="eastAsia" w:cs="Times New Roman"/>
                <w:color w:val="auto"/>
              </w:rPr>
              <w:t>：</w:t>
            </w:r>
            <w:r>
              <w:rPr>
                <w:rFonts w:hint="default" w:cs="Times New Roman"/>
                <w:color w:val="auto"/>
              </w:rPr>
              <w:t>10861.68m</w:t>
            </w:r>
            <w:r>
              <w:rPr>
                <w:rFonts w:hint="default" w:cs="Times New Roman"/>
                <w:color w:val="auto"/>
                <w:vertAlign w:val="superscript"/>
              </w:rPr>
              <w:t>3</w:t>
            </w:r>
            <w:r>
              <w:rPr>
                <w:rFonts w:hint="default" w:cs="Times New Roman"/>
                <w:color w:val="auto"/>
              </w:rPr>
              <w:t>/a×8mg/L×10</w:t>
            </w:r>
            <w:r>
              <w:rPr>
                <w:rFonts w:hint="default" w:cs="Times New Roman"/>
                <w:color w:val="auto"/>
                <w:vertAlign w:val="superscript"/>
              </w:rPr>
              <w:t>-6</w:t>
            </w:r>
            <w:r>
              <w:rPr>
                <w:rFonts w:hint="default" w:cs="Times New Roman"/>
                <w:color w:val="auto"/>
              </w:rPr>
              <w:t>≈0.087t/a</w:t>
            </w:r>
          </w:p>
          <w:p w14:paraId="24780DAA">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（2）</w:t>
            </w:r>
            <w:r>
              <w:rPr>
                <w:rFonts w:hint="eastAsia" w:cs="Times New Roman"/>
                <w:color w:val="auto"/>
                <w:lang w:eastAsia="zh-CN"/>
              </w:rPr>
              <w:t>园区</w:t>
            </w:r>
            <w:r>
              <w:rPr>
                <w:rFonts w:hint="default" w:cs="Times New Roman"/>
                <w:color w:val="auto"/>
              </w:rPr>
              <w:t>污水处理厂排口：</w:t>
            </w:r>
          </w:p>
          <w:p w14:paraId="3FC7FC6C">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污水处理厂排口浓度按《城镇污水处理厂污染物排放标准》（GB18918-2002）中一级A标（COD：50mg/L；氨氮：5mg/L</w:t>
            </w:r>
            <w:r>
              <w:rPr>
                <w:rFonts w:hint="eastAsia" w:cs="Times New Roman"/>
                <w:color w:val="auto"/>
              </w:rPr>
              <w:t>；T</w:t>
            </w:r>
            <w:r>
              <w:rPr>
                <w:rFonts w:hint="default" w:cs="Times New Roman"/>
                <w:color w:val="auto"/>
              </w:rPr>
              <w:t>P</w:t>
            </w:r>
            <w:r>
              <w:rPr>
                <w:rFonts w:hint="eastAsia" w:cs="Times New Roman"/>
                <w:color w:val="auto"/>
              </w:rPr>
              <w:t>：</w:t>
            </w:r>
            <w:r>
              <w:rPr>
                <w:rFonts w:hint="default" w:cs="Times New Roman"/>
                <w:color w:val="auto"/>
              </w:rPr>
              <w:t>0.5mg/L）计算，则</w:t>
            </w:r>
            <w:r>
              <w:rPr>
                <w:rFonts w:hint="eastAsia" w:cs="Times New Roman"/>
                <w:color w:val="auto"/>
              </w:rPr>
              <w:t>：</w:t>
            </w:r>
          </w:p>
          <w:p w14:paraId="7ADCE0CB">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CODcr：10861.68m</w:t>
            </w:r>
            <w:r>
              <w:rPr>
                <w:rFonts w:hint="default" w:cs="Times New Roman"/>
                <w:color w:val="auto"/>
                <w:vertAlign w:val="superscript"/>
              </w:rPr>
              <w:t>3</w:t>
            </w:r>
            <w:r>
              <w:rPr>
                <w:rFonts w:hint="default" w:cs="Times New Roman"/>
                <w:color w:val="auto"/>
              </w:rPr>
              <w:t>/a×50mg/L×10</w:t>
            </w:r>
            <w:r>
              <w:rPr>
                <w:rFonts w:hint="default" w:cs="Times New Roman"/>
                <w:color w:val="auto"/>
                <w:vertAlign w:val="superscript"/>
              </w:rPr>
              <w:t>-6</w:t>
            </w:r>
            <w:r>
              <w:rPr>
                <w:rFonts w:hint="default" w:cs="Times New Roman"/>
                <w:color w:val="auto"/>
              </w:rPr>
              <w:t>≈0.543t/a</w:t>
            </w:r>
          </w:p>
          <w:p w14:paraId="331F106F">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NH</w:t>
            </w:r>
            <w:r>
              <w:rPr>
                <w:rFonts w:hint="default" w:cs="Times New Roman"/>
                <w:color w:val="auto"/>
                <w:vertAlign w:val="subscript"/>
              </w:rPr>
              <w:t>3</w:t>
            </w:r>
            <w:r>
              <w:rPr>
                <w:rFonts w:hint="default" w:cs="Times New Roman"/>
                <w:color w:val="auto"/>
              </w:rPr>
              <w:t>-N：</w:t>
            </w:r>
            <w:bookmarkStart w:id="99" w:name="OLE_LINK114"/>
            <w:bookmarkStart w:id="100" w:name="OLE_LINK115"/>
            <w:r>
              <w:rPr>
                <w:rFonts w:hint="default" w:cs="Times New Roman"/>
                <w:color w:val="auto"/>
              </w:rPr>
              <w:t>10861.68m</w:t>
            </w:r>
            <w:r>
              <w:rPr>
                <w:rFonts w:hint="default" w:cs="Times New Roman"/>
                <w:color w:val="auto"/>
                <w:vertAlign w:val="superscript"/>
              </w:rPr>
              <w:t>3</w:t>
            </w:r>
            <w:r>
              <w:rPr>
                <w:rFonts w:hint="default" w:cs="Times New Roman"/>
                <w:color w:val="auto"/>
              </w:rPr>
              <w:t>/a×5mg/L×10</w:t>
            </w:r>
            <w:r>
              <w:rPr>
                <w:rFonts w:hint="default" w:cs="Times New Roman"/>
                <w:color w:val="auto"/>
                <w:vertAlign w:val="superscript"/>
              </w:rPr>
              <w:t>-6</w:t>
            </w:r>
            <w:r>
              <w:rPr>
                <w:rFonts w:hint="default" w:cs="Times New Roman"/>
                <w:color w:val="auto"/>
              </w:rPr>
              <w:t>≈0.054t/a</w:t>
            </w:r>
            <w:bookmarkEnd w:id="99"/>
            <w:bookmarkEnd w:id="100"/>
          </w:p>
          <w:p w14:paraId="1BF8C809">
            <w:pPr>
              <w:pStyle w:val="59"/>
              <w:keepNext w:val="0"/>
              <w:keepLines w:val="0"/>
              <w:suppressLineNumbers w:val="0"/>
              <w:spacing w:before="0" w:beforeAutospacing="0" w:after="0" w:afterAutospacing="0"/>
              <w:ind w:left="0" w:right="0"/>
              <w:rPr>
                <w:rFonts w:hint="default" w:cs="Times New Roman"/>
                <w:color w:val="auto"/>
              </w:rPr>
            </w:pPr>
            <w:bookmarkStart w:id="101" w:name="OLE_LINK116"/>
            <w:bookmarkStart w:id="102" w:name="OLE_LINK117"/>
            <w:r>
              <w:rPr>
                <w:rFonts w:hint="default" w:cs="Times New Roman"/>
                <w:color w:val="auto"/>
              </w:rPr>
              <w:t>TP</w:t>
            </w:r>
            <w:r>
              <w:rPr>
                <w:rFonts w:hint="eastAsia" w:cs="Times New Roman"/>
                <w:color w:val="auto"/>
              </w:rPr>
              <w:t>：</w:t>
            </w:r>
            <w:r>
              <w:rPr>
                <w:rFonts w:hint="default" w:cs="Times New Roman"/>
                <w:color w:val="auto"/>
              </w:rPr>
              <w:t>10861.68m</w:t>
            </w:r>
            <w:r>
              <w:rPr>
                <w:rFonts w:hint="default" w:cs="Times New Roman"/>
                <w:color w:val="auto"/>
                <w:vertAlign w:val="superscript"/>
              </w:rPr>
              <w:t>3</w:t>
            </w:r>
            <w:r>
              <w:rPr>
                <w:rFonts w:hint="default" w:cs="Times New Roman"/>
                <w:color w:val="auto"/>
              </w:rPr>
              <w:t>/a×0.5mg/L×10</w:t>
            </w:r>
            <w:r>
              <w:rPr>
                <w:rFonts w:hint="default" w:cs="Times New Roman"/>
                <w:color w:val="auto"/>
                <w:vertAlign w:val="superscript"/>
              </w:rPr>
              <w:t>-6</w:t>
            </w:r>
            <w:r>
              <w:rPr>
                <w:rFonts w:hint="default" w:cs="Times New Roman"/>
                <w:color w:val="auto"/>
              </w:rPr>
              <w:t>≈0.005t/a</w:t>
            </w:r>
            <w:bookmarkEnd w:id="101"/>
            <w:bookmarkEnd w:id="102"/>
          </w:p>
          <w:p w14:paraId="799F75F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2、废气污染物总量控制指标</w:t>
            </w:r>
          </w:p>
          <w:p w14:paraId="2718C71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本项目不涉及废气总量控制污染物。</w:t>
            </w:r>
          </w:p>
          <w:p w14:paraId="7B569B0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w:t>
            </w:r>
            <w:r>
              <w:rPr>
                <w:rFonts w:hint="eastAsia" w:cs="Times New Roman"/>
                <w:color w:val="auto"/>
                <w:lang w:eastAsia="zh-CN"/>
              </w:rPr>
              <w:t>不需申请总量指标，仅统计排放量</w:t>
            </w:r>
            <w:r>
              <w:rPr>
                <w:rFonts w:hint="default" w:cs="Times New Roman"/>
                <w:color w:val="auto"/>
              </w:rPr>
              <w:t>如下：</w:t>
            </w:r>
          </w:p>
          <w:p w14:paraId="0E9D9D06">
            <w:pPr>
              <w:pStyle w:val="32"/>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项目污染物总量</w:t>
            </w:r>
            <w:r>
              <w:rPr>
                <w:rFonts w:hint="eastAsia" w:cs="Times New Roman"/>
                <w:color w:val="auto"/>
              </w:rPr>
              <w:t>指标</w:t>
            </w:r>
            <w:r>
              <w:rPr>
                <w:rFonts w:hint="default" w:cs="Times New Roman"/>
                <w:color w:val="auto"/>
              </w:rPr>
              <w:t>一览表（t/a）</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184"/>
              <w:gridCol w:w="1856"/>
              <w:gridCol w:w="2596"/>
            </w:tblGrid>
            <w:tr w14:paraId="1C13B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9" w:type="pct"/>
                  <w:gridSpan w:val="2"/>
                  <w:tcBorders>
                    <w:tl2br w:val="nil"/>
                    <w:tr2bl w:val="nil"/>
                  </w:tcBorders>
                  <w:tcMar>
                    <w:left w:w="28" w:type="dxa"/>
                    <w:right w:w="28" w:type="dxa"/>
                  </w:tcMar>
                  <w:vAlign w:val="center"/>
                </w:tcPr>
                <w:p w14:paraId="7CEADCCF">
                  <w:pPr>
                    <w:pStyle w:val="28"/>
                    <w:keepNext w:val="0"/>
                    <w:keepLines w:val="0"/>
                    <w:suppressLineNumbers w:val="0"/>
                    <w:spacing w:before="0" w:beforeAutospacing="0" w:after="0" w:afterAutospacing="0"/>
                    <w:ind w:left="0" w:right="0"/>
                    <w:rPr>
                      <w:rFonts w:hint="default"/>
                      <w:color w:val="auto"/>
                    </w:rPr>
                  </w:pPr>
                  <w:r>
                    <w:rPr>
                      <w:rFonts w:hint="default"/>
                      <w:color w:val="auto"/>
                    </w:rPr>
                    <w:t>总量控制因子</w:t>
                  </w:r>
                </w:p>
              </w:tc>
              <w:tc>
                <w:tcPr>
                  <w:tcW w:w="1222" w:type="pct"/>
                  <w:tcBorders>
                    <w:tl2br w:val="nil"/>
                    <w:tr2bl w:val="nil"/>
                  </w:tcBorders>
                  <w:shd w:val="clear" w:color="auto" w:fill="auto"/>
                  <w:tcMar>
                    <w:left w:w="28" w:type="dxa"/>
                    <w:right w:w="28" w:type="dxa"/>
                  </w:tcMar>
                  <w:vAlign w:val="center"/>
                </w:tcPr>
                <w:p w14:paraId="142489B8">
                  <w:pPr>
                    <w:pStyle w:val="28"/>
                    <w:keepNext w:val="0"/>
                    <w:keepLines w:val="0"/>
                    <w:suppressLineNumbers w:val="0"/>
                    <w:spacing w:before="0" w:beforeAutospacing="0" w:after="0" w:afterAutospacing="0"/>
                    <w:ind w:left="0" w:right="0"/>
                    <w:rPr>
                      <w:rFonts w:hint="default"/>
                      <w:color w:val="auto"/>
                    </w:rPr>
                  </w:pPr>
                  <w:r>
                    <w:rPr>
                      <w:rFonts w:hint="default"/>
                      <w:color w:val="auto"/>
                    </w:rPr>
                    <w:t>建议控制指标量</w:t>
                  </w:r>
                </w:p>
              </w:tc>
              <w:tc>
                <w:tcPr>
                  <w:tcW w:w="1709" w:type="pct"/>
                  <w:tcBorders>
                    <w:tl2br w:val="nil"/>
                    <w:tr2bl w:val="nil"/>
                  </w:tcBorders>
                  <w:tcMar>
                    <w:left w:w="28" w:type="dxa"/>
                    <w:right w:w="28" w:type="dxa"/>
                  </w:tcMar>
                  <w:vAlign w:val="center"/>
                </w:tcPr>
                <w:p w14:paraId="6A64EF81">
                  <w:pPr>
                    <w:pStyle w:val="28"/>
                    <w:keepNext w:val="0"/>
                    <w:keepLines w:val="0"/>
                    <w:suppressLineNumbers w:val="0"/>
                    <w:spacing w:before="0" w:beforeAutospacing="0" w:after="0" w:afterAutospacing="0"/>
                    <w:ind w:left="0" w:right="0"/>
                    <w:rPr>
                      <w:rFonts w:hint="default"/>
                      <w:color w:val="auto"/>
                    </w:rPr>
                  </w:pPr>
                  <w:r>
                    <w:rPr>
                      <w:rFonts w:hint="default"/>
                      <w:color w:val="auto"/>
                    </w:rPr>
                    <w:t>备注</w:t>
                  </w:r>
                </w:p>
              </w:tc>
            </w:tr>
            <w:tr w14:paraId="3997C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31" w:type="pct"/>
                  <w:vMerge w:val="restart"/>
                  <w:tcBorders>
                    <w:tl2br w:val="nil"/>
                    <w:tr2bl w:val="nil"/>
                  </w:tcBorders>
                  <w:vAlign w:val="center"/>
                </w:tcPr>
                <w:p w14:paraId="69DB29F2">
                  <w:pPr>
                    <w:pStyle w:val="28"/>
                    <w:keepNext w:val="0"/>
                    <w:keepLines w:val="0"/>
                    <w:suppressLineNumbers w:val="0"/>
                    <w:spacing w:before="0" w:beforeAutospacing="0" w:after="0" w:afterAutospacing="0"/>
                    <w:ind w:left="0" w:right="0"/>
                    <w:rPr>
                      <w:rFonts w:hint="default"/>
                      <w:color w:val="auto"/>
                    </w:rPr>
                  </w:pPr>
                  <w:r>
                    <w:rPr>
                      <w:rFonts w:hint="default"/>
                      <w:color w:val="auto"/>
                    </w:rPr>
                    <w:t>废水</w:t>
                  </w:r>
                </w:p>
              </w:tc>
              <w:tc>
                <w:tcPr>
                  <w:tcW w:w="1438" w:type="pct"/>
                  <w:tcBorders>
                    <w:tl2br w:val="nil"/>
                    <w:tr2bl w:val="nil"/>
                  </w:tcBorders>
                  <w:vAlign w:val="center"/>
                </w:tcPr>
                <w:p w14:paraId="07694E7E">
                  <w:pPr>
                    <w:pStyle w:val="28"/>
                    <w:keepNext w:val="0"/>
                    <w:keepLines w:val="0"/>
                    <w:suppressLineNumbers w:val="0"/>
                    <w:spacing w:before="0" w:beforeAutospacing="0" w:after="0" w:afterAutospacing="0"/>
                    <w:ind w:left="0" w:right="0"/>
                    <w:rPr>
                      <w:rFonts w:hint="default"/>
                      <w:color w:val="auto"/>
                    </w:rPr>
                  </w:pPr>
                  <w:r>
                    <w:rPr>
                      <w:rFonts w:hint="default"/>
                      <w:color w:val="auto"/>
                    </w:rPr>
                    <w:t>COD</w:t>
                  </w:r>
                </w:p>
              </w:tc>
              <w:tc>
                <w:tcPr>
                  <w:tcW w:w="1222" w:type="pct"/>
                  <w:tcBorders>
                    <w:tl2br w:val="nil"/>
                    <w:tr2bl w:val="nil"/>
                  </w:tcBorders>
                  <w:shd w:val="clear" w:color="auto" w:fill="auto"/>
                  <w:vAlign w:val="center"/>
                </w:tcPr>
                <w:p w14:paraId="39FFCA43">
                  <w:pPr>
                    <w:pStyle w:val="28"/>
                    <w:keepNext w:val="0"/>
                    <w:keepLines w:val="0"/>
                    <w:suppressLineNumbers w:val="0"/>
                    <w:spacing w:before="0" w:beforeAutospacing="0" w:after="0" w:afterAutospacing="0"/>
                    <w:ind w:left="0" w:right="0"/>
                    <w:rPr>
                      <w:rFonts w:hint="default"/>
                      <w:color w:val="auto"/>
                    </w:rPr>
                  </w:pPr>
                  <w:r>
                    <w:rPr>
                      <w:rFonts w:hint="default"/>
                      <w:color w:val="auto"/>
                    </w:rPr>
                    <w:t>0.543</w:t>
                  </w:r>
                </w:p>
              </w:tc>
              <w:tc>
                <w:tcPr>
                  <w:tcW w:w="1709" w:type="pct"/>
                  <w:vMerge w:val="restart"/>
                  <w:tcBorders>
                    <w:tl2br w:val="nil"/>
                    <w:tr2bl w:val="nil"/>
                  </w:tcBorders>
                  <w:vAlign w:val="center"/>
                </w:tcPr>
                <w:p w14:paraId="752E739E">
                  <w:pPr>
                    <w:pStyle w:val="28"/>
                    <w:keepNext w:val="0"/>
                    <w:keepLines w:val="0"/>
                    <w:suppressLineNumbers w:val="0"/>
                    <w:spacing w:before="0" w:beforeAutospacing="0" w:after="0" w:afterAutospacing="0"/>
                    <w:ind w:left="0" w:right="0"/>
                    <w:rPr>
                      <w:rFonts w:hint="default"/>
                      <w:color w:val="auto"/>
                    </w:rPr>
                  </w:pPr>
                  <w:r>
                    <w:rPr>
                      <w:rFonts w:hint="eastAsia"/>
                      <w:color w:val="auto"/>
                      <w:lang w:eastAsia="zh-CN"/>
                    </w:rPr>
                    <w:t>园区</w:t>
                  </w:r>
                  <w:r>
                    <w:rPr>
                      <w:rFonts w:hint="default"/>
                      <w:color w:val="auto"/>
                    </w:rPr>
                    <w:t>污水处理厂排污口</w:t>
                  </w:r>
                </w:p>
              </w:tc>
            </w:tr>
            <w:tr w14:paraId="7A786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pct"/>
                  <w:vMerge w:val="continue"/>
                  <w:tcBorders>
                    <w:tl2br w:val="nil"/>
                    <w:tr2bl w:val="nil"/>
                  </w:tcBorders>
                  <w:vAlign w:val="center"/>
                </w:tcPr>
                <w:p w14:paraId="3719A68E">
                  <w:pPr>
                    <w:pStyle w:val="28"/>
                    <w:keepNext w:val="0"/>
                    <w:keepLines w:val="0"/>
                    <w:suppressLineNumbers w:val="0"/>
                    <w:spacing w:before="0" w:beforeAutospacing="0" w:after="0" w:afterAutospacing="0"/>
                    <w:ind w:left="0" w:right="0"/>
                    <w:rPr>
                      <w:rFonts w:hint="default"/>
                      <w:color w:val="auto"/>
                    </w:rPr>
                  </w:pPr>
                </w:p>
              </w:tc>
              <w:tc>
                <w:tcPr>
                  <w:tcW w:w="1438" w:type="pct"/>
                  <w:tcBorders>
                    <w:tl2br w:val="nil"/>
                    <w:tr2bl w:val="nil"/>
                  </w:tcBorders>
                  <w:vAlign w:val="center"/>
                </w:tcPr>
                <w:p w14:paraId="23FD9C94">
                  <w:pPr>
                    <w:pStyle w:val="28"/>
                    <w:keepNext w:val="0"/>
                    <w:keepLines w:val="0"/>
                    <w:suppressLineNumbers w:val="0"/>
                    <w:spacing w:before="0" w:beforeAutospacing="0" w:after="0" w:afterAutospacing="0"/>
                    <w:ind w:left="0" w:right="0"/>
                    <w:rPr>
                      <w:rFonts w:hint="default"/>
                      <w:color w:val="auto"/>
                    </w:rPr>
                  </w:pPr>
                  <w:r>
                    <w:rPr>
                      <w:rFonts w:hint="default"/>
                      <w:color w:val="auto"/>
                    </w:rPr>
                    <w:t>NH</w:t>
                  </w:r>
                  <w:r>
                    <w:rPr>
                      <w:rFonts w:hint="default"/>
                      <w:color w:val="auto"/>
                      <w:vertAlign w:val="subscript"/>
                    </w:rPr>
                    <w:t>3</w:t>
                  </w:r>
                  <w:r>
                    <w:rPr>
                      <w:rFonts w:hint="default"/>
                      <w:color w:val="auto"/>
                    </w:rPr>
                    <w:t>-N</w:t>
                  </w:r>
                </w:p>
              </w:tc>
              <w:tc>
                <w:tcPr>
                  <w:tcW w:w="1222" w:type="pct"/>
                  <w:tcBorders>
                    <w:tl2br w:val="nil"/>
                    <w:tr2bl w:val="nil"/>
                  </w:tcBorders>
                  <w:shd w:val="clear" w:color="auto" w:fill="auto"/>
                  <w:vAlign w:val="center"/>
                </w:tcPr>
                <w:p w14:paraId="2B1E070F">
                  <w:pPr>
                    <w:pStyle w:val="28"/>
                    <w:keepNext w:val="0"/>
                    <w:keepLines w:val="0"/>
                    <w:suppressLineNumbers w:val="0"/>
                    <w:spacing w:before="0" w:beforeAutospacing="0" w:after="0" w:afterAutospacing="0"/>
                    <w:ind w:left="0" w:right="0"/>
                    <w:rPr>
                      <w:rFonts w:hint="default"/>
                      <w:color w:val="auto"/>
                    </w:rPr>
                  </w:pPr>
                  <w:r>
                    <w:rPr>
                      <w:rFonts w:hint="default"/>
                      <w:color w:val="auto"/>
                    </w:rPr>
                    <w:t>0.054</w:t>
                  </w:r>
                </w:p>
              </w:tc>
              <w:tc>
                <w:tcPr>
                  <w:tcW w:w="1709" w:type="pct"/>
                  <w:vMerge w:val="continue"/>
                  <w:tcBorders>
                    <w:tl2br w:val="nil"/>
                    <w:tr2bl w:val="nil"/>
                  </w:tcBorders>
                  <w:vAlign w:val="center"/>
                </w:tcPr>
                <w:p w14:paraId="73659FA5">
                  <w:pPr>
                    <w:pStyle w:val="28"/>
                    <w:keepNext w:val="0"/>
                    <w:keepLines w:val="0"/>
                    <w:suppressLineNumbers w:val="0"/>
                    <w:spacing w:before="0" w:beforeAutospacing="0" w:after="0" w:afterAutospacing="0"/>
                    <w:ind w:left="0" w:right="0"/>
                    <w:rPr>
                      <w:rFonts w:hint="default"/>
                      <w:color w:val="auto"/>
                    </w:rPr>
                  </w:pPr>
                </w:p>
              </w:tc>
            </w:tr>
            <w:tr w14:paraId="04AB4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pct"/>
                  <w:vMerge w:val="continue"/>
                  <w:tcBorders>
                    <w:tl2br w:val="nil"/>
                    <w:tr2bl w:val="nil"/>
                  </w:tcBorders>
                  <w:vAlign w:val="center"/>
                </w:tcPr>
                <w:p w14:paraId="31A098B3">
                  <w:pPr>
                    <w:pStyle w:val="28"/>
                    <w:keepNext w:val="0"/>
                    <w:keepLines w:val="0"/>
                    <w:suppressLineNumbers w:val="0"/>
                    <w:spacing w:before="0" w:beforeAutospacing="0" w:after="0" w:afterAutospacing="0"/>
                    <w:ind w:left="0" w:right="0"/>
                    <w:rPr>
                      <w:rFonts w:hint="default"/>
                      <w:color w:val="auto"/>
                    </w:rPr>
                  </w:pPr>
                </w:p>
              </w:tc>
              <w:tc>
                <w:tcPr>
                  <w:tcW w:w="1438" w:type="pct"/>
                  <w:tcBorders>
                    <w:tl2br w:val="nil"/>
                    <w:tr2bl w:val="nil"/>
                  </w:tcBorders>
                  <w:vAlign w:val="center"/>
                </w:tcPr>
                <w:p w14:paraId="1545A515">
                  <w:pPr>
                    <w:pStyle w:val="28"/>
                    <w:keepNext w:val="0"/>
                    <w:keepLines w:val="0"/>
                    <w:suppressLineNumbers w:val="0"/>
                    <w:spacing w:before="0" w:beforeAutospacing="0" w:after="0" w:afterAutospacing="0"/>
                    <w:ind w:left="0" w:right="0"/>
                    <w:rPr>
                      <w:rFonts w:hint="default"/>
                      <w:color w:val="auto"/>
                    </w:rPr>
                  </w:pPr>
                  <w:r>
                    <w:rPr>
                      <w:rFonts w:hint="eastAsia"/>
                      <w:color w:val="auto"/>
                    </w:rPr>
                    <w:t>T</w:t>
                  </w:r>
                  <w:r>
                    <w:rPr>
                      <w:rFonts w:hint="default"/>
                      <w:color w:val="auto"/>
                    </w:rPr>
                    <w:t>P</w:t>
                  </w:r>
                </w:p>
              </w:tc>
              <w:tc>
                <w:tcPr>
                  <w:tcW w:w="1222" w:type="pct"/>
                  <w:tcBorders>
                    <w:tl2br w:val="nil"/>
                    <w:tr2bl w:val="nil"/>
                  </w:tcBorders>
                  <w:shd w:val="clear" w:color="auto" w:fill="auto"/>
                  <w:vAlign w:val="center"/>
                </w:tcPr>
                <w:p w14:paraId="6ED6628E">
                  <w:pPr>
                    <w:pStyle w:val="28"/>
                    <w:keepNext w:val="0"/>
                    <w:keepLines w:val="0"/>
                    <w:suppressLineNumbers w:val="0"/>
                    <w:spacing w:before="0" w:beforeAutospacing="0" w:after="0" w:afterAutospacing="0"/>
                    <w:ind w:left="0" w:right="0"/>
                    <w:rPr>
                      <w:rFonts w:hint="default"/>
                      <w:color w:val="auto"/>
                    </w:rPr>
                  </w:pPr>
                  <w:r>
                    <w:rPr>
                      <w:rFonts w:hint="eastAsia"/>
                      <w:color w:val="auto"/>
                    </w:rPr>
                    <w:t>0</w:t>
                  </w:r>
                  <w:r>
                    <w:rPr>
                      <w:rFonts w:hint="default"/>
                      <w:color w:val="auto"/>
                    </w:rPr>
                    <w:t>.005</w:t>
                  </w:r>
                </w:p>
              </w:tc>
              <w:tc>
                <w:tcPr>
                  <w:tcW w:w="1709" w:type="pct"/>
                  <w:vMerge w:val="continue"/>
                  <w:tcBorders>
                    <w:tl2br w:val="nil"/>
                    <w:tr2bl w:val="nil"/>
                  </w:tcBorders>
                  <w:vAlign w:val="center"/>
                </w:tcPr>
                <w:p w14:paraId="1D993A59">
                  <w:pPr>
                    <w:pStyle w:val="28"/>
                    <w:keepNext w:val="0"/>
                    <w:keepLines w:val="0"/>
                    <w:suppressLineNumbers w:val="0"/>
                    <w:spacing w:before="0" w:beforeAutospacing="0" w:after="0" w:afterAutospacing="0"/>
                    <w:ind w:left="0" w:right="0"/>
                    <w:rPr>
                      <w:rFonts w:hint="default"/>
                      <w:color w:val="auto"/>
                    </w:rPr>
                  </w:pPr>
                </w:p>
              </w:tc>
            </w:tr>
          </w:tbl>
          <w:p w14:paraId="34BE03DF">
            <w:pPr>
              <w:keepNext w:val="0"/>
              <w:keepLines w:val="0"/>
              <w:pageBreakBefore w:val="0"/>
              <w:widowControl w:val="0"/>
              <w:suppressLineNumbers w:val="0"/>
              <w:tabs>
                <w:tab w:val="left" w:pos="420"/>
              </w:tabs>
              <w:kinsoku/>
              <w:wordWrap/>
              <w:overflowPunct/>
              <w:topLinePunct w:val="0"/>
              <w:autoSpaceDE/>
              <w:autoSpaceDN/>
              <w:bidi w:val="0"/>
              <w:adjustRightInd/>
              <w:snapToGrid/>
              <w:spacing w:before="0" w:beforeAutospacing="0" w:after="0" w:afterAutospacing="0" w:line="200" w:lineRule="exact"/>
              <w:ind w:left="0" w:right="0" w:firstLine="0" w:firstLineChars="0"/>
              <w:textAlignment w:val="auto"/>
              <w:rPr>
                <w:rFonts w:hint="default" w:cs="Times New Roman"/>
                <w:color w:val="auto"/>
              </w:rPr>
            </w:pPr>
          </w:p>
          <w:p w14:paraId="5FF09540">
            <w:pPr>
              <w:keepNext w:val="0"/>
              <w:keepLines w:val="0"/>
              <w:pageBreakBefore w:val="0"/>
              <w:widowControl w:val="0"/>
              <w:suppressLineNumbers w:val="0"/>
              <w:tabs>
                <w:tab w:val="left" w:pos="420"/>
              </w:tabs>
              <w:kinsoku/>
              <w:wordWrap/>
              <w:overflowPunct/>
              <w:topLinePunct w:val="0"/>
              <w:autoSpaceDE/>
              <w:autoSpaceDN/>
              <w:bidi w:val="0"/>
              <w:adjustRightInd/>
              <w:snapToGrid/>
              <w:spacing w:before="0" w:beforeAutospacing="0" w:after="0" w:afterAutospacing="0" w:line="200" w:lineRule="exact"/>
              <w:ind w:left="0" w:right="0" w:firstLine="0" w:firstLineChars="0"/>
              <w:textAlignment w:val="auto"/>
              <w:rPr>
                <w:rFonts w:hint="default" w:cs="Times New Roman"/>
                <w:color w:val="auto"/>
              </w:rPr>
            </w:pPr>
          </w:p>
        </w:tc>
      </w:tr>
      <w:bookmarkEnd w:id="96"/>
    </w:tbl>
    <w:p w14:paraId="29C1F110">
      <w:pPr>
        <w:ind w:firstLine="480"/>
        <w:rPr>
          <w:rFonts w:cs="Times New Roman"/>
          <w:color w:val="auto"/>
        </w:rPr>
        <w:sectPr>
          <w:pgSz w:w="11906" w:h="16838"/>
          <w:pgMar w:top="1440" w:right="1797" w:bottom="1440" w:left="1797" w:header="851" w:footer="992" w:gutter="0"/>
          <w:cols w:space="425" w:num="1"/>
          <w:docGrid w:type="lines" w:linePitch="326" w:charSpace="0"/>
        </w:sectPr>
      </w:pPr>
    </w:p>
    <w:p w14:paraId="375509D6">
      <w:pPr>
        <w:pStyle w:val="2"/>
        <w:ind w:firstLine="602"/>
        <w:rPr>
          <w:rFonts w:cs="Times New Roman"/>
          <w:color w:val="auto"/>
          <w:szCs w:val="30"/>
        </w:rPr>
      </w:pPr>
      <w:r>
        <w:rPr>
          <w:rFonts w:cs="Times New Roman"/>
          <w:color w:val="auto"/>
          <w:sz w:val="30"/>
          <w:szCs w:val="30"/>
        </w:rPr>
        <w:t>四、主要环境影响和保护措施</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7762"/>
      </w:tblGrid>
      <w:tr w14:paraId="7942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vAlign w:val="center"/>
          </w:tcPr>
          <w:p w14:paraId="540C6C3D">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施工期环境保护措施</w:t>
            </w:r>
          </w:p>
        </w:tc>
        <w:tc>
          <w:tcPr>
            <w:tcW w:w="4550" w:type="pct"/>
            <w:vAlign w:val="center"/>
          </w:tcPr>
          <w:p w14:paraId="0C670BB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本项目在建设过程中，废水、废气、噪声和固体废弃物等会对周围环境造成一定的影响。</w:t>
            </w:r>
          </w:p>
          <w:p w14:paraId="79D8C551">
            <w:pPr>
              <w:keepNext w:val="0"/>
              <w:keepLines w:val="0"/>
              <w:widowControl/>
              <w:suppressLineNumbers w:val="0"/>
              <w:spacing w:before="0" w:beforeAutospacing="0" w:after="0" w:afterAutospacing="0"/>
              <w:ind w:left="0" w:right="0" w:firstLine="0" w:firstLineChars="0"/>
              <w:jc w:val="left"/>
              <w:rPr>
                <w:rFonts w:hint="default" w:cs="Times New Roman"/>
                <w:b/>
                <w:bCs/>
                <w:color w:val="auto"/>
                <w:kern w:val="0"/>
              </w:rPr>
            </w:pPr>
            <w:r>
              <w:rPr>
                <w:rFonts w:hint="default" w:cs="Times New Roman"/>
                <w:b/>
                <w:bCs/>
                <w:color w:val="auto"/>
                <w:kern w:val="0"/>
              </w:rPr>
              <w:t>一、废气</w:t>
            </w:r>
          </w:p>
          <w:p w14:paraId="58AB753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施工期对大气环境影响主要为施工扬尘、燃油废气和油漆废气。</w:t>
            </w:r>
          </w:p>
          <w:p w14:paraId="1A9022D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（1）施工扬尘</w:t>
            </w:r>
          </w:p>
          <w:p w14:paraId="33057DD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a</w:t>
            </w:r>
            <w:r>
              <w:rPr>
                <w:rFonts w:hint="eastAsia" w:cs="Times New Roman"/>
                <w:color w:val="auto"/>
              </w:rPr>
              <w:t>.</w:t>
            </w:r>
            <w:r>
              <w:rPr>
                <w:rFonts w:hint="default" w:cs="Times New Roman"/>
                <w:color w:val="auto"/>
              </w:rPr>
              <w:t>施工现场架设2m高墙，封闭施工现场，采用密目安全网，以减少结构和装修过程中的粉尘飞扬现象，降低粉尘向大气中的排放；脚手架在拆除前，先将脚手板上的垃圾清理干净，清理时应避免扬尘；</w:t>
            </w:r>
          </w:p>
          <w:p w14:paraId="6762797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b</w:t>
            </w:r>
            <w:r>
              <w:rPr>
                <w:rFonts w:hint="eastAsia" w:cs="Times New Roman"/>
                <w:color w:val="auto"/>
              </w:rPr>
              <w:t>.</w:t>
            </w:r>
            <w:r>
              <w:rPr>
                <w:rFonts w:hint="default" w:cs="Times New Roman"/>
                <w:color w:val="auto"/>
              </w:rPr>
              <w:t>建设工程中，在施工场地出口设置洗车槽，放置防尘垫；在施工场地对施工车辆必须实施限速行驶；运输车辆不允许超载，运输车辆出场时必须使用篷布覆盖，选择对周围环境影响较小的运输路线，并对撒落在路面的渣土及时清除，定期对施工场地地面进行洒水抑尘；</w:t>
            </w:r>
          </w:p>
          <w:p w14:paraId="5E60433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c</w:t>
            </w:r>
            <w:r>
              <w:rPr>
                <w:rFonts w:hint="eastAsia" w:cs="Times New Roman"/>
                <w:color w:val="auto"/>
              </w:rPr>
              <w:t>.</w:t>
            </w:r>
            <w:r>
              <w:rPr>
                <w:rFonts w:hint="default" w:cs="Times New Roman"/>
                <w:color w:val="auto"/>
              </w:rPr>
              <w:t>风速大于3m/s时应停止施工；</w:t>
            </w:r>
          </w:p>
          <w:p w14:paraId="3C693DA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d</w:t>
            </w:r>
            <w:r>
              <w:rPr>
                <w:rFonts w:hint="eastAsia" w:cs="Times New Roman"/>
                <w:color w:val="auto"/>
              </w:rPr>
              <w:t>.</w:t>
            </w:r>
            <w:r>
              <w:rPr>
                <w:rFonts w:hint="default" w:cs="Times New Roman"/>
                <w:color w:val="auto"/>
              </w:rPr>
              <w:t>禁止在风天进行渣土堆放作业，建材堆放地点要相对集中，对堆场以毡布覆盖，裸露地面进行硬化和绿化，减少建材的露天堆放时间；开挖出的土石方应加强围栏，表面用毡布覆盖，并及时将多余弃土外运；</w:t>
            </w:r>
          </w:p>
          <w:p w14:paraId="276EF93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e.全面推行现场标准化管理，需做到“十必须”（</w:t>
            </w:r>
            <w:r>
              <w:rPr>
                <w:rFonts w:hint="eastAsia" w:ascii="宋体" w:hAnsi="宋体" w:cs="宋体"/>
                <w:color w:val="auto"/>
              </w:rPr>
              <w:t>①</w:t>
            </w:r>
            <w:r>
              <w:rPr>
                <w:rFonts w:hint="default" w:cs="Times New Roman"/>
                <w:color w:val="auto"/>
              </w:rPr>
              <w:t>必须规范打围，保持干净整洁、</w:t>
            </w:r>
            <w:r>
              <w:rPr>
                <w:rFonts w:hint="eastAsia" w:ascii="宋体" w:hAnsi="宋体" w:cs="宋体"/>
                <w:color w:val="auto"/>
              </w:rPr>
              <w:t>②</w:t>
            </w:r>
            <w:r>
              <w:rPr>
                <w:rFonts w:hint="default" w:cs="Times New Roman"/>
                <w:color w:val="auto"/>
              </w:rPr>
              <w:t>必须设置出场车辆高压冲洗设施、</w:t>
            </w:r>
            <w:r>
              <w:rPr>
                <w:rFonts w:hint="eastAsia" w:ascii="宋体" w:hAnsi="宋体" w:cs="宋体"/>
                <w:color w:val="auto"/>
              </w:rPr>
              <w:t>③</w:t>
            </w:r>
            <w:r>
              <w:rPr>
                <w:rFonts w:hint="default" w:cs="Times New Roman"/>
                <w:color w:val="auto"/>
              </w:rPr>
              <w:t>必须硬化主要施工道路、出入口、</w:t>
            </w:r>
            <w:r>
              <w:rPr>
                <w:rFonts w:hint="eastAsia" w:ascii="宋体" w:hAnsi="宋体" w:cs="宋体"/>
                <w:color w:val="auto"/>
              </w:rPr>
              <w:t>④</w:t>
            </w:r>
            <w:r>
              <w:rPr>
                <w:rFonts w:hint="default" w:cs="Times New Roman"/>
                <w:color w:val="auto"/>
              </w:rPr>
              <w:t>必须湿法作业、</w:t>
            </w:r>
            <w:r>
              <w:rPr>
                <w:rFonts w:hint="eastAsia" w:ascii="宋体" w:hAnsi="宋体" w:cs="宋体"/>
                <w:color w:val="auto"/>
              </w:rPr>
              <w:t>⑤</w:t>
            </w:r>
            <w:r>
              <w:rPr>
                <w:rFonts w:hint="default" w:cs="Times New Roman"/>
                <w:color w:val="auto"/>
              </w:rPr>
              <w:t>必须及时清运建筑垃圾、</w:t>
            </w:r>
            <w:r>
              <w:rPr>
                <w:rFonts w:hint="eastAsia" w:ascii="宋体" w:hAnsi="宋体" w:cs="宋体"/>
                <w:color w:val="auto"/>
              </w:rPr>
              <w:t>⑥</w:t>
            </w:r>
            <w:r>
              <w:rPr>
                <w:rFonts w:hint="default" w:cs="Times New Roman"/>
                <w:color w:val="auto"/>
              </w:rPr>
              <w:t>必须使用800目密目网覆盖裸土、建渣、</w:t>
            </w:r>
            <w:r>
              <w:rPr>
                <w:rFonts w:hint="eastAsia" w:ascii="宋体" w:hAnsi="宋体" w:cs="宋体"/>
                <w:color w:val="auto"/>
              </w:rPr>
              <w:t>⑦</w:t>
            </w:r>
            <w:r>
              <w:rPr>
                <w:rFonts w:hint="default" w:cs="Times New Roman"/>
                <w:color w:val="auto"/>
              </w:rPr>
              <w:t>必须分类有序堆码施工材料、</w:t>
            </w:r>
            <w:r>
              <w:rPr>
                <w:rFonts w:hint="eastAsia" w:ascii="宋体" w:hAnsi="宋体" w:cs="宋体"/>
                <w:color w:val="auto"/>
              </w:rPr>
              <w:t>⑧</w:t>
            </w:r>
            <w:r>
              <w:rPr>
                <w:rFonts w:hint="default" w:cs="Times New Roman"/>
                <w:color w:val="auto"/>
              </w:rPr>
              <w:t>必须规范张贴非道路移动机械环保标识、</w:t>
            </w:r>
            <w:r>
              <w:rPr>
                <w:rFonts w:hint="eastAsia" w:ascii="宋体" w:hAnsi="宋体" w:cs="宋体"/>
                <w:color w:val="auto"/>
              </w:rPr>
              <w:t>⑨</w:t>
            </w:r>
            <w:r>
              <w:rPr>
                <w:rFonts w:hint="default" w:cs="Times New Roman"/>
                <w:color w:val="auto"/>
              </w:rPr>
              <w:t>必须安装扬尘在线监测设备、</w:t>
            </w:r>
            <w:r>
              <w:rPr>
                <w:rFonts w:hint="eastAsia" w:ascii="宋体" w:hAnsi="宋体" w:cs="宋体"/>
                <w:color w:val="auto"/>
              </w:rPr>
              <w:t>⑩</w:t>
            </w:r>
            <w:r>
              <w:rPr>
                <w:rFonts w:hint="default" w:cs="Times New Roman"/>
                <w:color w:val="auto"/>
              </w:rPr>
              <w:t>必须安装高清视频监控设备）、“十不准”（</w:t>
            </w:r>
            <w:r>
              <w:rPr>
                <w:rFonts w:hint="eastAsia" w:ascii="宋体" w:hAnsi="宋体" w:cs="宋体"/>
                <w:color w:val="auto"/>
              </w:rPr>
              <w:t>①</w:t>
            </w:r>
            <w:r>
              <w:rPr>
                <w:rFonts w:hint="default" w:cs="Times New Roman"/>
                <w:color w:val="auto"/>
              </w:rPr>
              <w:t>不准车辆带泥出门、</w:t>
            </w:r>
            <w:r>
              <w:rPr>
                <w:rFonts w:hint="eastAsia" w:ascii="宋体" w:hAnsi="宋体" w:cs="宋体"/>
                <w:color w:val="auto"/>
              </w:rPr>
              <w:t>②</w:t>
            </w:r>
            <w:r>
              <w:rPr>
                <w:rFonts w:hint="default" w:cs="Times New Roman"/>
                <w:color w:val="auto"/>
              </w:rPr>
              <w:t>不准运渣车辆冒顶装载、</w:t>
            </w:r>
            <w:r>
              <w:rPr>
                <w:rFonts w:hint="eastAsia" w:ascii="宋体" w:hAnsi="宋体" w:cs="宋体"/>
                <w:color w:val="auto"/>
              </w:rPr>
              <w:t>③</w:t>
            </w:r>
            <w:r>
              <w:rPr>
                <w:rFonts w:hint="default" w:cs="Times New Roman"/>
                <w:color w:val="auto"/>
              </w:rPr>
              <w:t>不准使用名录外运渣车、</w:t>
            </w:r>
            <w:r>
              <w:rPr>
                <w:rFonts w:hint="eastAsia" w:ascii="宋体" w:hAnsi="宋体" w:cs="宋体"/>
                <w:color w:val="auto"/>
              </w:rPr>
              <w:t>④</w:t>
            </w:r>
            <w:r>
              <w:rPr>
                <w:rFonts w:hint="default" w:cs="Times New Roman"/>
                <w:color w:val="auto"/>
              </w:rPr>
              <w:t>不准现场搅拌混凝土、砂浆、</w:t>
            </w:r>
            <w:r>
              <w:rPr>
                <w:rFonts w:hint="eastAsia" w:ascii="宋体" w:hAnsi="宋体" w:cs="宋体"/>
                <w:color w:val="auto"/>
              </w:rPr>
              <w:t>⑤</w:t>
            </w:r>
            <w:r>
              <w:rPr>
                <w:rFonts w:hint="default" w:cs="Times New Roman"/>
                <w:color w:val="auto"/>
              </w:rPr>
              <w:t>不准露天切割、</w:t>
            </w:r>
            <w:r>
              <w:rPr>
                <w:rFonts w:hint="eastAsia" w:ascii="宋体" w:hAnsi="宋体" w:cs="宋体"/>
                <w:color w:val="auto"/>
              </w:rPr>
              <w:t>⑥</w:t>
            </w:r>
            <w:r>
              <w:rPr>
                <w:rFonts w:hint="default" w:cs="Times New Roman"/>
                <w:color w:val="auto"/>
              </w:rPr>
              <w:t>不准高处抛洒建筑垃圾、</w:t>
            </w:r>
            <w:r>
              <w:rPr>
                <w:rFonts w:hint="eastAsia" w:ascii="宋体" w:hAnsi="宋体" w:cs="宋体"/>
                <w:color w:val="auto"/>
              </w:rPr>
              <w:t>⑦</w:t>
            </w:r>
            <w:r>
              <w:rPr>
                <w:rFonts w:hint="default" w:cs="Times New Roman"/>
                <w:color w:val="auto"/>
              </w:rPr>
              <w:t>不准场地积水、积泥、积尘、</w:t>
            </w:r>
            <w:r>
              <w:rPr>
                <w:rFonts w:hint="eastAsia" w:ascii="宋体" w:hAnsi="宋体" w:cs="宋体"/>
                <w:color w:val="auto"/>
              </w:rPr>
              <w:t>⑧</w:t>
            </w:r>
            <w:r>
              <w:rPr>
                <w:rFonts w:hint="default" w:cs="Times New Roman"/>
                <w:color w:val="auto"/>
              </w:rPr>
              <w:t>不准焚烧废弃物、</w:t>
            </w:r>
            <w:r>
              <w:rPr>
                <w:rFonts w:hint="eastAsia" w:ascii="宋体" w:hAnsi="宋体" w:cs="宋体"/>
                <w:color w:val="auto"/>
              </w:rPr>
              <w:t>⑨</w:t>
            </w:r>
            <w:r>
              <w:rPr>
                <w:rFonts w:hint="default" w:cs="Times New Roman"/>
                <w:color w:val="auto"/>
              </w:rPr>
              <w:t>不准干扰扬尘监测设备运行、</w:t>
            </w:r>
            <w:r>
              <w:rPr>
                <w:rFonts w:hint="eastAsia" w:ascii="宋体" w:hAnsi="宋体" w:cs="宋体"/>
                <w:color w:val="auto"/>
              </w:rPr>
              <w:t>⑩</w:t>
            </w:r>
            <w:r>
              <w:rPr>
                <w:rFonts w:hint="default" w:cs="Times New Roman"/>
                <w:color w:val="auto"/>
              </w:rPr>
              <w:t>不准干扰视频监控设备），加强对建设工地的监督检查，督促责任单位落实降尘、压尘和抑尘措施。</w:t>
            </w:r>
          </w:p>
          <w:p w14:paraId="417429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同时项目在施工时还应积极贯彻《四川省大气污染防治行动计划实施细则》以及《四川省重污染天气应急预案》（川办发〔2024〕46号）中的有关要求，并在工程开工前15日内向主管部门进行排污申报，并于施工前两天公告附近居民。</w:t>
            </w:r>
          </w:p>
          <w:p w14:paraId="57AF94F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（2）燃油废气</w:t>
            </w:r>
          </w:p>
          <w:p w14:paraId="4AB2D4A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施工期废气主要来源于施工机械和运输车辆产生的燃油废气，其产生量较小，属间断性、分散性排放，由于这一特点，加之施工场地扩散条件良好，对此，本环评要求在施工期内多注意施工设备的维护，使其能够正常地运行，提高设备原料的利用率，不使用劣质燃料。</w:t>
            </w:r>
          </w:p>
          <w:p w14:paraId="65E9F69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（3）油漆废气</w:t>
            </w:r>
          </w:p>
          <w:p w14:paraId="56B54F5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油漆废气主要来自装修阶段，属于无组织排放，本环评要求装修必须选择符合国家标准的合格的环保型油漆和涂料产品，并加强管理，最大限度地防止跑、冒、滴、漏现象发生，减少原材料浪费带来的废气排放；装修过程注意通风，保证空气流通，降低污染物浓度，同时，施工管理人员应督促施工人员戴口罩施工，防止工人吸入有害气体，损失身体健康。</w:t>
            </w:r>
          </w:p>
          <w:p w14:paraId="648D799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综上所述，本项目在采取以上防治措施后，其施工期产生的废气对项目所在地环境影响较小。</w:t>
            </w:r>
          </w:p>
          <w:p w14:paraId="08BB6918">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二、废水</w:t>
            </w:r>
          </w:p>
          <w:p w14:paraId="7DDA814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施工废水主要为施工人员产生的生活污水和施工过程产生的废水。</w:t>
            </w:r>
          </w:p>
          <w:p w14:paraId="4160B8C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（1）施工生产废水</w:t>
            </w:r>
          </w:p>
          <w:p w14:paraId="5BCBC85A">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项目施工废水主要来源于施工区地面冲洗、施工机械设备和车辆冲洗废水，主要含泥砂，并带有少量的油污，悬浮物浓度较高，pH值呈弱碱性。在工程的整个施工期，预计每天产生施工废水10m</w:t>
            </w:r>
            <w:r>
              <w:rPr>
                <w:rFonts w:hint="default" w:cs="Times New Roman"/>
                <w:color w:val="auto"/>
                <w:vertAlign w:val="superscript"/>
              </w:rPr>
              <w:t>3</w:t>
            </w:r>
            <w:r>
              <w:rPr>
                <w:rFonts w:hint="default" w:cs="Times New Roman"/>
                <w:color w:val="auto"/>
              </w:rPr>
              <w:t>，其中废水中主要以SS污染为主，其浓度值为400～1000mg/L。施工区修建10m</w:t>
            </w:r>
            <w:r>
              <w:rPr>
                <w:rFonts w:hint="default" w:cs="Times New Roman"/>
                <w:color w:val="auto"/>
                <w:vertAlign w:val="superscript"/>
              </w:rPr>
              <w:t>3</w:t>
            </w:r>
            <w:r>
              <w:rPr>
                <w:rFonts w:hint="default" w:cs="Times New Roman"/>
                <w:color w:val="auto"/>
              </w:rPr>
              <w:t>临时隔油池和沉淀池，地面冲洗、施工机械和车辆清洗所产生的含油废水全部收集至沉淀池中，经隔油、沉淀处理后用于厂区地面冲洗、施工机械和车辆清洗，全部回收利用，不外排。</w:t>
            </w:r>
          </w:p>
          <w:p w14:paraId="2A7296F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根据项目特点，经类比分析，预计施工废水产生量为10m</w:t>
            </w:r>
            <w:r>
              <w:rPr>
                <w:rFonts w:hint="default" w:cs="Times New Roman"/>
                <w:color w:val="auto"/>
                <w:vertAlign w:val="superscript"/>
              </w:rPr>
              <w:t>3</w:t>
            </w:r>
            <w:r>
              <w:rPr>
                <w:rFonts w:hint="default" w:cs="Times New Roman"/>
                <w:color w:val="auto"/>
              </w:rPr>
              <w:t>/d。施工废水经场区设置的1座10m</w:t>
            </w:r>
            <w:r>
              <w:rPr>
                <w:rFonts w:hint="default" w:cs="Times New Roman"/>
                <w:color w:val="auto"/>
                <w:vertAlign w:val="superscript"/>
              </w:rPr>
              <w:t>3</w:t>
            </w:r>
            <w:r>
              <w:rPr>
                <w:rFonts w:hint="default" w:cs="Times New Roman"/>
                <w:color w:val="auto"/>
              </w:rPr>
              <w:t>临时隔油沉淀池和沉淀池处理后用于场地洒水降尘不外排，油污统一收集交由有资质单位统一处理。</w:t>
            </w:r>
          </w:p>
          <w:p w14:paraId="5E10588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（2）生活污水</w:t>
            </w:r>
          </w:p>
          <w:p w14:paraId="39672ED6">
            <w:pPr>
              <w:pStyle w:val="59"/>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按施工期高峰人数60人计，施工人员生活用水按0.1m</w:t>
            </w:r>
            <w:r>
              <w:rPr>
                <w:rFonts w:hint="default" w:cs="Times New Roman"/>
                <w:color w:val="auto"/>
                <w:vertAlign w:val="superscript"/>
              </w:rPr>
              <w:t>3</w:t>
            </w:r>
            <w:r>
              <w:rPr>
                <w:rFonts w:hint="default" w:cs="Times New Roman"/>
                <w:color w:val="auto"/>
              </w:rPr>
              <w:t>/人•d计，污水排放系数取0.8，则高峰期生活污水产生量约4.8m</w:t>
            </w:r>
            <w:r>
              <w:rPr>
                <w:rFonts w:hint="default" w:cs="Times New Roman"/>
                <w:color w:val="auto"/>
                <w:vertAlign w:val="superscript"/>
              </w:rPr>
              <w:t>3</w:t>
            </w:r>
            <w:r>
              <w:rPr>
                <w:rFonts w:hint="default" w:cs="Times New Roman"/>
                <w:color w:val="auto"/>
              </w:rPr>
              <w:t>/d，施工人员生活污水中主要含COD、BOD</w:t>
            </w:r>
            <w:r>
              <w:rPr>
                <w:rFonts w:hint="default" w:cs="Times New Roman"/>
                <w:color w:val="auto"/>
                <w:vertAlign w:val="subscript"/>
              </w:rPr>
              <w:t>5</w:t>
            </w:r>
            <w:r>
              <w:rPr>
                <w:rFonts w:hint="default" w:cs="Times New Roman"/>
                <w:color w:val="auto"/>
              </w:rPr>
              <w:t>、NH</w:t>
            </w:r>
            <w:r>
              <w:rPr>
                <w:rFonts w:hint="default" w:cs="Times New Roman"/>
                <w:color w:val="auto"/>
                <w:vertAlign w:val="subscript"/>
              </w:rPr>
              <w:t>3</w:t>
            </w:r>
            <w:r>
              <w:rPr>
                <w:rFonts w:hint="default" w:cs="Times New Roman"/>
                <w:color w:val="auto"/>
              </w:rPr>
              <w:t>-N、SS等。项目设置施工营地，施工人员产生的生活污水经施工营地预处理池处理后，经</w:t>
            </w:r>
            <w:r>
              <w:rPr>
                <w:rFonts w:hint="eastAsia" w:cs="Times New Roman"/>
                <w:color w:val="auto"/>
              </w:rPr>
              <w:t>园区</w:t>
            </w:r>
            <w:r>
              <w:rPr>
                <w:rFonts w:hint="default" w:cs="Times New Roman"/>
                <w:color w:val="auto"/>
              </w:rPr>
              <w:t>污水管网进入普光工业园区污水处理厂。</w:t>
            </w:r>
          </w:p>
          <w:p w14:paraId="3FE61148">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三、噪声</w:t>
            </w:r>
          </w:p>
          <w:p w14:paraId="1511CA29">
            <w:pPr>
              <w:keepNext w:val="0"/>
              <w:keepLines w:val="0"/>
              <w:suppressLineNumbers w:val="0"/>
              <w:autoSpaceDE w:val="0"/>
              <w:autoSpaceDN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噪声主要来自施工机械，如挖土机、装载机、电焊机等，其噪声值在75~110dB之间。</w:t>
            </w:r>
          </w:p>
          <w:p w14:paraId="7835B22B">
            <w:pPr>
              <w:keepNext w:val="0"/>
              <w:keepLines w:val="0"/>
              <w:suppressLineNumbers w:val="0"/>
              <w:autoSpaceDE w:val="0"/>
              <w:autoSpaceDN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本项目采取以下治理措噪声措施：</w:t>
            </w:r>
          </w:p>
          <w:p w14:paraId="27405AE3">
            <w:pPr>
              <w:keepNext w:val="0"/>
              <w:keepLines w:val="0"/>
              <w:suppressLineNumbers w:val="0"/>
              <w:autoSpaceDE w:val="0"/>
              <w:autoSpaceDN w:val="0"/>
              <w:spacing w:before="0" w:beforeAutospacing="0" w:after="0" w:afterAutospacing="0"/>
              <w:ind w:left="0" w:right="0" w:firstLine="480"/>
              <w:rPr>
                <w:rFonts w:hint="default"/>
              </w:rPr>
            </w:pPr>
            <w:r>
              <w:rPr>
                <w:rFonts w:hint="default"/>
              </w:rPr>
              <w:t>（1）在施工开始前，建设单位必须进行施工公示，让施工场地周围声敏感对象对工程有所了解，明白工程施工对他们的影响是暂时的，以得到他们的理解和支持；</w:t>
            </w:r>
          </w:p>
          <w:p w14:paraId="6A6D1C5F">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（2）在施工机械上尽可能采用先进、低噪声设备和施工机械，固定设备应尽量设置在施工工棚内、固定设备安装减振垫，同时定期维护和保养设备，使其处于良好的运行状态；</w:t>
            </w:r>
          </w:p>
          <w:p w14:paraId="79B9CD66">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3）优化施工平面布置，合理布设施工机械和运输车辆，避免噪声源过于集中，以降低复合噪声级；优化施工运输路线，施工车辆的运行线路尽量避开噪声敏感区域，材料运输车辆进入场地需安排专人指挥，材料装卸采用人工传递，严禁抛掷或汽车一次性下料，严禁夜间装卸材料；</w:t>
            </w:r>
          </w:p>
          <w:p w14:paraId="6227B8EB">
            <w:pPr>
              <w:keepNext w:val="0"/>
              <w:keepLines w:val="0"/>
              <w:suppressLineNumbers w:val="0"/>
              <w:autoSpaceDE w:val="0"/>
              <w:autoSpaceDN w:val="0"/>
              <w:spacing w:before="0" w:beforeAutospacing="0" w:after="0" w:afterAutospacing="0"/>
              <w:ind w:left="0" w:right="0" w:firstLine="480"/>
              <w:rPr>
                <w:rFonts w:hint="default"/>
              </w:rPr>
            </w:pPr>
            <w:r>
              <w:rPr>
                <w:rFonts w:hint="default"/>
              </w:rPr>
              <w:t>（4）在施工场地周围要设置施工围挡，高度大于2.0m，既充当了隔声屏障又保证了周围居民的安全；必要时设置相应的警示标识；</w:t>
            </w:r>
          </w:p>
          <w:p w14:paraId="16CF466B">
            <w:pPr>
              <w:keepNext w:val="0"/>
              <w:keepLines w:val="0"/>
              <w:suppressLineNumbers w:val="0"/>
              <w:autoSpaceDE w:val="0"/>
              <w:autoSpaceDN w:val="0"/>
              <w:spacing w:before="0" w:beforeAutospacing="0" w:after="0" w:afterAutospacing="0"/>
              <w:ind w:left="0" w:right="0" w:firstLine="480"/>
              <w:rPr>
                <w:rFonts w:hint="eastAsia" w:cs="Times New Roman"/>
                <w:snapToGrid w:val="0"/>
                <w:color w:val="auto"/>
              </w:rPr>
            </w:pPr>
            <w:r>
              <w:rPr>
                <w:rFonts w:hint="default"/>
              </w:rPr>
              <w:t>（5）合理安排工序，避免多种高噪声设备同时施工；</w:t>
            </w:r>
          </w:p>
          <w:p w14:paraId="46E1B483">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（6）应注意合理安排施工物料的运输时间。在途经路段附近有城镇居民点和学校路段，应减速慢行、禁止鸣笛；</w:t>
            </w:r>
          </w:p>
          <w:p w14:paraId="6EEFCD6E">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（7）建设单位应加强对施工场地的噪声管理，施工企业也应加强自律，文明施工， 避免因施工噪声产生纠纷；</w:t>
            </w:r>
          </w:p>
          <w:p w14:paraId="1531EF20">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（8）合理布置高噪声机械的位置，固定地点施工机械操作场地尽量设置在西南侧居民较远一侧，减小对项目西南侧的居民的影响；</w:t>
            </w:r>
          </w:p>
          <w:p w14:paraId="3AB422B2">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（9）加强施工人员的管理和教育，施工中减少不必要的金属敲击声，文明施工。装卸、搬运钢管、模板等严禁抛掷。</w:t>
            </w:r>
          </w:p>
          <w:p w14:paraId="1157B26A">
            <w:pPr>
              <w:pStyle w:val="60"/>
              <w:widowControl/>
              <w:suppressLineNumbers w:val="0"/>
              <w:spacing w:before="0" w:beforeLines="0" w:beforeAutospacing="0" w:after="0" w:afterLines="0" w:afterAutospacing="0"/>
              <w:ind w:left="0" w:right="0" w:firstLine="480"/>
              <w:rPr>
                <w:rFonts w:hint="default" w:ascii="Times New Roman" w:hAnsi="Times New Roman"/>
                <w:kern w:val="2"/>
              </w:rPr>
            </w:pPr>
            <w:r>
              <w:rPr>
                <w:rFonts w:hint="default" w:ascii="Times New Roman" w:hAnsi="Times New Roman"/>
                <w:kern w:val="2"/>
              </w:rPr>
              <w:t>（10）施工现场施工单位认真执行《建筑施工场界环境噪声排放标准》（GB12523-2011）中的各项规定，根据建设项目所在地区的环境特点，高噪声机械在白天使用，合理安排作业时间，避免强噪声机械持续作业，无法避免的高噪声、高振动作业，均在白天施工，避免午间（12:00~14:00）施工，禁止在夜间（22:00~6:00）施工。确因生产工艺需要必须连续施工的，必须取得有关监督部门的批准，向周围民众公告、取得住户谅解后方可施工，防止扰民事件发生。但同时也应考虑周边居民的承受能力，连续施工时间不宜太长。中、高考期间禁止施工作业，严禁扰民和影响考生的正常学习及休息。运输车辆应尽量绕避居民密集区；无法绕避的，应严格落实禁鸣喇叭的规定。</w:t>
            </w:r>
          </w:p>
          <w:p w14:paraId="7C7F7FE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通过采取以上措施，可最大限度地减少施工噪声对周围环境的影响，施工厂界噪声可满足《建筑施工场界环境噪声排放标准》（GB12523-2011）。</w:t>
            </w:r>
          </w:p>
          <w:p w14:paraId="15CE563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四、固体废物</w:t>
            </w:r>
          </w:p>
          <w:p w14:paraId="19C318D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（1）土石方</w:t>
            </w:r>
          </w:p>
          <w:p w14:paraId="655147D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本项目场地内地坪已由园区统一平整，项目场地土石方可做到挖填平衡，无弃土产生。</w:t>
            </w:r>
          </w:p>
          <w:p w14:paraId="47497447">
            <w:pPr>
              <w:keepNext w:val="0"/>
              <w:keepLines w:val="0"/>
              <w:suppressLineNumbers w:val="0"/>
              <w:autoSpaceDE w:val="0"/>
              <w:autoSpaceDN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环评要求：建设单位应在施工现场设置土石方临时堆场，并树立标示牌，临时堆场布置于基坑内。施工过程中应控制临时堆场占地面积和堆放量，开挖土石方须覆盖薄膜，并及时运至指定堆放场地，并在临时堆场周围设置导流明渠，将雨水引至沉淀池处理后回用。严禁土石方倾倒至项目周边地表水体内。</w:t>
            </w:r>
          </w:p>
          <w:p w14:paraId="307F871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snapToGrid w:val="0"/>
                <w:color w:val="auto"/>
              </w:rPr>
              <w:t>同时本项目废弃土石方在外运过程中应按照《城市建筑垃圾管理规定》中要求对运输的车辆进行规范管理，严格实行密闭运输，达到密闭运输要求，对洒漏的渣土及时进行湿法清扫。同时加强土方运输过程中的管理。在开挖的同时，尽可能短的时间内完成开挖、排管、回填工作。</w:t>
            </w:r>
          </w:p>
          <w:p w14:paraId="0EC2A7C4">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（2）</w:t>
            </w:r>
            <w:r>
              <w:rPr>
                <w:rFonts w:hint="default" w:cs="Times New Roman"/>
                <w:color w:val="auto"/>
              </w:rPr>
              <w:t>建筑垃圾</w:t>
            </w:r>
          </w:p>
          <w:p w14:paraId="56F8B85D">
            <w:pPr>
              <w:keepNext w:val="0"/>
              <w:keepLines w:val="0"/>
              <w:suppressLineNumbers w:val="0"/>
              <w:autoSpaceDE w:val="0"/>
              <w:autoSpaceDN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环评要求：建设单位应在施工现场设置建筑垃圾临时堆场，并树立标示牌，临时堆场布置于施工场地。对于施工期间产生的可回收利用的废料（如钢筋、钢板、木材等下脚料）通过分类收集后交废物收购站处理；对不能回收的建筑垃圾（如混凝土废料、含砖、石、砂的杂土等）应及时清运至政府部门指定的建筑垃圾堆放场所。同时，为确保建筑垃圾处置措施落实，建设单位或施工总承包单位在与建筑垃圾清运公司签订运输合同时，应要求承包公司提供废弃物去向的证明材料，严禁随意倾倒、填埋，不得出现超载、撒漏、不到指定地点卸货等现象。严禁建筑垃圾倾倒至项目周边地表水体内。</w:t>
            </w:r>
          </w:p>
          <w:p w14:paraId="790EEB6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snapToGrid w:val="0"/>
                <w:color w:val="auto"/>
              </w:rPr>
              <w:t>在主体工程完工后，进行室内装修阶段，将会使用大量的乳胶漆等，因此装修过程中将会产生大量的漆桶，本次评价要求在装修阶段，收集至本项目新建危废暂存间进行收集暂存</w:t>
            </w:r>
            <w:r>
              <w:rPr>
                <w:rFonts w:hint="default" w:cs="Times New Roman"/>
                <w:color w:val="auto"/>
              </w:rPr>
              <w:t>，</w:t>
            </w:r>
            <w:r>
              <w:rPr>
                <w:rFonts w:hint="default" w:cs="Times New Roman"/>
                <w:snapToGrid w:val="0"/>
                <w:color w:val="auto"/>
              </w:rPr>
              <w:t>委托有资质的单位进行处置。</w:t>
            </w:r>
          </w:p>
          <w:p w14:paraId="649D5A4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（3）生活垃圾</w:t>
            </w:r>
          </w:p>
          <w:p w14:paraId="1D4B264C">
            <w:pPr>
              <w:keepNext w:val="0"/>
              <w:keepLines w:val="0"/>
              <w:suppressLineNumbers w:val="0"/>
              <w:autoSpaceDE w:val="0"/>
              <w:autoSpaceDN w:val="0"/>
              <w:spacing w:before="0" w:beforeAutospacing="0" w:after="0" w:afterAutospacing="0"/>
              <w:ind w:left="0" w:right="0" w:firstLine="480"/>
              <w:rPr>
                <w:rFonts w:hint="default" w:cs="Times New Roman"/>
                <w:color w:val="auto"/>
              </w:rPr>
            </w:pPr>
            <w:r>
              <w:rPr>
                <w:rFonts w:hint="default" w:cs="Times New Roman"/>
                <w:color w:val="auto"/>
              </w:rPr>
              <w:t>本项目施工期间施工人数为60人，施工人员平均产生垃圾量按0.5kg/（人·日）计，在施工高峰期生活垃圾日产生量为30kg。</w:t>
            </w:r>
          </w:p>
          <w:p w14:paraId="2D40362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snapToGrid w:val="0"/>
                <w:color w:val="auto"/>
              </w:rPr>
              <w:t>在本项目施工生活区设置加盖垃圾桶收集。生活垃圾经袋装收集后，由环卫部门统一运送到垃圾处理厂集中处理，严禁就地填埋或焚烧，以避免对区域环境空气和水环境质量构成潜在的影响。</w:t>
            </w:r>
          </w:p>
          <w:p w14:paraId="622043F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（4）废水处理设施沉渣</w:t>
            </w:r>
          </w:p>
          <w:p w14:paraId="50B4B836">
            <w:pPr>
              <w:keepNext w:val="0"/>
              <w:keepLines w:val="0"/>
              <w:suppressLineNumbers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项目生活污水预处理池产生的污泥定期清掏，并交由环卫部门进行清运。隔油沉淀池污泥定期进行打捞后连同土石方一并运至指定弃土场堆放。</w:t>
            </w:r>
          </w:p>
          <w:p w14:paraId="1973643D">
            <w:pPr>
              <w:keepNext w:val="0"/>
              <w:keepLines w:val="0"/>
              <w:suppressLineNumbers w:val="0"/>
              <w:spacing w:before="0" w:beforeAutospacing="0" w:after="0" w:afterAutospacing="0"/>
              <w:ind w:left="0" w:right="0" w:firstLine="480"/>
              <w:rPr>
                <w:rFonts w:hint="default" w:cs="Times New Roman"/>
                <w:snapToGrid w:val="0"/>
                <w:color w:val="auto"/>
              </w:rPr>
            </w:pPr>
            <w:r>
              <w:rPr>
                <w:rFonts w:hint="default" w:cs="Times New Roman"/>
                <w:snapToGrid w:val="0"/>
                <w:color w:val="auto"/>
              </w:rPr>
              <w:t>隔油沉淀池产生的隔油渣定期打捞进行桶装后暂存在本项目新建危废暂存间，定期委托有资质的单位进行处置。</w:t>
            </w:r>
          </w:p>
          <w:p w14:paraId="14BFD81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snapToGrid w:val="0"/>
                <w:color w:val="auto"/>
              </w:rPr>
              <w:t>综上所述，项目施工期在严格落实本环评提出的上述措施后，其施工期产生的各种污染可以得到大大降低，施工期对环境影响可接受。</w:t>
            </w:r>
          </w:p>
          <w:p w14:paraId="3A9BBA59">
            <w:pPr>
              <w:keepNext w:val="0"/>
              <w:keepLines w:val="0"/>
              <w:suppressLineNumbers w:val="0"/>
              <w:spacing w:before="0" w:beforeAutospacing="0" w:after="0" w:afterAutospacing="0"/>
              <w:ind w:left="0" w:right="0" w:firstLine="480"/>
              <w:rPr>
                <w:rFonts w:hint="default" w:cs="Times New Roman"/>
                <w:color w:val="auto"/>
              </w:rPr>
            </w:pPr>
          </w:p>
          <w:p w14:paraId="0561A4AB">
            <w:pPr>
              <w:keepNext w:val="0"/>
              <w:keepLines w:val="0"/>
              <w:suppressLineNumbers w:val="0"/>
              <w:spacing w:before="0" w:beforeAutospacing="0" w:after="0" w:afterAutospacing="0"/>
              <w:ind w:left="0" w:right="0" w:firstLine="480"/>
              <w:rPr>
                <w:rFonts w:hint="default" w:cs="Times New Roman"/>
                <w:color w:val="auto"/>
              </w:rPr>
            </w:pPr>
          </w:p>
          <w:p w14:paraId="0DF0C18A">
            <w:pPr>
              <w:keepNext w:val="0"/>
              <w:keepLines w:val="0"/>
              <w:suppressLineNumbers w:val="0"/>
              <w:spacing w:before="0" w:beforeAutospacing="0" w:after="0" w:afterAutospacing="0"/>
              <w:ind w:left="0" w:right="0" w:firstLine="480"/>
              <w:rPr>
                <w:rFonts w:hint="default" w:cs="Times New Roman"/>
                <w:color w:val="auto"/>
              </w:rPr>
            </w:pPr>
          </w:p>
          <w:p w14:paraId="07A91DB4">
            <w:pPr>
              <w:keepNext w:val="0"/>
              <w:keepLines w:val="0"/>
              <w:suppressLineNumbers w:val="0"/>
              <w:spacing w:before="0" w:beforeAutospacing="0" w:after="0" w:afterAutospacing="0"/>
              <w:ind w:left="0" w:right="0" w:firstLine="480"/>
              <w:rPr>
                <w:rFonts w:hint="default" w:cs="Times New Roman"/>
                <w:color w:val="auto"/>
              </w:rPr>
            </w:pPr>
          </w:p>
          <w:p w14:paraId="2A911B5B">
            <w:pPr>
              <w:keepNext w:val="0"/>
              <w:keepLines w:val="0"/>
              <w:suppressLineNumbers w:val="0"/>
              <w:spacing w:before="0" w:beforeAutospacing="0" w:after="0" w:afterAutospacing="0"/>
              <w:ind w:left="0" w:right="0" w:firstLine="480"/>
              <w:rPr>
                <w:rFonts w:hint="default" w:cs="Times New Roman"/>
                <w:color w:val="auto"/>
              </w:rPr>
            </w:pPr>
          </w:p>
          <w:p w14:paraId="3AC2061D">
            <w:pPr>
              <w:keepNext w:val="0"/>
              <w:keepLines w:val="0"/>
              <w:suppressLineNumbers w:val="0"/>
              <w:spacing w:before="0" w:beforeAutospacing="0" w:after="0" w:afterAutospacing="0"/>
              <w:ind w:left="0" w:right="0" w:firstLine="480"/>
              <w:rPr>
                <w:rFonts w:hint="default" w:cs="Times New Roman"/>
                <w:color w:val="auto"/>
              </w:rPr>
            </w:pPr>
          </w:p>
          <w:p w14:paraId="38EEAB61">
            <w:pPr>
              <w:keepNext w:val="0"/>
              <w:keepLines w:val="0"/>
              <w:suppressLineNumbers w:val="0"/>
              <w:spacing w:before="0" w:beforeAutospacing="0" w:after="0" w:afterAutospacing="0"/>
              <w:ind w:left="0" w:right="0" w:firstLine="480"/>
              <w:rPr>
                <w:rFonts w:hint="default" w:cs="Times New Roman"/>
                <w:color w:val="auto"/>
              </w:rPr>
            </w:pPr>
          </w:p>
          <w:p w14:paraId="37AC6B98">
            <w:pPr>
              <w:keepNext w:val="0"/>
              <w:keepLines w:val="0"/>
              <w:suppressLineNumbers w:val="0"/>
              <w:spacing w:before="0" w:beforeAutospacing="0" w:after="0" w:afterAutospacing="0"/>
              <w:ind w:left="0" w:right="0" w:firstLine="480"/>
              <w:rPr>
                <w:rFonts w:hint="default" w:cs="Times New Roman"/>
                <w:color w:val="auto"/>
              </w:rPr>
            </w:pPr>
          </w:p>
          <w:p w14:paraId="1FBEEE1B">
            <w:pPr>
              <w:keepNext w:val="0"/>
              <w:keepLines w:val="0"/>
              <w:suppressLineNumbers w:val="0"/>
              <w:spacing w:before="0" w:beforeAutospacing="0" w:after="0" w:afterAutospacing="0"/>
              <w:ind w:left="0" w:right="0" w:firstLine="480"/>
              <w:rPr>
                <w:rFonts w:hint="default" w:cs="Times New Roman"/>
                <w:color w:val="auto"/>
              </w:rPr>
            </w:pPr>
          </w:p>
          <w:p w14:paraId="4A475C2C">
            <w:pPr>
              <w:keepNext w:val="0"/>
              <w:keepLines w:val="0"/>
              <w:suppressLineNumbers w:val="0"/>
              <w:spacing w:before="0" w:beforeAutospacing="0" w:after="0" w:afterAutospacing="0"/>
              <w:ind w:left="0" w:right="0" w:firstLine="480"/>
              <w:rPr>
                <w:rFonts w:hint="default" w:cs="Times New Roman"/>
                <w:color w:val="auto"/>
              </w:rPr>
            </w:pPr>
          </w:p>
          <w:p w14:paraId="34382AC8">
            <w:pPr>
              <w:keepNext w:val="0"/>
              <w:keepLines w:val="0"/>
              <w:suppressLineNumbers w:val="0"/>
              <w:spacing w:before="0" w:beforeAutospacing="0" w:after="0" w:afterAutospacing="0"/>
              <w:ind w:left="0" w:right="0" w:firstLine="480"/>
              <w:rPr>
                <w:rFonts w:hint="default" w:cs="Times New Roman"/>
                <w:color w:val="auto"/>
              </w:rPr>
            </w:pPr>
          </w:p>
          <w:p w14:paraId="10A46761">
            <w:pPr>
              <w:keepNext w:val="0"/>
              <w:keepLines w:val="0"/>
              <w:suppressLineNumbers w:val="0"/>
              <w:spacing w:before="0" w:beforeAutospacing="0" w:after="0" w:afterAutospacing="0"/>
              <w:ind w:left="0" w:right="0" w:firstLine="480"/>
              <w:rPr>
                <w:rFonts w:hint="default" w:cs="Times New Roman"/>
                <w:color w:val="auto"/>
              </w:rPr>
            </w:pPr>
          </w:p>
          <w:p w14:paraId="35038DE6">
            <w:pPr>
              <w:keepNext w:val="0"/>
              <w:keepLines w:val="0"/>
              <w:suppressLineNumbers w:val="0"/>
              <w:spacing w:before="0" w:beforeAutospacing="0" w:after="0" w:afterAutospacing="0"/>
              <w:ind w:left="0" w:right="0" w:firstLine="480"/>
              <w:rPr>
                <w:rFonts w:hint="default" w:cs="Times New Roman"/>
                <w:color w:val="auto"/>
              </w:rPr>
            </w:pPr>
          </w:p>
          <w:p w14:paraId="41F81667">
            <w:pPr>
              <w:keepNext w:val="0"/>
              <w:keepLines w:val="0"/>
              <w:suppressLineNumbers w:val="0"/>
              <w:spacing w:before="0" w:beforeAutospacing="0" w:after="0" w:afterAutospacing="0"/>
              <w:ind w:left="0" w:right="0" w:firstLine="480"/>
              <w:rPr>
                <w:rFonts w:hint="default" w:cs="Times New Roman"/>
                <w:color w:val="auto"/>
              </w:rPr>
            </w:pPr>
          </w:p>
          <w:p w14:paraId="547794BB">
            <w:pPr>
              <w:keepNext w:val="0"/>
              <w:keepLines w:val="0"/>
              <w:suppressLineNumbers w:val="0"/>
              <w:spacing w:before="0" w:beforeAutospacing="0" w:after="0" w:afterAutospacing="0"/>
              <w:ind w:left="0" w:right="0" w:firstLine="480"/>
              <w:rPr>
                <w:rFonts w:hint="default" w:cs="Times New Roman"/>
                <w:color w:val="auto"/>
              </w:rPr>
            </w:pPr>
          </w:p>
          <w:p w14:paraId="127374C8">
            <w:pPr>
              <w:keepNext w:val="0"/>
              <w:keepLines w:val="0"/>
              <w:suppressLineNumbers w:val="0"/>
              <w:spacing w:before="0" w:beforeAutospacing="0" w:after="0" w:afterAutospacing="0"/>
              <w:ind w:left="0" w:right="0" w:firstLine="480"/>
              <w:rPr>
                <w:rFonts w:hint="default" w:cs="Times New Roman"/>
                <w:color w:val="auto"/>
              </w:rPr>
            </w:pPr>
          </w:p>
          <w:p w14:paraId="47C70032">
            <w:pPr>
              <w:keepNext w:val="0"/>
              <w:keepLines w:val="0"/>
              <w:suppressLineNumbers w:val="0"/>
              <w:spacing w:before="0" w:beforeAutospacing="0" w:after="0" w:afterAutospacing="0"/>
              <w:ind w:left="0" w:right="0" w:firstLine="480"/>
              <w:rPr>
                <w:rFonts w:hint="default" w:cs="Times New Roman"/>
                <w:color w:val="auto"/>
              </w:rPr>
            </w:pPr>
          </w:p>
          <w:p w14:paraId="6DE5FAB8">
            <w:pPr>
              <w:keepNext w:val="0"/>
              <w:keepLines w:val="0"/>
              <w:suppressLineNumbers w:val="0"/>
              <w:spacing w:before="0" w:beforeAutospacing="0" w:after="0" w:afterAutospacing="0"/>
              <w:ind w:left="0" w:right="0" w:firstLine="480"/>
              <w:rPr>
                <w:rFonts w:hint="default" w:cs="Times New Roman"/>
                <w:color w:val="auto"/>
              </w:rPr>
            </w:pPr>
          </w:p>
          <w:p w14:paraId="19C0F8C8">
            <w:pPr>
              <w:keepNext w:val="0"/>
              <w:keepLines w:val="0"/>
              <w:suppressLineNumbers w:val="0"/>
              <w:spacing w:before="0" w:beforeAutospacing="0" w:after="0" w:afterAutospacing="0"/>
              <w:ind w:left="0" w:right="0" w:firstLine="480"/>
              <w:rPr>
                <w:rFonts w:hint="eastAsia" w:cs="Times New Roman"/>
                <w:color w:val="auto"/>
              </w:rPr>
            </w:pPr>
          </w:p>
          <w:p w14:paraId="2D03A8C1">
            <w:pPr>
              <w:keepNext w:val="0"/>
              <w:keepLines w:val="0"/>
              <w:suppressLineNumbers w:val="0"/>
              <w:spacing w:before="0" w:beforeAutospacing="0" w:after="0" w:afterAutospacing="0"/>
              <w:ind w:left="0" w:right="0" w:firstLine="480"/>
              <w:rPr>
                <w:rFonts w:hint="default" w:cs="Times New Roman"/>
                <w:color w:val="auto"/>
              </w:rPr>
            </w:pPr>
          </w:p>
          <w:p w14:paraId="1AAC2957">
            <w:pPr>
              <w:keepNext w:val="0"/>
              <w:keepLines w:val="0"/>
              <w:suppressLineNumbers w:val="0"/>
              <w:spacing w:before="0" w:beforeAutospacing="0" w:after="0" w:afterAutospacing="0"/>
              <w:ind w:left="0" w:right="0" w:firstLine="480"/>
              <w:rPr>
                <w:rFonts w:hint="default" w:cs="Times New Roman"/>
                <w:color w:val="auto"/>
              </w:rPr>
            </w:pPr>
          </w:p>
          <w:p w14:paraId="7B76443C">
            <w:pPr>
              <w:keepNext w:val="0"/>
              <w:keepLines w:val="0"/>
              <w:suppressLineNumbers w:val="0"/>
              <w:spacing w:before="0" w:beforeAutospacing="0" w:after="0" w:afterAutospacing="0"/>
              <w:ind w:left="0" w:right="0" w:firstLine="480"/>
              <w:rPr>
                <w:rFonts w:hint="default" w:cs="Times New Roman"/>
                <w:color w:val="auto"/>
              </w:rPr>
            </w:pPr>
          </w:p>
          <w:p w14:paraId="27C4DE57">
            <w:pPr>
              <w:keepNext w:val="0"/>
              <w:keepLines w:val="0"/>
              <w:suppressLineNumbers w:val="0"/>
              <w:spacing w:before="0" w:beforeAutospacing="0" w:after="0" w:afterAutospacing="0"/>
              <w:ind w:left="0" w:right="0" w:firstLine="480"/>
              <w:rPr>
                <w:rFonts w:hint="default" w:cs="Times New Roman"/>
                <w:color w:val="auto"/>
              </w:rPr>
            </w:pPr>
          </w:p>
          <w:p w14:paraId="2252D139">
            <w:pPr>
              <w:keepNext w:val="0"/>
              <w:keepLines w:val="0"/>
              <w:suppressLineNumbers w:val="0"/>
              <w:spacing w:before="0" w:beforeAutospacing="0" w:after="0" w:afterAutospacing="0"/>
              <w:ind w:left="0" w:right="0" w:firstLine="480"/>
              <w:rPr>
                <w:rFonts w:hint="default" w:cs="Times New Roman"/>
                <w:color w:val="auto"/>
              </w:rPr>
            </w:pPr>
          </w:p>
        </w:tc>
      </w:tr>
    </w:tbl>
    <w:p w14:paraId="608A85F4">
      <w:pPr>
        <w:ind w:firstLine="0" w:firstLineChars="0"/>
        <w:rPr>
          <w:rFonts w:cs="Times New Roman"/>
          <w:color w:val="auto"/>
        </w:rPr>
        <w:sectPr>
          <w:pgSz w:w="11906" w:h="16838"/>
          <w:pgMar w:top="1440" w:right="1797" w:bottom="1440" w:left="1797" w:header="851" w:footer="992" w:gutter="0"/>
          <w:cols w:space="425" w:num="1"/>
          <w:docGrid w:type="lines" w:linePitch="326" w:charSpace="0"/>
        </w:sectPr>
      </w:pP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796"/>
      </w:tblGrid>
      <w:tr w14:paraId="301B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2" w:hRule="atLeast"/>
        </w:trPr>
        <w:tc>
          <w:tcPr>
            <w:tcW w:w="421" w:type="pct"/>
            <w:vAlign w:val="center"/>
          </w:tcPr>
          <w:p w14:paraId="6BAF4E37">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营运期环境影响和保护措施</w:t>
            </w:r>
          </w:p>
        </w:tc>
        <w:tc>
          <w:tcPr>
            <w:tcW w:w="4578" w:type="pct"/>
            <w:vAlign w:val="center"/>
          </w:tcPr>
          <w:p w14:paraId="0249DB89">
            <w:pPr>
              <w:keepNext w:val="0"/>
              <w:keepLines w:val="0"/>
              <w:suppressLineNumbers w:val="0"/>
              <w:spacing w:before="0" w:beforeAutospacing="0" w:after="0" w:afterAutospacing="0"/>
              <w:ind w:left="0" w:right="0" w:firstLine="482"/>
              <w:rPr>
                <w:rFonts w:hint="default" w:cs="Times New Roman"/>
                <w:b/>
                <w:bCs/>
                <w:color w:val="auto"/>
              </w:rPr>
            </w:pPr>
            <w:bookmarkStart w:id="103" w:name="OLE_LINK4"/>
            <w:r>
              <w:rPr>
                <w:rFonts w:hint="default" w:cs="Times New Roman"/>
                <w:b/>
                <w:bCs/>
                <w:color w:val="auto"/>
              </w:rPr>
              <w:t>一、废气</w:t>
            </w:r>
          </w:p>
          <w:p w14:paraId="165CF9DD">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1、污染物产生情况</w:t>
            </w:r>
          </w:p>
          <w:p w14:paraId="2F9EBE61">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拟建项目废气主要包括硫磺生产废气、食堂油烟、柴油撬装站加油废气、LNG充装撬废气等。</w:t>
            </w:r>
          </w:p>
          <w:p w14:paraId="5E2A9DD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bCs/>
                <w:color w:val="auto"/>
              </w:rPr>
              <w:t>生产废气主要包括硫磺生产的硫化氢和粉尘。经查阅石油和天然气开采业、无机酸制造、无机盐制造、化学试剂和助剂制造、化学用品制造等相关行业的行业系数手册和源强核算指南，以及液硫池、液硫罐区以及液硫储存和运输相关论文后无相关源强参数，采取物料衡算法和类比同类项目环评数据进行源强核算。</w:t>
            </w:r>
          </w:p>
          <w:p w14:paraId="31F0DBAA">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（1）硫磺生产废气</w:t>
            </w:r>
          </w:p>
          <w:p w14:paraId="4AA448D4">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①</w:t>
            </w:r>
            <w:r>
              <w:rPr>
                <w:rFonts w:hint="default" w:cs="Times New Roman"/>
                <w:b/>
                <w:bCs/>
                <w:color w:val="auto"/>
              </w:rPr>
              <w:t>H</w:t>
            </w:r>
            <w:r>
              <w:rPr>
                <w:rFonts w:hint="default" w:cs="Times New Roman"/>
                <w:b/>
                <w:bCs/>
                <w:color w:val="auto"/>
                <w:vertAlign w:val="subscript"/>
              </w:rPr>
              <w:t>2</w:t>
            </w:r>
            <w:r>
              <w:rPr>
                <w:rFonts w:hint="default" w:cs="Times New Roman"/>
                <w:b/>
                <w:bCs/>
                <w:color w:val="auto"/>
              </w:rPr>
              <w:t>S废气（G</w:t>
            </w:r>
            <w:r>
              <w:rPr>
                <w:rFonts w:hint="default" w:cs="Times New Roman"/>
                <w:b/>
                <w:bCs/>
                <w:color w:val="auto"/>
                <w:vertAlign w:val="subscript"/>
              </w:rPr>
              <w:t>1-1</w:t>
            </w:r>
            <w:r>
              <w:rPr>
                <w:rFonts w:hint="default" w:cs="Times New Roman"/>
                <w:b/>
                <w:bCs/>
                <w:color w:val="auto"/>
              </w:rPr>
              <w:t>、G</w:t>
            </w:r>
            <w:r>
              <w:rPr>
                <w:rFonts w:hint="default" w:cs="Times New Roman"/>
                <w:b/>
                <w:bCs/>
                <w:color w:val="auto"/>
                <w:vertAlign w:val="subscript"/>
              </w:rPr>
              <w:t>1-2、</w:t>
            </w:r>
            <w:r>
              <w:rPr>
                <w:rFonts w:hint="default" w:cs="Times New Roman"/>
                <w:b/>
                <w:bCs/>
                <w:color w:val="auto"/>
              </w:rPr>
              <w:t>G</w:t>
            </w:r>
            <w:r>
              <w:rPr>
                <w:rFonts w:hint="default" w:cs="Times New Roman"/>
                <w:b/>
                <w:bCs/>
                <w:color w:val="auto"/>
                <w:vertAlign w:val="subscript"/>
              </w:rPr>
              <w:t>1-3</w:t>
            </w:r>
            <w:r>
              <w:rPr>
                <w:rFonts w:hint="default" w:cs="Times New Roman"/>
                <w:b/>
                <w:bCs/>
                <w:color w:val="auto"/>
              </w:rPr>
              <w:t>、G</w:t>
            </w:r>
            <w:r>
              <w:rPr>
                <w:rFonts w:hint="default" w:cs="Times New Roman"/>
                <w:b/>
                <w:bCs/>
                <w:color w:val="auto"/>
                <w:vertAlign w:val="subscript"/>
              </w:rPr>
              <w:t>1-4</w:t>
            </w:r>
            <w:r>
              <w:rPr>
                <w:rFonts w:hint="default" w:cs="Times New Roman"/>
                <w:b/>
                <w:bCs/>
                <w:color w:val="auto"/>
              </w:rPr>
              <w:t>、G</w:t>
            </w:r>
            <w:r>
              <w:rPr>
                <w:rFonts w:hint="default" w:cs="Times New Roman"/>
                <w:b/>
                <w:bCs/>
                <w:color w:val="auto"/>
                <w:vertAlign w:val="subscript"/>
              </w:rPr>
              <w:t>1-5</w:t>
            </w:r>
            <w:r>
              <w:rPr>
                <w:rFonts w:hint="default" w:cs="Times New Roman"/>
                <w:b/>
                <w:bCs/>
                <w:color w:val="auto"/>
              </w:rPr>
              <w:t>）</w:t>
            </w:r>
          </w:p>
          <w:p w14:paraId="41935FF8">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根据《工业硫磺 第2部分：液体产品》（GB/T2449.2-2015）液体工业硫磺一等品质量标准，本项目原料硫磺中含有少量游离的硫化氢，在经过液硫池沉淀、提纯、造粒工序时，硫化氢将逸出，液硫池沉淀、提纯、造粒工序均密闭收集废气，废气中主要成分为H</w:t>
            </w:r>
            <w:r>
              <w:rPr>
                <w:rFonts w:hint="default" w:cs="Times New Roman"/>
                <w:bCs/>
                <w:color w:val="auto"/>
                <w:vertAlign w:val="subscript"/>
              </w:rPr>
              <w:t>2</w:t>
            </w:r>
            <w:r>
              <w:rPr>
                <w:rFonts w:hint="default" w:cs="Times New Roman"/>
                <w:bCs/>
                <w:color w:val="auto"/>
              </w:rPr>
              <w:t>S。根据原料成分分析，H</w:t>
            </w:r>
            <w:r>
              <w:rPr>
                <w:rFonts w:hint="default" w:cs="Times New Roman"/>
                <w:bCs/>
                <w:color w:val="auto"/>
                <w:vertAlign w:val="subscript"/>
              </w:rPr>
              <w:t>2</w:t>
            </w:r>
            <w:r>
              <w:rPr>
                <w:rFonts w:hint="default" w:cs="Times New Roman"/>
                <w:bCs/>
                <w:color w:val="auto"/>
              </w:rPr>
              <w:t>S含量≤0.0015%。拟建项目原料液硫用量约为100220t/a，年工作8000h，则H</w:t>
            </w:r>
            <w:r>
              <w:rPr>
                <w:rFonts w:hint="default" w:cs="Times New Roman"/>
                <w:bCs/>
                <w:color w:val="auto"/>
                <w:vertAlign w:val="subscript"/>
              </w:rPr>
              <w:t>2</w:t>
            </w:r>
            <w:r>
              <w:rPr>
                <w:rFonts w:hint="default" w:cs="Times New Roman"/>
                <w:bCs/>
                <w:color w:val="auto"/>
              </w:rPr>
              <w:t>S产生量为1.503t/a（0.188kg/h）。</w:t>
            </w:r>
          </w:p>
          <w:p w14:paraId="06592E9A">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根据《苍溪县5万吨/年食品级硫磺项目环境影响报告表》（2019）评价分析，考虑90%H</w:t>
            </w:r>
            <w:r>
              <w:rPr>
                <w:rFonts w:hint="default" w:cs="Times New Roman"/>
                <w:bCs/>
                <w:color w:val="auto"/>
                <w:vertAlign w:val="subscript"/>
              </w:rPr>
              <w:t>2</w:t>
            </w:r>
            <w:r>
              <w:rPr>
                <w:rFonts w:hint="default" w:cs="Times New Roman"/>
                <w:bCs/>
                <w:color w:val="auto"/>
              </w:rPr>
              <w:t>S在液硫池沉淀、提纯、造粒工序时溢出，经收集进入车间废气治理设施，剩余的10%H</w:t>
            </w:r>
            <w:r>
              <w:rPr>
                <w:rFonts w:hint="default" w:cs="Times New Roman"/>
                <w:bCs/>
                <w:color w:val="auto"/>
                <w:vertAlign w:val="subscript"/>
              </w:rPr>
              <w:t>2</w:t>
            </w:r>
            <w:r>
              <w:rPr>
                <w:rFonts w:hint="default" w:cs="Times New Roman"/>
                <w:bCs/>
                <w:color w:val="auto"/>
              </w:rPr>
              <w:t>S经湿法造粒时进入2#循环水池，溶于冷却水中，后循环时无组织排放。</w:t>
            </w:r>
          </w:p>
          <w:p w14:paraId="3E338309">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bCs/>
                <w:color w:val="auto"/>
              </w:rPr>
              <w:t>根据《广州赫尔普化工有限公司硫磺扩能改造项目环境影响报告表》（2024）评价分析，针对H</w:t>
            </w:r>
            <w:r>
              <w:rPr>
                <w:rFonts w:hint="default" w:cs="Times New Roman"/>
                <w:bCs/>
                <w:color w:val="auto"/>
                <w:vertAlign w:val="subscript"/>
              </w:rPr>
              <w:t>2</w:t>
            </w:r>
            <w:r>
              <w:rPr>
                <w:rFonts w:hint="default" w:cs="Times New Roman"/>
                <w:bCs/>
                <w:color w:val="auto"/>
              </w:rPr>
              <w:t>S的治理措施主要为</w:t>
            </w:r>
            <w:r>
              <w:rPr>
                <w:rFonts w:hint="eastAsia" w:cs="Times New Roman"/>
                <w:bCs/>
                <w:color w:val="auto"/>
              </w:rPr>
              <w:t>碱液吸收</w:t>
            </w:r>
            <w:r>
              <w:rPr>
                <w:rFonts w:hint="default" w:cs="Times New Roman"/>
                <w:bCs/>
                <w:color w:val="auto"/>
              </w:rPr>
              <w:t>。根据《碱液喷淋在污水处理废气治理中的应用与影响》（张国臣，庄涛，刘善军，魏新全，迟智香），使用碱液吸收法（氢氧化钠溶液），硫化氢的去除效率可达66%以上。但考虑本项目H</w:t>
            </w:r>
            <w:r>
              <w:rPr>
                <w:rFonts w:hint="default" w:cs="Times New Roman"/>
                <w:bCs/>
                <w:color w:val="auto"/>
                <w:vertAlign w:val="subscript"/>
              </w:rPr>
              <w:t>2</w:t>
            </w:r>
            <w:r>
              <w:rPr>
                <w:rFonts w:hint="default" w:cs="Times New Roman"/>
                <w:bCs/>
                <w:color w:val="auto"/>
              </w:rPr>
              <w:t>S产生浓度较低，考虑的H</w:t>
            </w:r>
            <w:r>
              <w:rPr>
                <w:rFonts w:hint="default" w:cs="Times New Roman"/>
                <w:bCs/>
                <w:color w:val="auto"/>
                <w:vertAlign w:val="subscript"/>
              </w:rPr>
              <w:t>2</w:t>
            </w:r>
            <w:r>
              <w:rPr>
                <w:rFonts w:hint="default" w:cs="Times New Roman"/>
                <w:bCs/>
                <w:color w:val="auto"/>
              </w:rPr>
              <w:t>S的去除效率为60%。</w:t>
            </w:r>
          </w:p>
          <w:p w14:paraId="12203A3A">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②</w:t>
            </w:r>
            <w:r>
              <w:rPr>
                <w:rFonts w:hint="default" w:cs="Times New Roman"/>
                <w:b/>
                <w:bCs/>
                <w:color w:val="auto"/>
              </w:rPr>
              <w:t>造粒、刮片粉尘（G</w:t>
            </w:r>
            <w:r>
              <w:rPr>
                <w:rFonts w:hint="default" w:cs="Times New Roman"/>
                <w:b/>
                <w:bCs/>
                <w:color w:val="auto"/>
                <w:vertAlign w:val="subscript"/>
              </w:rPr>
              <w:t>1-3</w:t>
            </w:r>
            <w:r>
              <w:rPr>
                <w:rFonts w:hint="default" w:cs="Times New Roman"/>
                <w:b/>
                <w:bCs/>
                <w:color w:val="auto"/>
              </w:rPr>
              <w:t>、G</w:t>
            </w:r>
            <w:r>
              <w:rPr>
                <w:rFonts w:hint="default" w:cs="Times New Roman"/>
                <w:b/>
                <w:bCs/>
                <w:color w:val="auto"/>
                <w:vertAlign w:val="subscript"/>
              </w:rPr>
              <w:t>1-4、</w:t>
            </w:r>
            <w:r>
              <w:rPr>
                <w:rFonts w:hint="default" w:cs="Times New Roman"/>
                <w:b/>
                <w:bCs/>
                <w:color w:val="auto"/>
              </w:rPr>
              <w:t>G</w:t>
            </w:r>
            <w:r>
              <w:rPr>
                <w:rFonts w:hint="default" w:cs="Times New Roman"/>
                <w:b/>
                <w:bCs/>
                <w:color w:val="auto"/>
                <w:vertAlign w:val="subscript"/>
              </w:rPr>
              <w:t>1-5</w:t>
            </w:r>
            <w:r>
              <w:rPr>
                <w:rFonts w:hint="default" w:cs="Times New Roman"/>
                <w:b/>
                <w:bCs/>
                <w:color w:val="auto"/>
              </w:rPr>
              <w:t>）</w:t>
            </w:r>
          </w:p>
          <w:p w14:paraId="6F9B77A0">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根据《天然气净化厂新建80万吨/年液硫装车装置项目环境影响报告表》（2025）评价分析，造粒、刮片工序产生的废气主要含有水蒸气、硫化氢和粉尘，其中粉尘主要为液硫在高温下形成硫蒸气，最终形成升华硫（颗粒物），产生量参考天然气净化厂新建80万吨/年液硫装车装置项目液硫装车产生的颗粒物的量，其产生浓度为150mg/m</w:t>
            </w:r>
            <w:r>
              <w:rPr>
                <w:rFonts w:hint="default" w:cs="Times New Roman"/>
                <w:bCs/>
                <w:color w:val="auto"/>
                <w:vertAlign w:val="superscript"/>
              </w:rPr>
              <w:t>3</w:t>
            </w:r>
            <w:r>
              <w:rPr>
                <w:rFonts w:hint="default" w:cs="Times New Roman"/>
                <w:bCs/>
                <w:color w:val="auto"/>
              </w:rPr>
              <w:t>，则拟建项目造粒、刮片粉尘产生速率和产生量分别为2.1kg/h和16.8t/a。</w:t>
            </w:r>
          </w:p>
          <w:p w14:paraId="0AD35D1D">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③</w:t>
            </w:r>
            <w:r>
              <w:rPr>
                <w:rFonts w:hint="default" w:cs="Times New Roman"/>
                <w:b/>
                <w:bCs/>
                <w:color w:val="auto"/>
              </w:rPr>
              <w:t>包装粉尘（G</w:t>
            </w:r>
            <w:r>
              <w:rPr>
                <w:rFonts w:hint="default" w:cs="Times New Roman"/>
                <w:b/>
                <w:bCs/>
                <w:color w:val="auto"/>
                <w:vertAlign w:val="subscript"/>
              </w:rPr>
              <w:t>1-6</w:t>
            </w:r>
            <w:r>
              <w:rPr>
                <w:rFonts w:hint="default" w:cs="Times New Roman"/>
                <w:b/>
                <w:bCs/>
                <w:color w:val="auto"/>
              </w:rPr>
              <w:t>、G</w:t>
            </w:r>
            <w:r>
              <w:rPr>
                <w:rFonts w:hint="default" w:cs="Times New Roman"/>
                <w:b/>
                <w:bCs/>
                <w:color w:val="auto"/>
                <w:vertAlign w:val="subscript"/>
              </w:rPr>
              <w:t>1-7</w:t>
            </w:r>
            <w:r>
              <w:rPr>
                <w:rFonts w:hint="default" w:cs="Times New Roman"/>
                <w:b/>
                <w:bCs/>
                <w:color w:val="auto"/>
              </w:rPr>
              <w:t>）</w:t>
            </w:r>
          </w:p>
          <w:p w14:paraId="3A7039E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包装粉尘参考《逸散性工业粉尘控制技术》（中国环境科学出版社）中“表13-2水泥产生的逸散尘排放因子”中“水泥袋装”排污系数为0.005kg/t，本项目食品级硫磺产量为5万吨，则本项目包装粉尘产生量约为0.25t/a。由于硫磺粉尘粒径在2mm-3mm之间，能够快速自然沉降，因此，加强管理和车间通风，则包装粉尘无组织排放量约0.25t/a。</w:t>
            </w:r>
          </w:p>
          <w:p w14:paraId="2C8A045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（2）食堂油烟</w:t>
            </w:r>
          </w:p>
          <w:p w14:paraId="109426E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配有食堂，为员工提供三餐，每天运行4小时，设置有1个灶，食物在烹饪、加工过程中将挥发出油脂、有机质及热分解或裂解产物，从而产生油烟废气。根据对四川省居民用油情况的类比调查，目前居民人均食用油用量约30g/人·d，一般油烟挥发量占总耗油量的2%~4%，取其最大值4%。本项目劳动定员30人，则油烟产生量约为12.024kg/a（9g/h）。</w:t>
            </w:r>
          </w:p>
          <w:p w14:paraId="4725A350">
            <w:pPr>
              <w:keepNext w:val="0"/>
              <w:keepLines w:val="0"/>
              <w:suppressLineNumbers w:val="0"/>
              <w:spacing w:before="0" w:beforeAutospacing="0" w:after="0" w:afterAutospacing="0"/>
              <w:ind w:left="0" w:right="0" w:firstLine="482"/>
              <w:rPr>
                <w:rFonts w:hint="default" w:cs="Times New Roman"/>
                <w:b/>
                <w:color w:val="auto"/>
              </w:rPr>
            </w:pPr>
            <w:r>
              <w:rPr>
                <w:rFonts w:hint="default" w:cs="Times New Roman"/>
                <w:b/>
                <w:color w:val="auto"/>
              </w:rPr>
              <w:t>（3）柴油撬装站加油废气</w:t>
            </w:r>
          </w:p>
          <w:p w14:paraId="23C60316">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①</w:t>
            </w:r>
            <w:r>
              <w:rPr>
                <w:rFonts w:hint="default" w:cs="Times New Roman"/>
                <w:bCs/>
                <w:color w:val="auto"/>
              </w:rPr>
              <w:t>油罐装料蒸汽排放（大呼吸）</w:t>
            </w:r>
          </w:p>
          <w:p w14:paraId="05CDBC7E">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储罐大呼吸损失是指油罐进行装油时所呼出的油蒸气而造成的油品蒸发损失。油罐进油时，由于油面逐渐升高，气体空间逐渐减小，罐内压力增大，当压力超过呼吸阀控制压力时，一定浓度的油蒸气开始从呼吸阀呼出，直到油罐停止收油。</w:t>
            </w:r>
          </w:p>
          <w:p w14:paraId="258640A9">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本项目油罐进料采用淹没输油管法，根据《散装液态石油产品损耗》（GB11085-89）中的卸车损耗计算油品损失；本项目年加油柴油500t，油罐装料废气排放情况见</w:t>
            </w:r>
            <w:r>
              <w:rPr>
                <w:rFonts w:hint="default" w:cs="Times New Roman"/>
                <w:color w:val="auto"/>
              </w:rPr>
              <w:fldChar w:fldCharType="begin"/>
            </w:r>
            <w:r>
              <w:rPr>
                <w:rFonts w:hint="default" w:cs="Times New Roman"/>
                <w:color w:val="auto"/>
              </w:rPr>
              <w:instrText xml:space="preserve"> REF _Ref31357 \n \h </w:instrText>
            </w:r>
            <w:r>
              <w:rPr>
                <w:rFonts w:hint="default" w:cs="Times New Roman"/>
                <w:color w:val="auto"/>
              </w:rPr>
              <w:fldChar w:fldCharType="separate"/>
            </w:r>
            <w:r>
              <w:rPr>
                <w:rFonts w:hint="default" w:cs="Times New Roman"/>
                <w:color w:val="auto"/>
              </w:rPr>
              <w:t xml:space="preserve">表4-1 </w:t>
            </w:r>
            <w:r>
              <w:rPr>
                <w:rFonts w:hint="default" w:cs="Times New Roman"/>
                <w:color w:val="auto"/>
              </w:rPr>
              <w:fldChar w:fldCharType="end"/>
            </w:r>
            <w:r>
              <w:rPr>
                <w:rFonts w:hint="default" w:cs="Times New Roman"/>
                <w:color w:val="auto"/>
              </w:rPr>
              <w:t>所示</w:t>
            </w:r>
            <w:r>
              <w:rPr>
                <w:rFonts w:hint="default" w:cs="Times New Roman"/>
                <w:bCs/>
                <w:color w:val="auto"/>
              </w:rPr>
              <w:t>。</w:t>
            </w:r>
          </w:p>
          <w:p w14:paraId="66177551">
            <w:pPr>
              <w:keepNext w:val="0"/>
              <w:keepLines w:val="0"/>
              <w:suppressLineNumbers w:val="0"/>
              <w:spacing w:before="0" w:beforeAutospacing="0" w:after="0" w:afterAutospacing="0"/>
              <w:ind w:left="0" w:right="0" w:firstLine="480"/>
              <w:rPr>
                <w:rFonts w:hint="eastAsia" w:cs="Times New Roman"/>
                <w:bCs/>
                <w:color w:val="auto"/>
              </w:rPr>
            </w:pPr>
          </w:p>
          <w:p w14:paraId="4D57DB8F">
            <w:pPr>
              <w:pStyle w:val="33"/>
              <w:keepNext w:val="0"/>
              <w:keepLines w:val="0"/>
              <w:suppressLineNumbers w:val="0"/>
              <w:spacing w:before="0" w:beforeAutospacing="0" w:after="0" w:afterAutospacing="0"/>
              <w:ind w:left="0" w:right="0"/>
              <w:rPr>
                <w:rFonts w:hint="default" w:cs="Times New Roman"/>
              </w:rPr>
            </w:pPr>
            <w:r>
              <w:rPr>
                <w:rFonts w:hint="default" w:cs="Times New Roman"/>
              </w:rPr>
              <w:t xml:space="preserve">  储罐大呼吸非甲烷总烃产排情况一览表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1311"/>
              <w:gridCol w:w="1064"/>
              <w:gridCol w:w="1560"/>
              <w:gridCol w:w="1315"/>
            </w:tblGrid>
            <w:tr w14:paraId="23A54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5A21E2BD">
                  <w:pPr>
                    <w:pStyle w:val="26"/>
                    <w:keepNext w:val="0"/>
                    <w:keepLines w:val="0"/>
                    <w:suppressLineNumbers w:val="0"/>
                    <w:spacing w:before="0" w:beforeAutospacing="0" w:after="0" w:afterAutospacing="0"/>
                    <w:ind w:left="0" w:right="0"/>
                    <w:rPr>
                      <w:rFonts w:hint="default"/>
                    </w:rPr>
                  </w:pPr>
                  <w:r>
                    <w:rPr>
                      <w:rFonts w:hint="default"/>
                    </w:rPr>
                    <w:t>产生源</w:t>
                  </w:r>
                </w:p>
              </w:tc>
              <w:tc>
                <w:tcPr>
                  <w:tcW w:w="865" w:type="pct"/>
                  <w:vAlign w:val="center"/>
                </w:tcPr>
                <w:p w14:paraId="2D041650">
                  <w:pPr>
                    <w:pStyle w:val="26"/>
                    <w:keepNext w:val="0"/>
                    <w:keepLines w:val="0"/>
                    <w:suppressLineNumbers w:val="0"/>
                    <w:spacing w:before="0" w:beforeAutospacing="0" w:after="0" w:afterAutospacing="0"/>
                    <w:ind w:left="0" w:right="0"/>
                    <w:rPr>
                      <w:rFonts w:hint="default"/>
                    </w:rPr>
                  </w:pPr>
                  <w:r>
                    <w:rPr>
                      <w:rFonts w:hint="default"/>
                    </w:rPr>
                    <w:t>产生源</w:t>
                  </w:r>
                </w:p>
              </w:tc>
              <w:tc>
                <w:tcPr>
                  <w:tcW w:w="702" w:type="pct"/>
                  <w:vAlign w:val="center"/>
                </w:tcPr>
                <w:p w14:paraId="78011493">
                  <w:pPr>
                    <w:pStyle w:val="26"/>
                    <w:keepNext w:val="0"/>
                    <w:keepLines w:val="0"/>
                    <w:suppressLineNumbers w:val="0"/>
                    <w:spacing w:before="0" w:beforeAutospacing="0" w:after="0" w:afterAutospacing="0"/>
                    <w:ind w:left="0" w:right="0"/>
                    <w:rPr>
                      <w:rFonts w:hint="default"/>
                    </w:rPr>
                  </w:pPr>
                  <w:r>
                    <w:rPr>
                      <w:rFonts w:hint="default"/>
                    </w:rPr>
                    <w:t>油量（t）</w:t>
                  </w:r>
                </w:p>
              </w:tc>
              <w:tc>
                <w:tcPr>
                  <w:tcW w:w="1029" w:type="pct"/>
                  <w:vAlign w:val="center"/>
                </w:tcPr>
                <w:p w14:paraId="43A76F03">
                  <w:pPr>
                    <w:pStyle w:val="26"/>
                    <w:keepNext w:val="0"/>
                    <w:keepLines w:val="0"/>
                    <w:suppressLineNumbers w:val="0"/>
                    <w:spacing w:before="0" w:beforeAutospacing="0" w:after="0" w:afterAutospacing="0"/>
                    <w:ind w:left="0" w:right="0"/>
                    <w:rPr>
                      <w:rFonts w:hint="default"/>
                    </w:rPr>
                  </w:pPr>
                  <w:r>
                    <w:rPr>
                      <w:rFonts w:hint="default"/>
                    </w:rPr>
                    <w:t>卸车损耗率（%）</w:t>
                  </w:r>
                </w:p>
              </w:tc>
              <w:tc>
                <w:tcPr>
                  <w:tcW w:w="867" w:type="pct"/>
                  <w:vAlign w:val="center"/>
                </w:tcPr>
                <w:p w14:paraId="4C4207BB">
                  <w:pPr>
                    <w:pStyle w:val="26"/>
                    <w:keepNext w:val="0"/>
                    <w:keepLines w:val="0"/>
                    <w:suppressLineNumbers w:val="0"/>
                    <w:spacing w:before="0" w:beforeAutospacing="0" w:after="0" w:afterAutospacing="0"/>
                    <w:ind w:left="0" w:right="0"/>
                    <w:rPr>
                      <w:rFonts w:hint="default"/>
                    </w:rPr>
                  </w:pPr>
                  <w:r>
                    <w:rPr>
                      <w:rFonts w:hint="default"/>
                    </w:rPr>
                    <w:t>损失量</w:t>
                  </w:r>
                  <w:r>
                    <w:rPr>
                      <w:rFonts w:hint="eastAsia"/>
                    </w:rPr>
                    <w:t>（</w:t>
                  </w:r>
                  <w:r>
                    <w:rPr>
                      <w:rFonts w:hint="default"/>
                    </w:rPr>
                    <w:t>t</w:t>
                  </w:r>
                  <w:r>
                    <w:rPr>
                      <w:rFonts w:hint="eastAsia"/>
                    </w:rPr>
                    <w:t>）</w:t>
                  </w:r>
                </w:p>
              </w:tc>
            </w:tr>
            <w:tr w14:paraId="78025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41792AA7">
                  <w:pPr>
                    <w:pStyle w:val="26"/>
                    <w:keepNext w:val="0"/>
                    <w:keepLines w:val="0"/>
                    <w:suppressLineNumbers w:val="0"/>
                    <w:spacing w:before="0" w:beforeAutospacing="0" w:after="0" w:afterAutospacing="0"/>
                    <w:ind w:left="0" w:right="0"/>
                    <w:rPr>
                      <w:rFonts w:hint="default"/>
                    </w:rPr>
                  </w:pPr>
                  <w:r>
                    <w:rPr>
                      <w:rFonts w:hint="default"/>
                    </w:rPr>
                    <w:t>油罐装料油罐车油品蒸发</w:t>
                  </w:r>
                </w:p>
              </w:tc>
              <w:tc>
                <w:tcPr>
                  <w:tcW w:w="865" w:type="pct"/>
                  <w:vAlign w:val="center"/>
                </w:tcPr>
                <w:p w14:paraId="09514744">
                  <w:pPr>
                    <w:pStyle w:val="26"/>
                    <w:keepNext w:val="0"/>
                    <w:keepLines w:val="0"/>
                    <w:suppressLineNumbers w:val="0"/>
                    <w:spacing w:before="0" w:beforeAutospacing="0" w:after="0" w:afterAutospacing="0"/>
                    <w:ind w:left="0" w:right="0"/>
                    <w:rPr>
                      <w:rFonts w:hint="default"/>
                    </w:rPr>
                  </w:pPr>
                  <w:r>
                    <w:rPr>
                      <w:rFonts w:hint="default"/>
                    </w:rPr>
                    <w:t>柴油</w:t>
                  </w:r>
                </w:p>
              </w:tc>
              <w:tc>
                <w:tcPr>
                  <w:tcW w:w="702" w:type="pct"/>
                  <w:vAlign w:val="center"/>
                </w:tcPr>
                <w:p w14:paraId="6B889689">
                  <w:pPr>
                    <w:pStyle w:val="26"/>
                    <w:keepNext w:val="0"/>
                    <w:keepLines w:val="0"/>
                    <w:suppressLineNumbers w:val="0"/>
                    <w:spacing w:before="0" w:beforeAutospacing="0" w:after="0" w:afterAutospacing="0"/>
                    <w:ind w:left="0" w:right="0"/>
                    <w:rPr>
                      <w:rFonts w:hint="default"/>
                    </w:rPr>
                  </w:pPr>
                  <w:r>
                    <w:rPr>
                      <w:rFonts w:hint="default"/>
                    </w:rPr>
                    <w:t>500t</w:t>
                  </w:r>
                </w:p>
              </w:tc>
              <w:tc>
                <w:tcPr>
                  <w:tcW w:w="1029" w:type="pct"/>
                  <w:vAlign w:val="center"/>
                </w:tcPr>
                <w:p w14:paraId="0D6AE169">
                  <w:pPr>
                    <w:pStyle w:val="26"/>
                    <w:keepNext w:val="0"/>
                    <w:keepLines w:val="0"/>
                    <w:suppressLineNumbers w:val="0"/>
                    <w:spacing w:before="0" w:beforeAutospacing="0" w:after="0" w:afterAutospacing="0"/>
                    <w:ind w:left="0" w:right="0"/>
                    <w:rPr>
                      <w:rFonts w:hint="default"/>
                    </w:rPr>
                  </w:pPr>
                  <w:r>
                    <w:rPr>
                      <w:rFonts w:hint="default"/>
                    </w:rPr>
                    <w:t>0.05%</w:t>
                  </w:r>
                </w:p>
              </w:tc>
              <w:tc>
                <w:tcPr>
                  <w:tcW w:w="867" w:type="pct"/>
                  <w:vAlign w:val="center"/>
                </w:tcPr>
                <w:p w14:paraId="195D2941">
                  <w:pPr>
                    <w:pStyle w:val="26"/>
                    <w:keepNext w:val="0"/>
                    <w:keepLines w:val="0"/>
                    <w:suppressLineNumbers w:val="0"/>
                    <w:spacing w:before="0" w:beforeAutospacing="0" w:after="0" w:afterAutospacing="0"/>
                    <w:ind w:left="0" w:right="0"/>
                    <w:rPr>
                      <w:rFonts w:hint="default"/>
                    </w:rPr>
                  </w:pPr>
                  <w:r>
                    <w:rPr>
                      <w:rFonts w:hint="default"/>
                    </w:rPr>
                    <w:t>0.25t</w:t>
                  </w:r>
                </w:p>
              </w:tc>
            </w:tr>
          </w:tbl>
          <w:p w14:paraId="003EB3AA">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本项目采用密闭卸油油气回收系统（回收效率不低于95%）对卸油油气进行回收，含有少量油品的空气经通气管阻火呼吸阀排放。</w:t>
            </w:r>
          </w:p>
          <w:p w14:paraId="2CCE1A5D">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②</w:t>
            </w:r>
            <w:r>
              <w:rPr>
                <w:rFonts w:hint="default" w:cs="Times New Roman"/>
                <w:bCs/>
                <w:color w:val="auto"/>
              </w:rPr>
              <w:t>油罐呼吸排放（小呼吸）</w:t>
            </w:r>
          </w:p>
          <w:p w14:paraId="41DDDCD2">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本项目采用地上卧式储油罐，整个储油及加油系统均为密闭系统，根据《散装液态石油产品损耗》（GB11085-89）中的贮存损耗率计算油品损失；本项目年加油柴油500t，储罐呼吸废气排放情况见</w:t>
            </w:r>
            <w:r>
              <w:rPr>
                <w:rFonts w:hint="default" w:cs="Times New Roman"/>
                <w:color w:val="auto"/>
              </w:rPr>
              <w:fldChar w:fldCharType="begin"/>
            </w:r>
            <w:r>
              <w:rPr>
                <w:rFonts w:hint="default" w:cs="Times New Roman"/>
                <w:color w:val="auto"/>
              </w:rPr>
              <w:instrText xml:space="preserve"> REF _Ref31357 \n \h  \* MERGEFORMAT </w:instrText>
            </w:r>
            <w:r>
              <w:rPr>
                <w:rFonts w:hint="default" w:cs="Times New Roman"/>
                <w:color w:val="auto"/>
              </w:rPr>
              <w:fldChar w:fldCharType="separate"/>
            </w:r>
            <w:r>
              <w:rPr>
                <w:rFonts w:hint="default" w:cs="Times New Roman"/>
                <w:color w:val="auto"/>
              </w:rPr>
              <w:t xml:space="preserve">表4-2 </w:t>
            </w:r>
            <w:r>
              <w:rPr>
                <w:rFonts w:hint="default" w:cs="Times New Roman"/>
                <w:color w:val="auto"/>
              </w:rPr>
              <w:fldChar w:fldCharType="end"/>
            </w:r>
            <w:r>
              <w:rPr>
                <w:rFonts w:hint="default" w:cs="Times New Roman"/>
                <w:color w:val="auto"/>
              </w:rPr>
              <w:t>所示</w:t>
            </w:r>
            <w:r>
              <w:rPr>
                <w:rFonts w:hint="default" w:cs="Times New Roman"/>
                <w:bCs/>
                <w:color w:val="auto"/>
              </w:rPr>
              <w:t>。</w:t>
            </w:r>
          </w:p>
          <w:p w14:paraId="72A2CE93">
            <w:pPr>
              <w:pStyle w:val="33"/>
              <w:keepNext w:val="0"/>
              <w:keepLines w:val="0"/>
              <w:suppressLineNumbers w:val="0"/>
              <w:spacing w:before="0" w:beforeAutospacing="0" w:after="0" w:afterAutospacing="0"/>
              <w:ind w:left="0" w:right="0"/>
              <w:rPr>
                <w:rFonts w:hint="default" w:cs="Times New Roman"/>
              </w:rPr>
            </w:pPr>
            <w:r>
              <w:rPr>
                <w:rFonts w:hint="default" w:cs="Times New Roman"/>
              </w:rPr>
              <w:t xml:space="preserve">  储罐小呼吸非甲烷总烃产排情况一览表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1311"/>
              <w:gridCol w:w="1064"/>
              <w:gridCol w:w="1560"/>
              <w:gridCol w:w="1315"/>
            </w:tblGrid>
            <w:tr w14:paraId="65A5D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0E78F092">
                  <w:pPr>
                    <w:pStyle w:val="26"/>
                    <w:keepNext w:val="0"/>
                    <w:keepLines w:val="0"/>
                    <w:suppressLineNumbers w:val="0"/>
                    <w:spacing w:before="0" w:beforeAutospacing="0" w:after="0" w:afterAutospacing="0"/>
                    <w:ind w:left="0" w:right="0"/>
                    <w:rPr>
                      <w:rFonts w:hint="default"/>
                    </w:rPr>
                  </w:pPr>
                  <w:r>
                    <w:rPr>
                      <w:rFonts w:hint="default"/>
                    </w:rPr>
                    <w:t>产生源</w:t>
                  </w:r>
                </w:p>
              </w:tc>
              <w:tc>
                <w:tcPr>
                  <w:tcW w:w="865" w:type="pct"/>
                  <w:vAlign w:val="center"/>
                </w:tcPr>
                <w:p w14:paraId="700B6C34">
                  <w:pPr>
                    <w:pStyle w:val="26"/>
                    <w:keepNext w:val="0"/>
                    <w:keepLines w:val="0"/>
                    <w:suppressLineNumbers w:val="0"/>
                    <w:spacing w:before="0" w:beforeAutospacing="0" w:after="0" w:afterAutospacing="0"/>
                    <w:ind w:left="0" w:right="0"/>
                    <w:rPr>
                      <w:rFonts w:hint="default"/>
                    </w:rPr>
                  </w:pPr>
                  <w:r>
                    <w:rPr>
                      <w:rFonts w:hint="default"/>
                    </w:rPr>
                    <w:t>产生源</w:t>
                  </w:r>
                </w:p>
              </w:tc>
              <w:tc>
                <w:tcPr>
                  <w:tcW w:w="702" w:type="pct"/>
                  <w:vAlign w:val="center"/>
                </w:tcPr>
                <w:p w14:paraId="3B753AED">
                  <w:pPr>
                    <w:pStyle w:val="26"/>
                    <w:keepNext w:val="0"/>
                    <w:keepLines w:val="0"/>
                    <w:suppressLineNumbers w:val="0"/>
                    <w:spacing w:before="0" w:beforeAutospacing="0" w:after="0" w:afterAutospacing="0"/>
                    <w:ind w:left="0" w:right="0"/>
                    <w:rPr>
                      <w:rFonts w:hint="default"/>
                    </w:rPr>
                  </w:pPr>
                  <w:r>
                    <w:rPr>
                      <w:rFonts w:hint="default"/>
                    </w:rPr>
                    <w:t>油量（t）</w:t>
                  </w:r>
                </w:p>
              </w:tc>
              <w:tc>
                <w:tcPr>
                  <w:tcW w:w="1029" w:type="pct"/>
                  <w:vAlign w:val="center"/>
                </w:tcPr>
                <w:p w14:paraId="785B831C">
                  <w:pPr>
                    <w:pStyle w:val="26"/>
                    <w:keepNext w:val="0"/>
                    <w:keepLines w:val="0"/>
                    <w:suppressLineNumbers w:val="0"/>
                    <w:spacing w:before="0" w:beforeAutospacing="0" w:after="0" w:afterAutospacing="0"/>
                    <w:ind w:left="0" w:right="0"/>
                    <w:rPr>
                      <w:rFonts w:hint="default"/>
                    </w:rPr>
                  </w:pPr>
                  <w:r>
                    <w:rPr>
                      <w:rFonts w:hint="default"/>
                    </w:rPr>
                    <w:t>卸车损耗率（%）</w:t>
                  </w:r>
                </w:p>
              </w:tc>
              <w:tc>
                <w:tcPr>
                  <w:tcW w:w="867" w:type="pct"/>
                  <w:vAlign w:val="center"/>
                </w:tcPr>
                <w:p w14:paraId="27C2BEAE">
                  <w:pPr>
                    <w:pStyle w:val="26"/>
                    <w:keepNext w:val="0"/>
                    <w:keepLines w:val="0"/>
                    <w:suppressLineNumbers w:val="0"/>
                    <w:spacing w:before="0" w:beforeAutospacing="0" w:after="0" w:afterAutospacing="0"/>
                    <w:ind w:left="0" w:right="0"/>
                    <w:rPr>
                      <w:rFonts w:hint="default"/>
                    </w:rPr>
                  </w:pPr>
                  <w:r>
                    <w:rPr>
                      <w:rFonts w:hint="default"/>
                    </w:rPr>
                    <w:t>损失量（t）</w:t>
                  </w:r>
                </w:p>
              </w:tc>
            </w:tr>
            <w:tr w14:paraId="10D1D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2F591B70">
                  <w:pPr>
                    <w:pStyle w:val="26"/>
                    <w:keepNext w:val="0"/>
                    <w:keepLines w:val="0"/>
                    <w:suppressLineNumbers w:val="0"/>
                    <w:spacing w:before="0" w:beforeAutospacing="0" w:after="0" w:afterAutospacing="0"/>
                    <w:ind w:left="0" w:right="0"/>
                    <w:rPr>
                      <w:rFonts w:hint="default"/>
                    </w:rPr>
                  </w:pPr>
                  <w:r>
                    <w:rPr>
                      <w:rFonts w:hint="default"/>
                    </w:rPr>
                    <w:t>油罐贮存油品蒸发</w:t>
                  </w:r>
                </w:p>
              </w:tc>
              <w:tc>
                <w:tcPr>
                  <w:tcW w:w="865" w:type="pct"/>
                  <w:vAlign w:val="center"/>
                </w:tcPr>
                <w:p w14:paraId="1409E6FD">
                  <w:pPr>
                    <w:pStyle w:val="26"/>
                    <w:keepNext w:val="0"/>
                    <w:keepLines w:val="0"/>
                    <w:suppressLineNumbers w:val="0"/>
                    <w:spacing w:before="0" w:beforeAutospacing="0" w:after="0" w:afterAutospacing="0"/>
                    <w:ind w:left="0" w:right="0"/>
                    <w:rPr>
                      <w:rFonts w:hint="default"/>
                    </w:rPr>
                  </w:pPr>
                  <w:r>
                    <w:rPr>
                      <w:rFonts w:hint="default"/>
                    </w:rPr>
                    <w:t>柴油</w:t>
                  </w:r>
                </w:p>
              </w:tc>
              <w:tc>
                <w:tcPr>
                  <w:tcW w:w="702" w:type="pct"/>
                  <w:vAlign w:val="center"/>
                </w:tcPr>
                <w:p w14:paraId="719EF44D">
                  <w:pPr>
                    <w:pStyle w:val="26"/>
                    <w:keepNext w:val="0"/>
                    <w:keepLines w:val="0"/>
                    <w:suppressLineNumbers w:val="0"/>
                    <w:spacing w:before="0" w:beforeAutospacing="0" w:after="0" w:afterAutospacing="0"/>
                    <w:ind w:left="0" w:right="0"/>
                    <w:rPr>
                      <w:rFonts w:hint="default"/>
                    </w:rPr>
                  </w:pPr>
                  <w:r>
                    <w:rPr>
                      <w:rFonts w:hint="default"/>
                    </w:rPr>
                    <w:t>500t</w:t>
                  </w:r>
                </w:p>
              </w:tc>
              <w:tc>
                <w:tcPr>
                  <w:tcW w:w="1029" w:type="pct"/>
                  <w:vAlign w:val="center"/>
                </w:tcPr>
                <w:p w14:paraId="65BAF53E">
                  <w:pPr>
                    <w:pStyle w:val="26"/>
                    <w:keepNext w:val="0"/>
                    <w:keepLines w:val="0"/>
                    <w:suppressLineNumbers w:val="0"/>
                    <w:spacing w:before="0" w:beforeAutospacing="0" w:after="0" w:afterAutospacing="0"/>
                    <w:ind w:left="0" w:right="0"/>
                    <w:rPr>
                      <w:rFonts w:hint="default"/>
                    </w:rPr>
                  </w:pPr>
                  <w:r>
                    <w:rPr>
                      <w:rFonts w:hint="default"/>
                    </w:rPr>
                    <w:t>0.01%</w:t>
                  </w:r>
                </w:p>
              </w:tc>
              <w:tc>
                <w:tcPr>
                  <w:tcW w:w="867" w:type="pct"/>
                  <w:vAlign w:val="center"/>
                </w:tcPr>
                <w:p w14:paraId="40860B8A">
                  <w:pPr>
                    <w:pStyle w:val="26"/>
                    <w:keepNext w:val="0"/>
                    <w:keepLines w:val="0"/>
                    <w:suppressLineNumbers w:val="0"/>
                    <w:spacing w:before="0" w:beforeAutospacing="0" w:after="0" w:afterAutospacing="0"/>
                    <w:ind w:left="0" w:right="0"/>
                    <w:rPr>
                      <w:rFonts w:hint="default"/>
                    </w:rPr>
                  </w:pPr>
                  <w:r>
                    <w:rPr>
                      <w:rFonts w:hint="default"/>
                    </w:rPr>
                    <w:t>0.05t</w:t>
                  </w:r>
                </w:p>
              </w:tc>
            </w:tr>
          </w:tbl>
          <w:p w14:paraId="637416BF">
            <w:pPr>
              <w:keepNext w:val="0"/>
              <w:keepLines w:val="0"/>
              <w:suppressLineNumbers w:val="0"/>
              <w:spacing w:before="163" w:beforeLines="50" w:beforeAutospacing="0" w:after="0" w:afterAutospacing="0"/>
              <w:ind w:left="0" w:right="0" w:firstLine="480"/>
              <w:rPr>
                <w:rFonts w:hint="default" w:cs="Times New Roman"/>
                <w:bCs/>
                <w:color w:val="auto"/>
              </w:rPr>
            </w:pPr>
            <w:r>
              <w:rPr>
                <w:rFonts w:hint="default" w:cs="Times New Roman"/>
                <w:bCs/>
                <w:color w:val="auto"/>
              </w:rPr>
              <w:t>柴油小呼吸损耗产生的油气直接由通气立管排放，通气立管口设置阻火呼吸阀（起呼吸作用，并同时能阻燃、阻火），多余体积气体排入环境。</w:t>
            </w:r>
          </w:p>
          <w:p w14:paraId="167EB24F">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③</w:t>
            </w:r>
            <w:r>
              <w:rPr>
                <w:rFonts w:hint="default" w:cs="Times New Roman"/>
                <w:bCs/>
                <w:color w:val="auto"/>
              </w:rPr>
              <w:t>加油枪挥发废气</w:t>
            </w:r>
          </w:p>
          <w:p w14:paraId="583B7D1B">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车辆加油过程中排放的油气主要来自装入油品时溢出汽车油箱内的蒸汽，被逐出的蒸汽量随汽油温度、汽车油箱温度、汽油蒸汽压力</w:t>
            </w:r>
            <w:r>
              <w:rPr>
                <w:rFonts w:hint="eastAsia" w:cs="Times New Roman"/>
                <w:bCs/>
                <w:color w:val="auto"/>
              </w:rPr>
              <w:t>（</w:t>
            </w:r>
            <w:r>
              <w:rPr>
                <w:rFonts w:hint="default" w:cs="Times New Roman"/>
                <w:bCs/>
                <w:color w:val="auto"/>
              </w:rPr>
              <w:t>RVP</w:t>
            </w:r>
            <w:r>
              <w:rPr>
                <w:rFonts w:hint="eastAsia" w:cs="Times New Roman"/>
                <w:bCs/>
                <w:color w:val="auto"/>
              </w:rPr>
              <w:t>）</w:t>
            </w:r>
            <w:r>
              <w:rPr>
                <w:rFonts w:hint="default" w:cs="Times New Roman"/>
                <w:bCs/>
                <w:color w:val="auto"/>
              </w:rPr>
              <w:t>和装油速率而变动。根据《散装液态石油产品损耗》（GB11085-89）中的零售损耗（机动车加油）计算油品损失，见</w:t>
            </w:r>
            <w:r>
              <w:rPr>
                <w:rFonts w:hint="default" w:cs="Times New Roman"/>
                <w:color w:val="auto"/>
              </w:rPr>
              <w:t>表4-3。</w:t>
            </w:r>
          </w:p>
          <w:p w14:paraId="4E48DBA7">
            <w:pPr>
              <w:pStyle w:val="33"/>
              <w:keepNext w:val="0"/>
              <w:keepLines w:val="0"/>
              <w:suppressLineNumbers w:val="0"/>
              <w:spacing w:before="0" w:beforeAutospacing="0" w:after="0" w:afterAutospacing="0"/>
              <w:ind w:left="0" w:right="0"/>
              <w:rPr>
                <w:rFonts w:hint="default" w:cs="Times New Roman"/>
              </w:rPr>
            </w:pPr>
            <w:r>
              <w:rPr>
                <w:rFonts w:hint="default" w:cs="Times New Roman"/>
              </w:rPr>
              <w:t xml:space="preserve">  加油过程非甲烷总烃产排情况一览表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1311"/>
              <w:gridCol w:w="1064"/>
              <w:gridCol w:w="1560"/>
              <w:gridCol w:w="1315"/>
            </w:tblGrid>
            <w:tr w14:paraId="5063E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200BE98F">
                  <w:pPr>
                    <w:pStyle w:val="26"/>
                    <w:keepNext w:val="0"/>
                    <w:keepLines w:val="0"/>
                    <w:suppressLineNumbers w:val="0"/>
                    <w:spacing w:before="0" w:beforeAutospacing="0" w:after="0" w:afterAutospacing="0"/>
                    <w:ind w:left="0" w:right="0"/>
                    <w:rPr>
                      <w:rFonts w:hint="default"/>
                    </w:rPr>
                  </w:pPr>
                  <w:r>
                    <w:rPr>
                      <w:rFonts w:hint="default"/>
                    </w:rPr>
                    <w:t>产生源</w:t>
                  </w:r>
                </w:p>
              </w:tc>
              <w:tc>
                <w:tcPr>
                  <w:tcW w:w="865" w:type="pct"/>
                  <w:vAlign w:val="center"/>
                </w:tcPr>
                <w:p w14:paraId="3B3348C7">
                  <w:pPr>
                    <w:pStyle w:val="26"/>
                    <w:keepNext w:val="0"/>
                    <w:keepLines w:val="0"/>
                    <w:suppressLineNumbers w:val="0"/>
                    <w:spacing w:before="0" w:beforeAutospacing="0" w:after="0" w:afterAutospacing="0"/>
                    <w:ind w:left="0" w:right="0"/>
                    <w:rPr>
                      <w:rFonts w:hint="default"/>
                    </w:rPr>
                  </w:pPr>
                  <w:r>
                    <w:rPr>
                      <w:rFonts w:hint="default"/>
                    </w:rPr>
                    <w:t>产生源</w:t>
                  </w:r>
                </w:p>
              </w:tc>
              <w:tc>
                <w:tcPr>
                  <w:tcW w:w="702" w:type="pct"/>
                  <w:vAlign w:val="center"/>
                </w:tcPr>
                <w:p w14:paraId="244CC7A1">
                  <w:pPr>
                    <w:pStyle w:val="26"/>
                    <w:keepNext w:val="0"/>
                    <w:keepLines w:val="0"/>
                    <w:suppressLineNumbers w:val="0"/>
                    <w:spacing w:before="0" w:beforeAutospacing="0" w:after="0" w:afterAutospacing="0"/>
                    <w:ind w:left="0" w:right="0"/>
                    <w:rPr>
                      <w:rFonts w:hint="default"/>
                    </w:rPr>
                  </w:pPr>
                  <w:r>
                    <w:rPr>
                      <w:rFonts w:hint="default"/>
                    </w:rPr>
                    <w:t>油量（t）</w:t>
                  </w:r>
                </w:p>
              </w:tc>
              <w:tc>
                <w:tcPr>
                  <w:tcW w:w="1029" w:type="pct"/>
                  <w:vAlign w:val="center"/>
                </w:tcPr>
                <w:p w14:paraId="7D41A9AA">
                  <w:pPr>
                    <w:pStyle w:val="26"/>
                    <w:keepNext w:val="0"/>
                    <w:keepLines w:val="0"/>
                    <w:suppressLineNumbers w:val="0"/>
                    <w:spacing w:before="0" w:beforeAutospacing="0" w:after="0" w:afterAutospacing="0"/>
                    <w:ind w:left="0" w:right="0"/>
                    <w:rPr>
                      <w:rFonts w:hint="default"/>
                    </w:rPr>
                  </w:pPr>
                  <w:r>
                    <w:rPr>
                      <w:rFonts w:hint="default"/>
                    </w:rPr>
                    <w:t>卸车损耗率（%）</w:t>
                  </w:r>
                </w:p>
              </w:tc>
              <w:tc>
                <w:tcPr>
                  <w:tcW w:w="867" w:type="pct"/>
                  <w:vAlign w:val="center"/>
                </w:tcPr>
                <w:p w14:paraId="7DE1DE5A">
                  <w:pPr>
                    <w:pStyle w:val="26"/>
                    <w:keepNext w:val="0"/>
                    <w:keepLines w:val="0"/>
                    <w:suppressLineNumbers w:val="0"/>
                    <w:spacing w:before="0" w:beforeAutospacing="0" w:after="0" w:afterAutospacing="0"/>
                    <w:ind w:left="0" w:right="0"/>
                    <w:rPr>
                      <w:rFonts w:hint="default"/>
                    </w:rPr>
                  </w:pPr>
                  <w:r>
                    <w:rPr>
                      <w:rFonts w:hint="default"/>
                    </w:rPr>
                    <w:t>损失量</w:t>
                  </w:r>
                  <w:r>
                    <w:rPr>
                      <w:rFonts w:hint="eastAsia"/>
                    </w:rPr>
                    <w:t>（</w:t>
                  </w:r>
                  <w:r>
                    <w:rPr>
                      <w:rFonts w:hint="default"/>
                    </w:rPr>
                    <w:t>t</w:t>
                  </w:r>
                  <w:r>
                    <w:rPr>
                      <w:rFonts w:hint="eastAsia"/>
                    </w:rPr>
                    <w:t>）</w:t>
                  </w:r>
                </w:p>
              </w:tc>
            </w:tr>
            <w:tr w14:paraId="2B2AA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7" w:type="pct"/>
                  <w:vAlign w:val="center"/>
                </w:tcPr>
                <w:p w14:paraId="7BBC2630">
                  <w:pPr>
                    <w:pStyle w:val="26"/>
                    <w:keepNext w:val="0"/>
                    <w:keepLines w:val="0"/>
                    <w:suppressLineNumbers w:val="0"/>
                    <w:spacing w:before="0" w:beforeAutospacing="0" w:after="0" w:afterAutospacing="0"/>
                    <w:ind w:left="0" w:right="0"/>
                    <w:rPr>
                      <w:rFonts w:hint="default"/>
                    </w:rPr>
                  </w:pPr>
                  <w:r>
                    <w:rPr>
                      <w:rFonts w:hint="default"/>
                    </w:rPr>
                    <w:t>加油作业蒸发</w:t>
                  </w:r>
                </w:p>
              </w:tc>
              <w:tc>
                <w:tcPr>
                  <w:tcW w:w="865" w:type="pct"/>
                  <w:vAlign w:val="center"/>
                </w:tcPr>
                <w:p w14:paraId="4DE06B15">
                  <w:pPr>
                    <w:pStyle w:val="26"/>
                    <w:keepNext w:val="0"/>
                    <w:keepLines w:val="0"/>
                    <w:suppressLineNumbers w:val="0"/>
                    <w:spacing w:before="0" w:beforeAutospacing="0" w:after="0" w:afterAutospacing="0"/>
                    <w:ind w:left="0" w:right="0"/>
                    <w:rPr>
                      <w:rFonts w:hint="default"/>
                    </w:rPr>
                  </w:pPr>
                  <w:r>
                    <w:rPr>
                      <w:rFonts w:hint="default"/>
                    </w:rPr>
                    <w:t>柴油</w:t>
                  </w:r>
                </w:p>
              </w:tc>
              <w:tc>
                <w:tcPr>
                  <w:tcW w:w="702" w:type="pct"/>
                  <w:vAlign w:val="center"/>
                </w:tcPr>
                <w:p w14:paraId="65B3CEBA">
                  <w:pPr>
                    <w:pStyle w:val="26"/>
                    <w:keepNext w:val="0"/>
                    <w:keepLines w:val="0"/>
                    <w:suppressLineNumbers w:val="0"/>
                    <w:spacing w:before="0" w:beforeAutospacing="0" w:after="0" w:afterAutospacing="0"/>
                    <w:ind w:left="0" w:right="0"/>
                    <w:rPr>
                      <w:rFonts w:hint="default"/>
                    </w:rPr>
                  </w:pPr>
                  <w:r>
                    <w:rPr>
                      <w:rFonts w:hint="default"/>
                    </w:rPr>
                    <w:t>500t</w:t>
                  </w:r>
                </w:p>
              </w:tc>
              <w:tc>
                <w:tcPr>
                  <w:tcW w:w="1029" w:type="pct"/>
                  <w:vAlign w:val="center"/>
                </w:tcPr>
                <w:p w14:paraId="67F22266">
                  <w:pPr>
                    <w:pStyle w:val="26"/>
                    <w:keepNext w:val="0"/>
                    <w:keepLines w:val="0"/>
                    <w:suppressLineNumbers w:val="0"/>
                    <w:spacing w:before="0" w:beforeAutospacing="0" w:after="0" w:afterAutospacing="0"/>
                    <w:ind w:left="0" w:right="0"/>
                    <w:rPr>
                      <w:rFonts w:hint="default"/>
                    </w:rPr>
                  </w:pPr>
                  <w:r>
                    <w:rPr>
                      <w:rFonts w:hint="default"/>
                    </w:rPr>
                    <w:t>0.09%</w:t>
                  </w:r>
                </w:p>
              </w:tc>
              <w:tc>
                <w:tcPr>
                  <w:tcW w:w="867" w:type="pct"/>
                  <w:vAlign w:val="center"/>
                </w:tcPr>
                <w:p w14:paraId="63E764FA">
                  <w:pPr>
                    <w:pStyle w:val="26"/>
                    <w:keepNext w:val="0"/>
                    <w:keepLines w:val="0"/>
                    <w:suppressLineNumbers w:val="0"/>
                    <w:spacing w:before="0" w:beforeAutospacing="0" w:after="0" w:afterAutospacing="0"/>
                    <w:ind w:left="0" w:right="0"/>
                    <w:rPr>
                      <w:rFonts w:hint="default"/>
                    </w:rPr>
                  </w:pPr>
                  <w:r>
                    <w:rPr>
                      <w:rFonts w:hint="default"/>
                    </w:rPr>
                    <w:t>0.45t</w:t>
                  </w:r>
                </w:p>
              </w:tc>
            </w:tr>
          </w:tbl>
          <w:p w14:paraId="30FBB0E5">
            <w:pPr>
              <w:keepNext w:val="0"/>
              <w:keepLines w:val="0"/>
              <w:suppressLineNumbers w:val="0"/>
              <w:spacing w:before="0" w:beforeAutospacing="0" w:after="0" w:afterAutospacing="0"/>
              <w:ind w:left="0" w:right="0" w:firstLine="482"/>
              <w:rPr>
                <w:rFonts w:hint="default" w:cs="Times New Roman"/>
                <w:b/>
                <w:color w:val="auto"/>
              </w:rPr>
            </w:pPr>
            <w:r>
              <w:rPr>
                <w:rFonts w:hint="default" w:cs="Times New Roman"/>
                <w:b/>
                <w:color w:val="auto"/>
              </w:rPr>
              <w:t>（4）LNG充装撬废气</w:t>
            </w:r>
          </w:p>
          <w:p w14:paraId="2E660987">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加气部分废气主要来自卸车作业的无组织排放；系统泄压排放的气体，以及加气过程泄漏的天然气。</w:t>
            </w:r>
          </w:p>
          <w:p w14:paraId="23954650">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①</w:t>
            </w:r>
            <w:r>
              <w:rPr>
                <w:rFonts w:hint="default" w:cs="Times New Roman"/>
                <w:bCs/>
                <w:color w:val="auto"/>
              </w:rPr>
              <w:t>液化天然气槽车卸车时残余放空废气</w:t>
            </w:r>
          </w:p>
          <w:p w14:paraId="57C01833">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槽车卸车时主要为连接管中残余天然气，以及采用增压器联合卸车时槽车泄压放空天然气，上述过程中可能会有少量天然气泄漏，主要分为甲烷、乙烷等，无组织排放。</w:t>
            </w:r>
          </w:p>
          <w:p w14:paraId="542816E7">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②</w:t>
            </w:r>
            <w:r>
              <w:rPr>
                <w:rFonts w:hint="default" w:cs="Times New Roman"/>
                <w:bCs/>
                <w:color w:val="auto"/>
              </w:rPr>
              <w:t>加气过程泄漏的天然气</w:t>
            </w:r>
          </w:p>
          <w:p w14:paraId="73BA7FBF">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给车辆加气时，设置的气相回收管回收车载瓶中余气，因此加气过程泄漏废气主要为枪头残余天然气，排放量极小，为无组织排放。</w:t>
            </w:r>
          </w:p>
          <w:p w14:paraId="7B21730E">
            <w:pPr>
              <w:keepNext w:val="0"/>
              <w:keepLines w:val="0"/>
              <w:suppressLineNumbers w:val="0"/>
              <w:spacing w:before="0" w:beforeAutospacing="0" w:after="0" w:afterAutospacing="0"/>
              <w:ind w:left="0" w:right="0" w:firstLine="480"/>
              <w:rPr>
                <w:rFonts w:hint="default" w:cs="Times New Roman"/>
                <w:bCs/>
                <w:color w:val="auto"/>
              </w:rPr>
            </w:pPr>
            <w:r>
              <w:rPr>
                <w:rFonts w:hint="eastAsia" w:ascii="宋体" w:hAnsi="宋体" w:cs="宋体"/>
                <w:bCs/>
                <w:color w:val="auto"/>
              </w:rPr>
              <w:t>③</w:t>
            </w:r>
            <w:r>
              <w:rPr>
                <w:rFonts w:hint="default" w:cs="Times New Roman"/>
                <w:bCs/>
                <w:color w:val="auto"/>
              </w:rPr>
              <w:t>泄压释放无组织废气</w:t>
            </w:r>
          </w:p>
          <w:p w14:paraId="0E34F4D3">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在正常运行过程中，当储罐压力超高，来不及降压或者其他特殊情况下，储罐压力达到安全阀设定值时，安全阀打开，释放储罐中的气体，降低储罐压力，保证储罐安全，这类释放的气体全部通过放散管口集中放散，放散管口高于储罐所在地面5m以上。一般发生情况的频率较低、排放量也较小，本评价不进行定量评价。</w:t>
            </w:r>
          </w:p>
          <w:p w14:paraId="661CF99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本项目营运期废气污染物产生情况统计如</w:t>
            </w:r>
            <w:r>
              <w:rPr>
                <w:rFonts w:hint="default" w:cs="Times New Roman"/>
                <w:color w:val="auto"/>
              </w:rPr>
              <w:fldChar w:fldCharType="begin"/>
            </w:r>
            <w:r>
              <w:rPr>
                <w:rFonts w:hint="default" w:cs="Times New Roman"/>
                <w:color w:val="auto"/>
              </w:rPr>
              <w:instrText xml:space="preserve"> REF _Ref31357 \n \h </w:instrText>
            </w:r>
            <w:r>
              <w:rPr>
                <w:rFonts w:hint="default" w:cs="Times New Roman"/>
                <w:color w:val="auto"/>
              </w:rPr>
              <w:fldChar w:fldCharType="separate"/>
            </w:r>
            <w:r>
              <w:rPr>
                <w:rFonts w:hint="default" w:cs="Times New Roman"/>
                <w:color w:val="auto"/>
              </w:rPr>
              <w:t xml:space="preserve">表4-4 </w:t>
            </w:r>
            <w:r>
              <w:rPr>
                <w:rFonts w:hint="default" w:cs="Times New Roman"/>
                <w:color w:val="auto"/>
              </w:rPr>
              <w:fldChar w:fldCharType="end"/>
            </w:r>
            <w:r>
              <w:rPr>
                <w:rFonts w:hint="default" w:cs="Times New Roman"/>
                <w:color w:val="auto"/>
              </w:rPr>
              <w:t>所示：</w:t>
            </w:r>
          </w:p>
          <w:p w14:paraId="2B2949F8">
            <w:pPr>
              <w:pStyle w:val="33"/>
              <w:keepNext w:val="0"/>
              <w:keepLines w:val="0"/>
              <w:suppressLineNumbers w:val="0"/>
              <w:spacing w:before="0" w:beforeAutospacing="0" w:after="0" w:afterAutospacing="0"/>
              <w:ind w:left="0" w:right="0"/>
              <w:rPr>
                <w:rFonts w:hint="default" w:cs="Times New Roman"/>
              </w:rPr>
            </w:pPr>
            <w:bookmarkStart w:id="104" w:name="_Ref31357"/>
            <w:r>
              <w:rPr>
                <w:rFonts w:hint="default" w:cs="Times New Roman"/>
              </w:rPr>
              <w:t>本项目废气污染物产生情况一览表</w:t>
            </w:r>
            <w:bookmarkEnd w:id="104"/>
          </w:p>
          <w:tbl>
            <w:tblPr>
              <w:tblStyle w:val="18"/>
              <w:tblW w:w="7435" w:type="dxa"/>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34"/>
              <w:gridCol w:w="1460"/>
              <w:gridCol w:w="810"/>
              <w:gridCol w:w="800"/>
              <w:gridCol w:w="1104"/>
              <w:gridCol w:w="1286"/>
              <w:gridCol w:w="800"/>
              <w:gridCol w:w="741"/>
            </w:tblGrid>
            <w:tr w14:paraId="02227A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98" w:hRule="atLeast"/>
              </w:trPr>
              <w:tc>
                <w:tcPr>
                  <w:tcW w:w="434" w:type="dxa"/>
                  <w:tcBorders>
                    <w:tl2br w:val="nil"/>
                    <w:tr2bl w:val="nil"/>
                  </w:tcBorders>
                  <w:shd w:val="clear" w:color="auto" w:fill="auto"/>
                  <w:vAlign w:val="center"/>
                </w:tcPr>
                <w:p w14:paraId="56122556">
                  <w:pPr>
                    <w:pStyle w:val="26"/>
                    <w:keepNext w:val="0"/>
                    <w:keepLines w:val="0"/>
                    <w:suppressLineNumbers w:val="0"/>
                    <w:spacing w:before="0" w:beforeAutospacing="0" w:after="0" w:afterAutospacing="0"/>
                    <w:ind w:left="0" w:right="0"/>
                    <w:rPr>
                      <w:rFonts w:hint="default"/>
                    </w:rPr>
                  </w:pPr>
                  <w:r>
                    <w:rPr>
                      <w:rFonts w:hint="default"/>
                    </w:rPr>
                    <w:t>序号</w:t>
                  </w:r>
                </w:p>
              </w:tc>
              <w:tc>
                <w:tcPr>
                  <w:tcW w:w="1460" w:type="dxa"/>
                  <w:tcBorders>
                    <w:tl2br w:val="nil"/>
                    <w:tr2bl w:val="nil"/>
                  </w:tcBorders>
                  <w:shd w:val="clear" w:color="auto" w:fill="auto"/>
                  <w:vAlign w:val="center"/>
                </w:tcPr>
                <w:p w14:paraId="288B8D3A">
                  <w:pPr>
                    <w:pStyle w:val="26"/>
                    <w:keepNext w:val="0"/>
                    <w:keepLines w:val="0"/>
                    <w:suppressLineNumbers w:val="0"/>
                    <w:spacing w:before="0" w:beforeAutospacing="0" w:after="0" w:afterAutospacing="0"/>
                    <w:ind w:left="0" w:right="0"/>
                    <w:rPr>
                      <w:rFonts w:hint="default"/>
                    </w:rPr>
                  </w:pPr>
                  <w:r>
                    <w:rPr>
                      <w:rFonts w:hint="default"/>
                    </w:rPr>
                    <w:t>废气名称</w:t>
                  </w:r>
                </w:p>
              </w:tc>
              <w:tc>
                <w:tcPr>
                  <w:tcW w:w="810" w:type="dxa"/>
                  <w:tcBorders>
                    <w:tl2br w:val="nil"/>
                    <w:tr2bl w:val="nil"/>
                  </w:tcBorders>
                  <w:shd w:val="clear" w:color="auto" w:fill="auto"/>
                  <w:vAlign w:val="center"/>
                </w:tcPr>
                <w:p w14:paraId="1339D5CE">
                  <w:pPr>
                    <w:pStyle w:val="26"/>
                    <w:keepNext w:val="0"/>
                    <w:keepLines w:val="0"/>
                    <w:suppressLineNumbers w:val="0"/>
                    <w:spacing w:before="0" w:beforeAutospacing="0" w:after="0" w:afterAutospacing="0"/>
                    <w:ind w:left="0" w:right="0"/>
                    <w:rPr>
                      <w:rFonts w:hint="default"/>
                    </w:rPr>
                  </w:pPr>
                  <w:r>
                    <w:rPr>
                      <w:rFonts w:hint="default"/>
                    </w:rPr>
                    <w:t>污染物</w:t>
                  </w:r>
                </w:p>
              </w:tc>
              <w:tc>
                <w:tcPr>
                  <w:tcW w:w="800" w:type="dxa"/>
                  <w:tcBorders>
                    <w:tl2br w:val="nil"/>
                    <w:tr2bl w:val="nil"/>
                  </w:tcBorders>
                  <w:shd w:val="clear" w:color="auto" w:fill="auto"/>
                  <w:vAlign w:val="center"/>
                </w:tcPr>
                <w:p w14:paraId="7F2F72C7">
                  <w:pPr>
                    <w:pStyle w:val="26"/>
                    <w:keepNext w:val="0"/>
                    <w:keepLines w:val="0"/>
                    <w:suppressLineNumbers w:val="0"/>
                    <w:spacing w:before="0" w:beforeAutospacing="0" w:after="0" w:afterAutospacing="0"/>
                    <w:ind w:left="0" w:right="0"/>
                    <w:rPr>
                      <w:rFonts w:hint="default"/>
                    </w:rPr>
                  </w:pPr>
                  <w:r>
                    <w:rPr>
                      <w:rFonts w:hint="default"/>
                    </w:rPr>
                    <w:t>核算方法</w:t>
                  </w:r>
                </w:p>
              </w:tc>
              <w:tc>
                <w:tcPr>
                  <w:tcW w:w="1104" w:type="dxa"/>
                  <w:tcBorders>
                    <w:tl2br w:val="nil"/>
                    <w:tr2bl w:val="nil"/>
                  </w:tcBorders>
                  <w:shd w:val="clear" w:color="auto" w:fill="auto"/>
                  <w:vAlign w:val="center"/>
                </w:tcPr>
                <w:p w14:paraId="08D7DDF8">
                  <w:pPr>
                    <w:pStyle w:val="26"/>
                    <w:keepNext w:val="0"/>
                    <w:keepLines w:val="0"/>
                    <w:suppressLineNumbers w:val="0"/>
                    <w:spacing w:before="0" w:beforeAutospacing="0" w:after="0" w:afterAutospacing="0"/>
                    <w:ind w:left="0" w:right="0"/>
                    <w:rPr>
                      <w:rFonts w:hint="default"/>
                    </w:rPr>
                  </w:pPr>
                  <w:r>
                    <w:rPr>
                      <w:rFonts w:hint="default"/>
                    </w:rPr>
                    <w:t>原材料用量/产品产能（t/a）</w:t>
                  </w:r>
                </w:p>
              </w:tc>
              <w:tc>
                <w:tcPr>
                  <w:tcW w:w="1286" w:type="dxa"/>
                  <w:tcBorders>
                    <w:tl2br w:val="nil"/>
                    <w:tr2bl w:val="nil"/>
                  </w:tcBorders>
                  <w:shd w:val="clear" w:color="auto" w:fill="auto"/>
                  <w:vAlign w:val="center"/>
                </w:tcPr>
                <w:p w14:paraId="65131A67">
                  <w:pPr>
                    <w:pStyle w:val="26"/>
                    <w:keepNext w:val="0"/>
                    <w:keepLines w:val="0"/>
                    <w:suppressLineNumbers w:val="0"/>
                    <w:spacing w:before="0" w:beforeAutospacing="0" w:after="0" w:afterAutospacing="0"/>
                    <w:ind w:left="0" w:right="0"/>
                    <w:rPr>
                      <w:rFonts w:hint="default"/>
                    </w:rPr>
                  </w:pPr>
                  <w:r>
                    <w:rPr>
                      <w:rFonts w:hint="default"/>
                    </w:rPr>
                    <w:t>参照值/类比值/排污系数</w:t>
                  </w:r>
                </w:p>
              </w:tc>
              <w:tc>
                <w:tcPr>
                  <w:tcW w:w="800" w:type="dxa"/>
                  <w:tcBorders>
                    <w:tl2br w:val="nil"/>
                    <w:tr2bl w:val="nil"/>
                  </w:tcBorders>
                  <w:shd w:val="clear" w:color="auto" w:fill="auto"/>
                  <w:vAlign w:val="center"/>
                </w:tcPr>
                <w:p w14:paraId="51467FF5">
                  <w:pPr>
                    <w:pStyle w:val="26"/>
                    <w:keepNext w:val="0"/>
                    <w:keepLines w:val="0"/>
                    <w:suppressLineNumbers w:val="0"/>
                    <w:spacing w:before="0" w:beforeAutospacing="0" w:after="0" w:afterAutospacing="0"/>
                    <w:ind w:left="0" w:right="0"/>
                    <w:rPr>
                      <w:rFonts w:hint="default"/>
                    </w:rPr>
                  </w:pPr>
                  <w:r>
                    <w:rPr>
                      <w:rFonts w:hint="default"/>
                    </w:rPr>
                    <w:t>年工作时间（h）</w:t>
                  </w:r>
                </w:p>
              </w:tc>
              <w:tc>
                <w:tcPr>
                  <w:tcW w:w="741" w:type="dxa"/>
                  <w:tcBorders>
                    <w:tl2br w:val="nil"/>
                    <w:tr2bl w:val="nil"/>
                  </w:tcBorders>
                  <w:shd w:val="clear" w:color="auto" w:fill="auto"/>
                  <w:vAlign w:val="center"/>
                </w:tcPr>
                <w:p w14:paraId="149A35E5">
                  <w:pPr>
                    <w:pStyle w:val="26"/>
                    <w:keepNext w:val="0"/>
                    <w:keepLines w:val="0"/>
                    <w:suppressLineNumbers w:val="0"/>
                    <w:spacing w:before="0" w:beforeAutospacing="0" w:after="0" w:afterAutospacing="0"/>
                    <w:ind w:left="0" w:right="0"/>
                    <w:rPr>
                      <w:rFonts w:hint="default"/>
                    </w:rPr>
                  </w:pPr>
                  <w:r>
                    <w:rPr>
                      <w:rFonts w:hint="default"/>
                    </w:rPr>
                    <w:t>产生量（t/a）</w:t>
                  </w:r>
                </w:p>
              </w:tc>
            </w:tr>
            <w:tr w14:paraId="29C2A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11E5E298">
                  <w:pPr>
                    <w:pStyle w:val="26"/>
                    <w:keepNext w:val="0"/>
                    <w:keepLines w:val="0"/>
                    <w:suppressLineNumbers w:val="0"/>
                    <w:spacing w:before="0" w:beforeAutospacing="0" w:after="0" w:afterAutospacing="0"/>
                    <w:ind w:left="0" w:right="0"/>
                    <w:rPr>
                      <w:rFonts w:hint="default"/>
                    </w:rPr>
                  </w:pPr>
                  <w:r>
                    <w:rPr>
                      <w:rFonts w:hint="default"/>
                    </w:rPr>
                    <w:t>1</w:t>
                  </w:r>
                </w:p>
              </w:tc>
              <w:tc>
                <w:tcPr>
                  <w:tcW w:w="1460" w:type="dxa"/>
                  <w:tcBorders>
                    <w:tl2br w:val="nil"/>
                    <w:tr2bl w:val="nil"/>
                  </w:tcBorders>
                  <w:shd w:val="clear" w:color="auto" w:fill="auto"/>
                  <w:noWrap/>
                  <w:vAlign w:val="center"/>
                </w:tcPr>
                <w:p w14:paraId="133FFEF8">
                  <w:pPr>
                    <w:pStyle w:val="26"/>
                    <w:keepNext w:val="0"/>
                    <w:keepLines w:val="0"/>
                    <w:suppressLineNumbers w:val="0"/>
                    <w:spacing w:before="0" w:beforeAutospacing="0" w:after="0" w:afterAutospacing="0"/>
                    <w:ind w:left="0" w:right="0"/>
                    <w:rPr>
                      <w:rFonts w:hint="default"/>
                    </w:rPr>
                  </w:pPr>
                  <w:r>
                    <w:rPr>
                      <w:rFonts w:hint="default"/>
                    </w:rPr>
                    <w:t>液硫池沉淀G</w:t>
                  </w:r>
                  <w:r>
                    <w:rPr>
                      <w:rFonts w:hint="default"/>
                      <w:vertAlign w:val="subscript"/>
                    </w:rPr>
                    <w:t>1-1</w:t>
                  </w:r>
                </w:p>
              </w:tc>
              <w:tc>
                <w:tcPr>
                  <w:tcW w:w="810" w:type="dxa"/>
                  <w:vMerge w:val="restart"/>
                  <w:tcBorders>
                    <w:tl2br w:val="nil"/>
                    <w:tr2bl w:val="nil"/>
                  </w:tcBorders>
                  <w:shd w:val="clear" w:color="auto" w:fill="auto"/>
                  <w:noWrap/>
                  <w:vAlign w:val="center"/>
                </w:tcPr>
                <w:p w14:paraId="46037148">
                  <w:pPr>
                    <w:pStyle w:val="26"/>
                    <w:keepNext w:val="0"/>
                    <w:keepLines w:val="0"/>
                    <w:suppressLineNumbers w:val="0"/>
                    <w:spacing w:before="0" w:beforeAutospacing="0" w:after="0" w:afterAutospacing="0"/>
                    <w:ind w:left="0" w:right="0"/>
                    <w:rPr>
                      <w:rFonts w:hint="default"/>
                    </w:rPr>
                  </w:pPr>
                  <w:r>
                    <w:rPr>
                      <w:rFonts w:hint="default"/>
                    </w:rPr>
                    <w:t>H</w:t>
                  </w:r>
                  <w:r>
                    <w:rPr>
                      <w:rFonts w:hint="default"/>
                      <w:vertAlign w:val="subscript"/>
                    </w:rPr>
                    <w:t>2</w:t>
                  </w:r>
                  <w:r>
                    <w:rPr>
                      <w:rFonts w:hint="default"/>
                    </w:rPr>
                    <w:t>S</w:t>
                  </w:r>
                </w:p>
              </w:tc>
              <w:tc>
                <w:tcPr>
                  <w:tcW w:w="800" w:type="dxa"/>
                  <w:vMerge w:val="restart"/>
                  <w:tcBorders>
                    <w:tl2br w:val="nil"/>
                    <w:tr2bl w:val="nil"/>
                  </w:tcBorders>
                  <w:shd w:val="clear" w:color="auto" w:fill="auto"/>
                  <w:noWrap/>
                  <w:vAlign w:val="center"/>
                </w:tcPr>
                <w:p w14:paraId="4C9BA85C">
                  <w:pPr>
                    <w:pStyle w:val="26"/>
                    <w:keepNext w:val="0"/>
                    <w:keepLines w:val="0"/>
                    <w:suppressLineNumbers w:val="0"/>
                    <w:spacing w:before="0" w:beforeAutospacing="0" w:after="0" w:afterAutospacing="0"/>
                    <w:ind w:left="0" w:right="0"/>
                    <w:rPr>
                      <w:rFonts w:hint="default"/>
                    </w:rPr>
                  </w:pPr>
                  <w:r>
                    <w:rPr>
                      <w:rFonts w:hint="default"/>
                    </w:rPr>
                    <w:t>物料衡算法</w:t>
                  </w:r>
                </w:p>
              </w:tc>
              <w:tc>
                <w:tcPr>
                  <w:tcW w:w="1104" w:type="dxa"/>
                  <w:vMerge w:val="restart"/>
                  <w:tcBorders>
                    <w:tl2br w:val="nil"/>
                    <w:tr2bl w:val="nil"/>
                  </w:tcBorders>
                  <w:shd w:val="clear" w:color="auto" w:fill="auto"/>
                  <w:noWrap/>
                  <w:vAlign w:val="center"/>
                </w:tcPr>
                <w:p w14:paraId="083CE073">
                  <w:pPr>
                    <w:pStyle w:val="26"/>
                    <w:keepNext w:val="0"/>
                    <w:keepLines w:val="0"/>
                    <w:suppressLineNumbers w:val="0"/>
                    <w:spacing w:before="0" w:beforeAutospacing="0" w:after="0" w:afterAutospacing="0"/>
                    <w:ind w:left="0" w:right="0"/>
                    <w:rPr>
                      <w:rFonts w:hint="default"/>
                    </w:rPr>
                  </w:pPr>
                  <w:r>
                    <w:rPr>
                      <w:rFonts w:hint="default"/>
                    </w:rPr>
                    <w:t>原料100220</w:t>
                  </w:r>
                </w:p>
              </w:tc>
              <w:tc>
                <w:tcPr>
                  <w:tcW w:w="1286" w:type="dxa"/>
                  <w:vMerge w:val="restart"/>
                  <w:tcBorders>
                    <w:tl2br w:val="nil"/>
                    <w:tr2bl w:val="nil"/>
                  </w:tcBorders>
                  <w:shd w:val="clear" w:color="auto" w:fill="auto"/>
                  <w:noWrap/>
                  <w:vAlign w:val="center"/>
                </w:tcPr>
                <w:p w14:paraId="4EFE6B02">
                  <w:pPr>
                    <w:pStyle w:val="26"/>
                    <w:keepNext w:val="0"/>
                    <w:keepLines w:val="0"/>
                    <w:suppressLineNumbers w:val="0"/>
                    <w:spacing w:before="0" w:beforeAutospacing="0" w:after="0" w:afterAutospacing="0"/>
                    <w:ind w:left="0" w:right="0"/>
                    <w:rPr>
                      <w:rFonts w:hint="default"/>
                    </w:rPr>
                  </w:pPr>
                  <w:r>
                    <w:rPr>
                      <w:rFonts w:hint="default"/>
                    </w:rPr>
                    <w:t>原料质量标准中含量≤0.0015%</w:t>
                  </w:r>
                </w:p>
              </w:tc>
              <w:tc>
                <w:tcPr>
                  <w:tcW w:w="800" w:type="dxa"/>
                  <w:vMerge w:val="restart"/>
                  <w:tcBorders>
                    <w:tl2br w:val="nil"/>
                    <w:tr2bl w:val="nil"/>
                  </w:tcBorders>
                  <w:shd w:val="clear" w:color="auto" w:fill="auto"/>
                  <w:noWrap/>
                  <w:vAlign w:val="center"/>
                </w:tcPr>
                <w:p w14:paraId="63937DF3">
                  <w:pPr>
                    <w:pStyle w:val="26"/>
                    <w:keepNext w:val="0"/>
                    <w:keepLines w:val="0"/>
                    <w:suppressLineNumbers w:val="0"/>
                    <w:spacing w:before="0" w:beforeAutospacing="0" w:after="0" w:afterAutospacing="0"/>
                    <w:ind w:left="0" w:right="0"/>
                    <w:rPr>
                      <w:rFonts w:hint="default"/>
                    </w:rPr>
                  </w:pPr>
                  <w:r>
                    <w:rPr>
                      <w:rFonts w:hint="default"/>
                    </w:rPr>
                    <w:t>8000</w:t>
                  </w:r>
                </w:p>
              </w:tc>
              <w:tc>
                <w:tcPr>
                  <w:tcW w:w="741" w:type="dxa"/>
                  <w:vMerge w:val="restart"/>
                  <w:tcBorders>
                    <w:tl2br w:val="nil"/>
                    <w:tr2bl w:val="nil"/>
                  </w:tcBorders>
                  <w:shd w:val="clear" w:color="auto" w:fill="auto"/>
                  <w:noWrap/>
                  <w:vAlign w:val="center"/>
                </w:tcPr>
                <w:p w14:paraId="6BD668DC">
                  <w:pPr>
                    <w:pStyle w:val="26"/>
                    <w:keepNext w:val="0"/>
                    <w:keepLines w:val="0"/>
                    <w:suppressLineNumbers w:val="0"/>
                    <w:spacing w:before="0" w:beforeAutospacing="0" w:after="0" w:afterAutospacing="0"/>
                    <w:ind w:left="0" w:right="0"/>
                    <w:rPr>
                      <w:rFonts w:hint="default"/>
                    </w:rPr>
                  </w:pPr>
                  <w:r>
                    <w:rPr>
                      <w:rFonts w:hint="default"/>
                    </w:rPr>
                    <w:t>1.503</w:t>
                  </w:r>
                </w:p>
              </w:tc>
            </w:tr>
            <w:tr w14:paraId="38FD5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02284EC0">
                  <w:pPr>
                    <w:pStyle w:val="26"/>
                    <w:keepNext w:val="0"/>
                    <w:keepLines w:val="0"/>
                    <w:suppressLineNumbers w:val="0"/>
                    <w:spacing w:before="0" w:beforeAutospacing="0" w:after="0" w:afterAutospacing="0"/>
                    <w:ind w:left="0" w:right="0"/>
                    <w:rPr>
                      <w:rFonts w:hint="default"/>
                    </w:rPr>
                  </w:pPr>
                  <w:r>
                    <w:rPr>
                      <w:rFonts w:hint="default"/>
                    </w:rPr>
                    <w:t>2</w:t>
                  </w:r>
                </w:p>
              </w:tc>
              <w:tc>
                <w:tcPr>
                  <w:tcW w:w="1460" w:type="dxa"/>
                  <w:tcBorders>
                    <w:tl2br w:val="nil"/>
                    <w:tr2bl w:val="nil"/>
                  </w:tcBorders>
                  <w:shd w:val="clear" w:color="auto" w:fill="auto"/>
                  <w:noWrap/>
                  <w:vAlign w:val="center"/>
                </w:tcPr>
                <w:p w14:paraId="4787AB7A">
                  <w:pPr>
                    <w:pStyle w:val="26"/>
                    <w:keepNext w:val="0"/>
                    <w:keepLines w:val="0"/>
                    <w:suppressLineNumbers w:val="0"/>
                    <w:spacing w:before="0" w:beforeAutospacing="0" w:after="0" w:afterAutospacing="0"/>
                    <w:ind w:left="0" w:right="0"/>
                    <w:rPr>
                      <w:rFonts w:hint="default"/>
                    </w:rPr>
                  </w:pPr>
                  <w:r>
                    <w:rPr>
                      <w:rFonts w:hint="default"/>
                    </w:rPr>
                    <w:t>提纯G</w:t>
                  </w:r>
                  <w:r>
                    <w:rPr>
                      <w:rFonts w:hint="default"/>
                      <w:vertAlign w:val="subscript"/>
                    </w:rPr>
                    <w:t>1-2</w:t>
                  </w:r>
                </w:p>
              </w:tc>
              <w:tc>
                <w:tcPr>
                  <w:tcW w:w="810" w:type="dxa"/>
                  <w:vMerge w:val="continue"/>
                  <w:tcBorders>
                    <w:tl2br w:val="nil"/>
                    <w:tr2bl w:val="nil"/>
                  </w:tcBorders>
                  <w:shd w:val="clear" w:color="auto" w:fill="auto"/>
                  <w:noWrap/>
                  <w:vAlign w:val="center"/>
                </w:tcPr>
                <w:p w14:paraId="233A6A23">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69524705">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75D40893">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597D2C86">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0649DC3D">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6B8F5103">
                  <w:pPr>
                    <w:pStyle w:val="26"/>
                    <w:keepNext w:val="0"/>
                    <w:keepLines w:val="0"/>
                    <w:suppressLineNumbers w:val="0"/>
                    <w:spacing w:before="0" w:beforeAutospacing="0" w:after="0" w:afterAutospacing="0"/>
                    <w:ind w:left="0" w:right="0"/>
                    <w:rPr>
                      <w:rFonts w:hint="default"/>
                    </w:rPr>
                  </w:pPr>
                </w:p>
              </w:tc>
            </w:tr>
            <w:tr w14:paraId="20E3C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1A6A79A2">
                  <w:pPr>
                    <w:pStyle w:val="26"/>
                    <w:keepNext w:val="0"/>
                    <w:keepLines w:val="0"/>
                    <w:suppressLineNumbers w:val="0"/>
                    <w:spacing w:before="0" w:beforeAutospacing="0" w:after="0" w:afterAutospacing="0"/>
                    <w:ind w:left="0" w:right="0"/>
                    <w:rPr>
                      <w:rFonts w:hint="default"/>
                    </w:rPr>
                  </w:pPr>
                  <w:r>
                    <w:rPr>
                      <w:rFonts w:hint="default"/>
                    </w:rPr>
                    <w:t>3</w:t>
                  </w:r>
                </w:p>
              </w:tc>
              <w:tc>
                <w:tcPr>
                  <w:tcW w:w="1460" w:type="dxa"/>
                  <w:tcBorders>
                    <w:tl2br w:val="nil"/>
                    <w:tr2bl w:val="nil"/>
                  </w:tcBorders>
                  <w:shd w:val="clear" w:color="auto" w:fill="auto"/>
                  <w:noWrap/>
                  <w:vAlign w:val="center"/>
                </w:tcPr>
                <w:p w14:paraId="60B79E8B">
                  <w:pPr>
                    <w:pStyle w:val="26"/>
                    <w:keepNext w:val="0"/>
                    <w:keepLines w:val="0"/>
                    <w:suppressLineNumbers w:val="0"/>
                    <w:spacing w:before="0" w:beforeAutospacing="0" w:after="0" w:afterAutospacing="0"/>
                    <w:ind w:left="0" w:right="0"/>
                    <w:rPr>
                      <w:rFonts w:hint="default"/>
                    </w:rPr>
                  </w:pPr>
                  <w:r>
                    <w:rPr>
                      <w:rFonts w:hint="default"/>
                    </w:rPr>
                    <w:t>滚筒造粒G</w:t>
                  </w:r>
                  <w:r>
                    <w:rPr>
                      <w:rFonts w:hint="default"/>
                      <w:vertAlign w:val="subscript"/>
                    </w:rPr>
                    <w:t>1-3</w:t>
                  </w:r>
                </w:p>
              </w:tc>
              <w:tc>
                <w:tcPr>
                  <w:tcW w:w="810" w:type="dxa"/>
                  <w:vMerge w:val="continue"/>
                  <w:tcBorders>
                    <w:tl2br w:val="nil"/>
                    <w:tr2bl w:val="nil"/>
                  </w:tcBorders>
                  <w:shd w:val="clear" w:color="auto" w:fill="auto"/>
                  <w:noWrap/>
                  <w:vAlign w:val="center"/>
                </w:tcPr>
                <w:p w14:paraId="7854337C">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18BF922E">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1691B42B">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0776D090">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5504EFA4">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09CDD855">
                  <w:pPr>
                    <w:pStyle w:val="26"/>
                    <w:keepNext w:val="0"/>
                    <w:keepLines w:val="0"/>
                    <w:suppressLineNumbers w:val="0"/>
                    <w:spacing w:before="0" w:beforeAutospacing="0" w:after="0" w:afterAutospacing="0"/>
                    <w:ind w:left="0" w:right="0"/>
                    <w:rPr>
                      <w:rFonts w:hint="default"/>
                    </w:rPr>
                  </w:pPr>
                </w:p>
              </w:tc>
            </w:tr>
            <w:tr w14:paraId="5AA44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4E27C84C">
                  <w:pPr>
                    <w:pStyle w:val="26"/>
                    <w:keepNext w:val="0"/>
                    <w:keepLines w:val="0"/>
                    <w:suppressLineNumbers w:val="0"/>
                    <w:spacing w:before="0" w:beforeAutospacing="0" w:after="0" w:afterAutospacing="0"/>
                    <w:ind w:left="0" w:right="0"/>
                    <w:rPr>
                      <w:rFonts w:hint="default"/>
                    </w:rPr>
                  </w:pPr>
                  <w:r>
                    <w:rPr>
                      <w:rFonts w:hint="default"/>
                    </w:rPr>
                    <w:t>4</w:t>
                  </w:r>
                </w:p>
              </w:tc>
              <w:tc>
                <w:tcPr>
                  <w:tcW w:w="1460" w:type="dxa"/>
                  <w:tcBorders>
                    <w:tl2br w:val="nil"/>
                    <w:tr2bl w:val="nil"/>
                  </w:tcBorders>
                  <w:shd w:val="clear" w:color="auto" w:fill="auto"/>
                  <w:noWrap/>
                  <w:vAlign w:val="center"/>
                </w:tcPr>
                <w:p w14:paraId="1D35135F">
                  <w:pPr>
                    <w:pStyle w:val="26"/>
                    <w:keepNext w:val="0"/>
                    <w:keepLines w:val="0"/>
                    <w:suppressLineNumbers w:val="0"/>
                    <w:spacing w:before="0" w:beforeAutospacing="0" w:after="0" w:afterAutospacing="0"/>
                    <w:ind w:left="0" w:right="0"/>
                    <w:rPr>
                      <w:rFonts w:hint="default"/>
                    </w:rPr>
                  </w:pPr>
                  <w:r>
                    <w:rPr>
                      <w:rFonts w:hint="default"/>
                    </w:rPr>
                    <w:t>刮片G</w:t>
                  </w:r>
                  <w:r>
                    <w:rPr>
                      <w:rFonts w:hint="default"/>
                      <w:vertAlign w:val="subscript"/>
                    </w:rPr>
                    <w:t>1-4</w:t>
                  </w:r>
                </w:p>
              </w:tc>
              <w:tc>
                <w:tcPr>
                  <w:tcW w:w="810" w:type="dxa"/>
                  <w:vMerge w:val="continue"/>
                  <w:tcBorders>
                    <w:tl2br w:val="nil"/>
                    <w:tr2bl w:val="nil"/>
                  </w:tcBorders>
                  <w:shd w:val="clear" w:color="auto" w:fill="auto"/>
                  <w:noWrap/>
                  <w:vAlign w:val="center"/>
                </w:tcPr>
                <w:p w14:paraId="7FABBC5F">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76DED094">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1B23FF41">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6489CBDC">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56601998">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29708C4E">
                  <w:pPr>
                    <w:pStyle w:val="26"/>
                    <w:keepNext w:val="0"/>
                    <w:keepLines w:val="0"/>
                    <w:suppressLineNumbers w:val="0"/>
                    <w:spacing w:before="0" w:beforeAutospacing="0" w:after="0" w:afterAutospacing="0"/>
                    <w:ind w:left="0" w:right="0"/>
                    <w:rPr>
                      <w:rFonts w:hint="default"/>
                    </w:rPr>
                  </w:pPr>
                </w:p>
              </w:tc>
            </w:tr>
            <w:tr w14:paraId="4A962B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7EC2D407">
                  <w:pPr>
                    <w:pStyle w:val="26"/>
                    <w:keepNext w:val="0"/>
                    <w:keepLines w:val="0"/>
                    <w:suppressLineNumbers w:val="0"/>
                    <w:spacing w:before="0" w:beforeAutospacing="0" w:after="0" w:afterAutospacing="0"/>
                    <w:ind w:left="0" w:right="0"/>
                    <w:rPr>
                      <w:rFonts w:hint="default"/>
                    </w:rPr>
                  </w:pPr>
                  <w:r>
                    <w:rPr>
                      <w:rFonts w:hint="default"/>
                    </w:rPr>
                    <w:t>5</w:t>
                  </w:r>
                </w:p>
              </w:tc>
              <w:tc>
                <w:tcPr>
                  <w:tcW w:w="1460" w:type="dxa"/>
                  <w:tcBorders>
                    <w:tl2br w:val="nil"/>
                    <w:tr2bl w:val="nil"/>
                  </w:tcBorders>
                  <w:shd w:val="clear" w:color="auto" w:fill="auto"/>
                  <w:noWrap/>
                  <w:vAlign w:val="center"/>
                </w:tcPr>
                <w:p w14:paraId="1AED6403">
                  <w:pPr>
                    <w:pStyle w:val="26"/>
                    <w:keepNext w:val="0"/>
                    <w:keepLines w:val="0"/>
                    <w:suppressLineNumbers w:val="0"/>
                    <w:spacing w:before="0" w:beforeAutospacing="0" w:after="0" w:afterAutospacing="0"/>
                    <w:ind w:left="0" w:right="0"/>
                    <w:rPr>
                      <w:rFonts w:hint="default"/>
                    </w:rPr>
                  </w:pPr>
                  <w:r>
                    <w:rPr>
                      <w:rFonts w:hint="default"/>
                    </w:rPr>
                    <w:t>湿法造粒G</w:t>
                  </w:r>
                  <w:r>
                    <w:rPr>
                      <w:rFonts w:hint="default"/>
                      <w:vertAlign w:val="subscript"/>
                    </w:rPr>
                    <w:t>1-5</w:t>
                  </w:r>
                </w:p>
              </w:tc>
              <w:tc>
                <w:tcPr>
                  <w:tcW w:w="810" w:type="dxa"/>
                  <w:vMerge w:val="continue"/>
                  <w:tcBorders>
                    <w:tl2br w:val="nil"/>
                    <w:tr2bl w:val="nil"/>
                  </w:tcBorders>
                  <w:shd w:val="clear" w:color="auto" w:fill="auto"/>
                  <w:noWrap/>
                  <w:vAlign w:val="center"/>
                </w:tcPr>
                <w:p w14:paraId="31D535A2">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01F4DA3F">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46B4549E">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278A419D">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1B528DF3">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47D8060F">
                  <w:pPr>
                    <w:pStyle w:val="26"/>
                    <w:keepNext w:val="0"/>
                    <w:keepLines w:val="0"/>
                    <w:suppressLineNumbers w:val="0"/>
                    <w:spacing w:before="0" w:beforeAutospacing="0" w:after="0" w:afterAutospacing="0"/>
                    <w:ind w:left="0" w:right="0"/>
                    <w:rPr>
                      <w:rFonts w:hint="default"/>
                    </w:rPr>
                  </w:pPr>
                </w:p>
              </w:tc>
            </w:tr>
            <w:tr w14:paraId="191D3A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2457C13B">
                  <w:pPr>
                    <w:pStyle w:val="26"/>
                    <w:keepNext w:val="0"/>
                    <w:keepLines w:val="0"/>
                    <w:suppressLineNumbers w:val="0"/>
                    <w:spacing w:before="0" w:beforeAutospacing="0" w:after="0" w:afterAutospacing="0"/>
                    <w:ind w:left="0" w:right="0"/>
                    <w:rPr>
                      <w:rFonts w:hint="default"/>
                    </w:rPr>
                  </w:pPr>
                  <w:r>
                    <w:rPr>
                      <w:rFonts w:hint="default"/>
                    </w:rPr>
                    <w:t>6</w:t>
                  </w:r>
                </w:p>
              </w:tc>
              <w:tc>
                <w:tcPr>
                  <w:tcW w:w="1460" w:type="dxa"/>
                  <w:tcBorders>
                    <w:tl2br w:val="nil"/>
                    <w:tr2bl w:val="nil"/>
                  </w:tcBorders>
                  <w:shd w:val="clear" w:color="auto" w:fill="auto"/>
                  <w:noWrap/>
                  <w:vAlign w:val="center"/>
                </w:tcPr>
                <w:p w14:paraId="0FC2AFE9">
                  <w:pPr>
                    <w:pStyle w:val="26"/>
                    <w:keepNext w:val="0"/>
                    <w:keepLines w:val="0"/>
                    <w:suppressLineNumbers w:val="0"/>
                    <w:spacing w:before="0" w:beforeAutospacing="0" w:after="0" w:afterAutospacing="0"/>
                    <w:ind w:left="0" w:right="0"/>
                    <w:rPr>
                      <w:rFonts w:hint="default"/>
                    </w:rPr>
                  </w:pPr>
                  <w:r>
                    <w:rPr>
                      <w:rFonts w:hint="default"/>
                    </w:rPr>
                    <w:t>滚筒造粒G</w:t>
                  </w:r>
                  <w:r>
                    <w:rPr>
                      <w:rFonts w:hint="default"/>
                      <w:vertAlign w:val="subscript"/>
                    </w:rPr>
                    <w:t>1-3</w:t>
                  </w:r>
                </w:p>
              </w:tc>
              <w:tc>
                <w:tcPr>
                  <w:tcW w:w="810" w:type="dxa"/>
                  <w:vMerge w:val="restart"/>
                  <w:tcBorders>
                    <w:tl2br w:val="nil"/>
                    <w:tr2bl w:val="nil"/>
                  </w:tcBorders>
                  <w:shd w:val="clear" w:color="auto" w:fill="auto"/>
                  <w:noWrap/>
                  <w:vAlign w:val="center"/>
                </w:tcPr>
                <w:p w14:paraId="514ABD17">
                  <w:pPr>
                    <w:pStyle w:val="26"/>
                    <w:keepNext w:val="0"/>
                    <w:keepLines w:val="0"/>
                    <w:suppressLineNumbers w:val="0"/>
                    <w:spacing w:before="0" w:beforeAutospacing="0" w:after="0" w:afterAutospacing="0"/>
                    <w:ind w:left="0" w:right="0"/>
                    <w:rPr>
                      <w:rFonts w:hint="default"/>
                    </w:rPr>
                  </w:pPr>
                  <w:r>
                    <w:rPr>
                      <w:rFonts w:hint="default"/>
                    </w:rPr>
                    <w:t>颗粒物</w:t>
                  </w:r>
                </w:p>
              </w:tc>
              <w:tc>
                <w:tcPr>
                  <w:tcW w:w="800" w:type="dxa"/>
                  <w:vMerge w:val="restart"/>
                  <w:tcBorders>
                    <w:tl2br w:val="nil"/>
                    <w:tr2bl w:val="nil"/>
                  </w:tcBorders>
                  <w:shd w:val="clear" w:color="auto" w:fill="auto"/>
                  <w:noWrap/>
                  <w:vAlign w:val="center"/>
                </w:tcPr>
                <w:p w14:paraId="079D8955">
                  <w:pPr>
                    <w:pStyle w:val="26"/>
                    <w:keepNext w:val="0"/>
                    <w:keepLines w:val="0"/>
                    <w:suppressLineNumbers w:val="0"/>
                    <w:spacing w:before="0" w:beforeAutospacing="0" w:after="0" w:afterAutospacing="0"/>
                    <w:ind w:left="0" w:right="0"/>
                    <w:rPr>
                      <w:rFonts w:hint="default"/>
                    </w:rPr>
                  </w:pPr>
                  <w:r>
                    <w:rPr>
                      <w:rFonts w:hint="default"/>
                    </w:rPr>
                    <w:t>类比法</w:t>
                  </w:r>
                </w:p>
              </w:tc>
              <w:tc>
                <w:tcPr>
                  <w:tcW w:w="1104" w:type="dxa"/>
                  <w:vMerge w:val="restart"/>
                  <w:tcBorders>
                    <w:tl2br w:val="nil"/>
                    <w:tr2bl w:val="nil"/>
                  </w:tcBorders>
                  <w:shd w:val="clear" w:color="auto" w:fill="auto"/>
                  <w:noWrap/>
                  <w:vAlign w:val="center"/>
                </w:tcPr>
                <w:p w14:paraId="63F4D45A">
                  <w:pPr>
                    <w:pStyle w:val="26"/>
                    <w:keepNext w:val="0"/>
                    <w:keepLines w:val="0"/>
                    <w:suppressLineNumbers w:val="0"/>
                    <w:spacing w:before="0" w:beforeAutospacing="0" w:after="0" w:afterAutospacing="0"/>
                    <w:ind w:left="0" w:right="0"/>
                    <w:rPr>
                      <w:rFonts w:hint="default"/>
                    </w:rPr>
                  </w:pPr>
                  <w:r>
                    <w:rPr>
                      <w:rFonts w:hint="default"/>
                    </w:rPr>
                    <w:t>/</w:t>
                  </w:r>
                </w:p>
              </w:tc>
              <w:tc>
                <w:tcPr>
                  <w:tcW w:w="1286" w:type="dxa"/>
                  <w:vMerge w:val="restart"/>
                  <w:tcBorders>
                    <w:tl2br w:val="nil"/>
                    <w:tr2bl w:val="nil"/>
                  </w:tcBorders>
                  <w:shd w:val="clear" w:color="auto" w:fill="auto"/>
                  <w:noWrap/>
                  <w:vAlign w:val="center"/>
                </w:tcPr>
                <w:p w14:paraId="3648E55C">
                  <w:pPr>
                    <w:pStyle w:val="26"/>
                    <w:keepNext w:val="0"/>
                    <w:keepLines w:val="0"/>
                    <w:suppressLineNumbers w:val="0"/>
                    <w:spacing w:before="0" w:beforeAutospacing="0" w:after="0" w:afterAutospacing="0"/>
                    <w:ind w:left="0" w:right="0"/>
                    <w:rPr>
                      <w:rFonts w:hint="default"/>
                    </w:rPr>
                  </w:pPr>
                  <w:r>
                    <w:rPr>
                      <w:rFonts w:hint="default"/>
                    </w:rPr>
                    <w:t>类比产生速率0.75kg/h</w:t>
                  </w:r>
                </w:p>
              </w:tc>
              <w:tc>
                <w:tcPr>
                  <w:tcW w:w="800" w:type="dxa"/>
                  <w:vMerge w:val="restart"/>
                  <w:tcBorders>
                    <w:tl2br w:val="nil"/>
                    <w:tr2bl w:val="nil"/>
                  </w:tcBorders>
                  <w:shd w:val="clear" w:color="auto" w:fill="auto"/>
                  <w:noWrap/>
                  <w:vAlign w:val="center"/>
                </w:tcPr>
                <w:p w14:paraId="4D4FA976">
                  <w:pPr>
                    <w:pStyle w:val="26"/>
                    <w:keepNext w:val="0"/>
                    <w:keepLines w:val="0"/>
                    <w:suppressLineNumbers w:val="0"/>
                    <w:spacing w:before="0" w:beforeAutospacing="0" w:after="0" w:afterAutospacing="0"/>
                    <w:ind w:left="0" w:right="0"/>
                    <w:rPr>
                      <w:rFonts w:hint="default"/>
                    </w:rPr>
                  </w:pPr>
                  <w:r>
                    <w:rPr>
                      <w:rFonts w:hint="default"/>
                    </w:rPr>
                    <w:t>8000</w:t>
                  </w:r>
                </w:p>
              </w:tc>
              <w:tc>
                <w:tcPr>
                  <w:tcW w:w="741" w:type="dxa"/>
                  <w:vMerge w:val="restart"/>
                  <w:tcBorders>
                    <w:tl2br w:val="nil"/>
                    <w:tr2bl w:val="nil"/>
                  </w:tcBorders>
                  <w:shd w:val="clear" w:color="auto" w:fill="auto"/>
                  <w:noWrap/>
                  <w:vAlign w:val="center"/>
                </w:tcPr>
                <w:p w14:paraId="50753C91">
                  <w:pPr>
                    <w:pStyle w:val="26"/>
                    <w:keepNext w:val="0"/>
                    <w:keepLines w:val="0"/>
                    <w:suppressLineNumbers w:val="0"/>
                    <w:spacing w:before="0" w:beforeAutospacing="0" w:after="0" w:afterAutospacing="0"/>
                    <w:ind w:left="0" w:right="0"/>
                    <w:rPr>
                      <w:rFonts w:hint="default"/>
                    </w:rPr>
                  </w:pPr>
                  <w:r>
                    <w:rPr>
                      <w:rFonts w:hint="default"/>
                    </w:rPr>
                    <w:t>16.8</w:t>
                  </w:r>
                </w:p>
              </w:tc>
            </w:tr>
            <w:tr w14:paraId="152282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42FE3902">
                  <w:pPr>
                    <w:pStyle w:val="26"/>
                    <w:keepNext w:val="0"/>
                    <w:keepLines w:val="0"/>
                    <w:suppressLineNumbers w:val="0"/>
                    <w:spacing w:before="0" w:beforeAutospacing="0" w:after="0" w:afterAutospacing="0"/>
                    <w:ind w:left="0" w:right="0"/>
                    <w:rPr>
                      <w:rFonts w:hint="default"/>
                    </w:rPr>
                  </w:pPr>
                  <w:r>
                    <w:rPr>
                      <w:rFonts w:hint="default"/>
                    </w:rPr>
                    <w:t>7</w:t>
                  </w:r>
                </w:p>
              </w:tc>
              <w:tc>
                <w:tcPr>
                  <w:tcW w:w="1460" w:type="dxa"/>
                  <w:tcBorders>
                    <w:tl2br w:val="nil"/>
                    <w:tr2bl w:val="nil"/>
                  </w:tcBorders>
                  <w:shd w:val="clear" w:color="auto" w:fill="auto"/>
                  <w:vAlign w:val="center"/>
                </w:tcPr>
                <w:p w14:paraId="5348CE32">
                  <w:pPr>
                    <w:pStyle w:val="26"/>
                    <w:keepNext w:val="0"/>
                    <w:keepLines w:val="0"/>
                    <w:suppressLineNumbers w:val="0"/>
                    <w:spacing w:before="0" w:beforeAutospacing="0" w:after="0" w:afterAutospacing="0"/>
                    <w:ind w:left="0" w:right="0"/>
                    <w:rPr>
                      <w:rFonts w:hint="default"/>
                    </w:rPr>
                  </w:pPr>
                  <w:r>
                    <w:rPr>
                      <w:rFonts w:hint="default"/>
                    </w:rPr>
                    <w:t>刮片G</w:t>
                  </w:r>
                  <w:r>
                    <w:rPr>
                      <w:rFonts w:hint="default"/>
                      <w:vertAlign w:val="subscript"/>
                    </w:rPr>
                    <w:t>1-4</w:t>
                  </w:r>
                </w:p>
              </w:tc>
              <w:tc>
                <w:tcPr>
                  <w:tcW w:w="810" w:type="dxa"/>
                  <w:vMerge w:val="continue"/>
                  <w:tcBorders>
                    <w:tl2br w:val="nil"/>
                    <w:tr2bl w:val="nil"/>
                  </w:tcBorders>
                  <w:shd w:val="clear" w:color="auto" w:fill="auto"/>
                  <w:noWrap/>
                  <w:vAlign w:val="center"/>
                </w:tcPr>
                <w:p w14:paraId="3AAF28F8">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08CAA358">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47EC9954">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3A2F572C">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5B3B55D8">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7EDF8B61">
                  <w:pPr>
                    <w:pStyle w:val="26"/>
                    <w:keepNext w:val="0"/>
                    <w:keepLines w:val="0"/>
                    <w:suppressLineNumbers w:val="0"/>
                    <w:spacing w:before="0" w:beforeAutospacing="0" w:after="0" w:afterAutospacing="0"/>
                    <w:ind w:left="0" w:right="0"/>
                    <w:rPr>
                      <w:rFonts w:hint="default"/>
                    </w:rPr>
                  </w:pPr>
                </w:p>
              </w:tc>
            </w:tr>
            <w:tr w14:paraId="023EC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6" w:hRule="atLeast"/>
              </w:trPr>
              <w:tc>
                <w:tcPr>
                  <w:tcW w:w="434" w:type="dxa"/>
                  <w:tcBorders>
                    <w:tl2br w:val="nil"/>
                    <w:tr2bl w:val="nil"/>
                  </w:tcBorders>
                  <w:shd w:val="clear" w:color="auto" w:fill="auto"/>
                  <w:noWrap/>
                  <w:vAlign w:val="center"/>
                </w:tcPr>
                <w:p w14:paraId="63BA72B1">
                  <w:pPr>
                    <w:pStyle w:val="26"/>
                    <w:keepNext w:val="0"/>
                    <w:keepLines w:val="0"/>
                    <w:suppressLineNumbers w:val="0"/>
                    <w:spacing w:before="0" w:beforeAutospacing="0" w:after="0" w:afterAutospacing="0"/>
                    <w:ind w:left="0" w:right="0"/>
                    <w:rPr>
                      <w:rFonts w:hint="default"/>
                    </w:rPr>
                  </w:pPr>
                  <w:r>
                    <w:rPr>
                      <w:rFonts w:hint="default"/>
                    </w:rPr>
                    <w:t>8</w:t>
                  </w:r>
                </w:p>
              </w:tc>
              <w:tc>
                <w:tcPr>
                  <w:tcW w:w="1460" w:type="dxa"/>
                  <w:tcBorders>
                    <w:tl2br w:val="nil"/>
                    <w:tr2bl w:val="nil"/>
                  </w:tcBorders>
                  <w:shd w:val="clear" w:color="auto" w:fill="auto"/>
                  <w:vAlign w:val="center"/>
                </w:tcPr>
                <w:p w14:paraId="478BCBE5">
                  <w:pPr>
                    <w:pStyle w:val="26"/>
                    <w:keepNext w:val="0"/>
                    <w:keepLines w:val="0"/>
                    <w:suppressLineNumbers w:val="0"/>
                    <w:spacing w:before="0" w:beforeAutospacing="0" w:after="0" w:afterAutospacing="0"/>
                    <w:ind w:left="0" w:right="0"/>
                    <w:rPr>
                      <w:rFonts w:hint="default"/>
                    </w:rPr>
                  </w:pPr>
                  <w:r>
                    <w:rPr>
                      <w:rFonts w:hint="default"/>
                    </w:rPr>
                    <w:t>湿法造粒G</w:t>
                  </w:r>
                  <w:r>
                    <w:rPr>
                      <w:rFonts w:hint="default"/>
                      <w:vertAlign w:val="subscript"/>
                    </w:rPr>
                    <w:t>1-5</w:t>
                  </w:r>
                </w:p>
              </w:tc>
              <w:tc>
                <w:tcPr>
                  <w:tcW w:w="810" w:type="dxa"/>
                  <w:vMerge w:val="continue"/>
                  <w:tcBorders>
                    <w:tl2br w:val="nil"/>
                    <w:tr2bl w:val="nil"/>
                  </w:tcBorders>
                  <w:shd w:val="clear" w:color="auto" w:fill="auto"/>
                  <w:noWrap/>
                  <w:vAlign w:val="center"/>
                </w:tcPr>
                <w:p w14:paraId="5A7D47A2">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1416FED1">
                  <w:pPr>
                    <w:pStyle w:val="26"/>
                    <w:keepNext w:val="0"/>
                    <w:keepLines w:val="0"/>
                    <w:suppressLineNumbers w:val="0"/>
                    <w:spacing w:before="0" w:beforeAutospacing="0" w:after="0" w:afterAutospacing="0"/>
                    <w:ind w:left="0" w:right="0"/>
                    <w:rPr>
                      <w:rFonts w:hint="default"/>
                    </w:rPr>
                  </w:pPr>
                </w:p>
              </w:tc>
              <w:tc>
                <w:tcPr>
                  <w:tcW w:w="1104" w:type="dxa"/>
                  <w:vMerge w:val="continue"/>
                  <w:tcBorders>
                    <w:tl2br w:val="nil"/>
                    <w:tr2bl w:val="nil"/>
                  </w:tcBorders>
                  <w:shd w:val="clear" w:color="auto" w:fill="auto"/>
                  <w:noWrap/>
                  <w:vAlign w:val="center"/>
                </w:tcPr>
                <w:p w14:paraId="240192E3">
                  <w:pPr>
                    <w:pStyle w:val="26"/>
                    <w:keepNext w:val="0"/>
                    <w:keepLines w:val="0"/>
                    <w:suppressLineNumbers w:val="0"/>
                    <w:spacing w:before="0" w:beforeAutospacing="0" w:after="0" w:afterAutospacing="0"/>
                    <w:ind w:left="0" w:right="0"/>
                    <w:rPr>
                      <w:rFonts w:hint="default"/>
                    </w:rPr>
                  </w:pPr>
                </w:p>
              </w:tc>
              <w:tc>
                <w:tcPr>
                  <w:tcW w:w="1286" w:type="dxa"/>
                  <w:vMerge w:val="continue"/>
                  <w:tcBorders>
                    <w:tl2br w:val="nil"/>
                    <w:tr2bl w:val="nil"/>
                  </w:tcBorders>
                  <w:shd w:val="clear" w:color="auto" w:fill="auto"/>
                  <w:noWrap/>
                  <w:vAlign w:val="center"/>
                </w:tcPr>
                <w:p w14:paraId="0F75F1A5">
                  <w:pPr>
                    <w:pStyle w:val="26"/>
                    <w:keepNext w:val="0"/>
                    <w:keepLines w:val="0"/>
                    <w:suppressLineNumbers w:val="0"/>
                    <w:spacing w:before="0" w:beforeAutospacing="0" w:after="0" w:afterAutospacing="0"/>
                    <w:ind w:left="0" w:right="0"/>
                    <w:rPr>
                      <w:rFonts w:hint="default"/>
                    </w:rPr>
                  </w:pPr>
                </w:p>
              </w:tc>
              <w:tc>
                <w:tcPr>
                  <w:tcW w:w="800" w:type="dxa"/>
                  <w:vMerge w:val="continue"/>
                  <w:tcBorders>
                    <w:tl2br w:val="nil"/>
                    <w:tr2bl w:val="nil"/>
                  </w:tcBorders>
                  <w:shd w:val="clear" w:color="auto" w:fill="auto"/>
                  <w:noWrap/>
                  <w:vAlign w:val="center"/>
                </w:tcPr>
                <w:p w14:paraId="05C8CA3D">
                  <w:pPr>
                    <w:pStyle w:val="26"/>
                    <w:keepNext w:val="0"/>
                    <w:keepLines w:val="0"/>
                    <w:suppressLineNumbers w:val="0"/>
                    <w:spacing w:before="0" w:beforeAutospacing="0" w:after="0" w:afterAutospacing="0"/>
                    <w:ind w:left="0" w:right="0"/>
                    <w:rPr>
                      <w:rFonts w:hint="default"/>
                    </w:rPr>
                  </w:pPr>
                </w:p>
              </w:tc>
              <w:tc>
                <w:tcPr>
                  <w:tcW w:w="741" w:type="dxa"/>
                  <w:vMerge w:val="continue"/>
                  <w:tcBorders>
                    <w:tl2br w:val="nil"/>
                    <w:tr2bl w:val="nil"/>
                  </w:tcBorders>
                  <w:shd w:val="clear" w:color="auto" w:fill="auto"/>
                  <w:noWrap/>
                  <w:vAlign w:val="center"/>
                </w:tcPr>
                <w:p w14:paraId="3FA5BAC3">
                  <w:pPr>
                    <w:pStyle w:val="26"/>
                    <w:keepNext w:val="0"/>
                    <w:keepLines w:val="0"/>
                    <w:suppressLineNumbers w:val="0"/>
                    <w:spacing w:before="0" w:beforeAutospacing="0" w:after="0" w:afterAutospacing="0"/>
                    <w:ind w:left="0" w:right="0"/>
                    <w:rPr>
                      <w:rFonts w:hint="default"/>
                    </w:rPr>
                  </w:pPr>
                </w:p>
              </w:tc>
            </w:tr>
            <w:tr w14:paraId="19C3D7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0329CD1F">
                  <w:pPr>
                    <w:pStyle w:val="26"/>
                    <w:keepNext w:val="0"/>
                    <w:keepLines w:val="0"/>
                    <w:suppressLineNumbers w:val="0"/>
                    <w:spacing w:before="0" w:beforeAutospacing="0" w:after="0" w:afterAutospacing="0"/>
                    <w:ind w:left="0" w:right="0"/>
                    <w:rPr>
                      <w:rFonts w:hint="default"/>
                    </w:rPr>
                  </w:pPr>
                  <w:r>
                    <w:rPr>
                      <w:rFonts w:hint="default"/>
                    </w:rPr>
                    <w:t>9</w:t>
                  </w:r>
                </w:p>
              </w:tc>
              <w:tc>
                <w:tcPr>
                  <w:tcW w:w="1460" w:type="dxa"/>
                  <w:tcBorders>
                    <w:tl2br w:val="nil"/>
                    <w:tr2bl w:val="nil"/>
                  </w:tcBorders>
                  <w:shd w:val="clear" w:color="auto" w:fill="auto"/>
                  <w:vAlign w:val="center"/>
                </w:tcPr>
                <w:p w14:paraId="6B0BA693">
                  <w:pPr>
                    <w:pStyle w:val="26"/>
                    <w:keepNext w:val="0"/>
                    <w:keepLines w:val="0"/>
                    <w:suppressLineNumbers w:val="0"/>
                    <w:spacing w:before="0" w:beforeAutospacing="0" w:after="0" w:afterAutospacing="0"/>
                    <w:ind w:left="0" w:right="0"/>
                    <w:rPr>
                      <w:rFonts w:hint="default"/>
                    </w:rPr>
                  </w:pPr>
                  <w:r>
                    <w:rPr>
                      <w:rFonts w:hint="default"/>
                    </w:rPr>
                    <w:t>包装G</w:t>
                  </w:r>
                  <w:r>
                    <w:rPr>
                      <w:rFonts w:hint="default"/>
                      <w:vertAlign w:val="subscript"/>
                    </w:rPr>
                    <w:t>1-6</w:t>
                  </w:r>
                  <w:r>
                    <w:rPr>
                      <w:rFonts w:hint="default"/>
                    </w:rPr>
                    <w:t>、G</w:t>
                  </w:r>
                  <w:r>
                    <w:rPr>
                      <w:rFonts w:hint="default"/>
                      <w:vertAlign w:val="subscript"/>
                    </w:rPr>
                    <w:t>1-7</w:t>
                  </w:r>
                </w:p>
              </w:tc>
              <w:tc>
                <w:tcPr>
                  <w:tcW w:w="810" w:type="dxa"/>
                  <w:tcBorders>
                    <w:tl2br w:val="nil"/>
                    <w:tr2bl w:val="nil"/>
                  </w:tcBorders>
                  <w:shd w:val="clear" w:color="auto" w:fill="auto"/>
                  <w:noWrap/>
                  <w:vAlign w:val="center"/>
                </w:tcPr>
                <w:p w14:paraId="3105C5F5">
                  <w:pPr>
                    <w:pStyle w:val="26"/>
                    <w:keepNext w:val="0"/>
                    <w:keepLines w:val="0"/>
                    <w:suppressLineNumbers w:val="0"/>
                    <w:spacing w:before="0" w:beforeAutospacing="0" w:after="0" w:afterAutospacing="0"/>
                    <w:ind w:left="0" w:right="0"/>
                    <w:rPr>
                      <w:rFonts w:hint="default"/>
                    </w:rPr>
                  </w:pPr>
                  <w:r>
                    <w:rPr>
                      <w:rFonts w:hint="default"/>
                    </w:rPr>
                    <w:t>颗粒物</w:t>
                  </w:r>
                </w:p>
              </w:tc>
              <w:tc>
                <w:tcPr>
                  <w:tcW w:w="800" w:type="dxa"/>
                  <w:tcBorders>
                    <w:tl2br w:val="nil"/>
                    <w:tr2bl w:val="nil"/>
                  </w:tcBorders>
                  <w:shd w:val="clear" w:color="auto" w:fill="auto"/>
                  <w:noWrap/>
                  <w:vAlign w:val="center"/>
                </w:tcPr>
                <w:p w14:paraId="7DBF6C6C">
                  <w:pPr>
                    <w:pStyle w:val="26"/>
                    <w:keepNext w:val="0"/>
                    <w:keepLines w:val="0"/>
                    <w:suppressLineNumbers w:val="0"/>
                    <w:spacing w:before="0" w:beforeAutospacing="0" w:after="0" w:afterAutospacing="0"/>
                    <w:ind w:left="0" w:right="0"/>
                    <w:rPr>
                      <w:rFonts w:hint="default"/>
                    </w:rPr>
                  </w:pPr>
                  <w:r>
                    <w:rPr>
                      <w:rFonts w:hint="default"/>
                    </w:rPr>
                    <w:t>系数法</w:t>
                  </w:r>
                </w:p>
              </w:tc>
              <w:tc>
                <w:tcPr>
                  <w:tcW w:w="1104" w:type="dxa"/>
                  <w:tcBorders>
                    <w:tl2br w:val="nil"/>
                    <w:tr2bl w:val="nil"/>
                  </w:tcBorders>
                  <w:shd w:val="clear" w:color="auto" w:fill="auto"/>
                  <w:noWrap/>
                  <w:vAlign w:val="center"/>
                </w:tcPr>
                <w:p w14:paraId="14543078">
                  <w:pPr>
                    <w:pStyle w:val="26"/>
                    <w:keepNext w:val="0"/>
                    <w:keepLines w:val="0"/>
                    <w:suppressLineNumbers w:val="0"/>
                    <w:spacing w:before="0" w:beforeAutospacing="0" w:after="0" w:afterAutospacing="0"/>
                    <w:ind w:left="0" w:right="0"/>
                    <w:rPr>
                      <w:rFonts w:hint="default"/>
                    </w:rPr>
                  </w:pPr>
                  <w:r>
                    <w:rPr>
                      <w:rFonts w:hint="default"/>
                    </w:rPr>
                    <w:t>产量50000</w:t>
                  </w:r>
                </w:p>
              </w:tc>
              <w:tc>
                <w:tcPr>
                  <w:tcW w:w="1286" w:type="dxa"/>
                  <w:tcBorders>
                    <w:tl2br w:val="nil"/>
                    <w:tr2bl w:val="nil"/>
                  </w:tcBorders>
                  <w:shd w:val="clear" w:color="auto" w:fill="auto"/>
                  <w:noWrap/>
                  <w:vAlign w:val="center"/>
                </w:tcPr>
                <w:p w14:paraId="118EF94B">
                  <w:pPr>
                    <w:pStyle w:val="26"/>
                    <w:keepNext w:val="0"/>
                    <w:keepLines w:val="0"/>
                    <w:suppressLineNumbers w:val="0"/>
                    <w:spacing w:before="0" w:beforeAutospacing="0" w:after="0" w:afterAutospacing="0"/>
                    <w:ind w:left="0" w:right="0"/>
                    <w:rPr>
                      <w:rFonts w:hint="default"/>
                    </w:rPr>
                  </w:pPr>
                  <w:r>
                    <w:rPr>
                      <w:rFonts w:hint="default"/>
                    </w:rPr>
                    <w:t>排污系数0.005kg/t产量</w:t>
                  </w:r>
                </w:p>
              </w:tc>
              <w:tc>
                <w:tcPr>
                  <w:tcW w:w="800" w:type="dxa"/>
                  <w:tcBorders>
                    <w:tl2br w:val="nil"/>
                    <w:tr2bl w:val="nil"/>
                  </w:tcBorders>
                  <w:shd w:val="clear" w:color="auto" w:fill="auto"/>
                  <w:noWrap/>
                  <w:vAlign w:val="center"/>
                </w:tcPr>
                <w:p w14:paraId="200B71F1">
                  <w:pPr>
                    <w:pStyle w:val="26"/>
                    <w:keepNext w:val="0"/>
                    <w:keepLines w:val="0"/>
                    <w:suppressLineNumbers w:val="0"/>
                    <w:spacing w:before="0" w:beforeAutospacing="0" w:after="0" w:afterAutospacing="0"/>
                    <w:ind w:left="0" w:right="0"/>
                    <w:rPr>
                      <w:rFonts w:hint="default"/>
                    </w:rPr>
                  </w:pPr>
                  <w:r>
                    <w:rPr>
                      <w:rFonts w:hint="default"/>
                    </w:rPr>
                    <w:t>8000</w:t>
                  </w:r>
                </w:p>
              </w:tc>
              <w:tc>
                <w:tcPr>
                  <w:tcW w:w="741" w:type="dxa"/>
                  <w:tcBorders>
                    <w:tl2br w:val="nil"/>
                    <w:tr2bl w:val="nil"/>
                  </w:tcBorders>
                  <w:shd w:val="clear" w:color="auto" w:fill="auto"/>
                  <w:noWrap/>
                  <w:vAlign w:val="center"/>
                </w:tcPr>
                <w:p w14:paraId="5A48005E">
                  <w:pPr>
                    <w:pStyle w:val="26"/>
                    <w:keepNext w:val="0"/>
                    <w:keepLines w:val="0"/>
                    <w:suppressLineNumbers w:val="0"/>
                    <w:spacing w:before="0" w:beforeAutospacing="0" w:after="0" w:afterAutospacing="0"/>
                    <w:ind w:left="0" w:right="0"/>
                    <w:rPr>
                      <w:rFonts w:hint="default"/>
                    </w:rPr>
                  </w:pPr>
                  <w:r>
                    <w:rPr>
                      <w:rFonts w:hint="default"/>
                    </w:rPr>
                    <w:t>0.25</w:t>
                  </w:r>
                </w:p>
              </w:tc>
            </w:tr>
            <w:tr w14:paraId="3349DF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34" w:type="dxa"/>
                  <w:tcBorders>
                    <w:tl2br w:val="nil"/>
                    <w:tr2bl w:val="nil"/>
                  </w:tcBorders>
                  <w:shd w:val="clear" w:color="auto" w:fill="auto"/>
                  <w:noWrap/>
                  <w:vAlign w:val="center"/>
                </w:tcPr>
                <w:p w14:paraId="0563641B">
                  <w:pPr>
                    <w:pStyle w:val="26"/>
                    <w:keepNext w:val="0"/>
                    <w:keepLines w:val="0"/>
                    <w:suppressLineNumbers w:val="0"/>
                    <w:spacing w:before="0" w:beforeAutospacing="0" w:after="0" w:afterAutospacing="0"/>
                    <w:ind w:left="0" w:right="0"/>
                    <w:rPr>
                      <w:rFonts w:hint="default"/>
                    </w:rPr>
                  </w:pPr>
                  <w:r>
                    <w:rPr>
                      <w:rFonts w:hint="default"/>
                    </w:rPr>
                    <w:t>10</w:t>
                  </w:r>
                </w:p>
              </w:tc>
              <w:tc>
                <w:tcPr>
                  <w:tcW w:w="1460" w:type="dxa"/>
                  <w:tcBorders>
                    <w:tl2br w:val="nil"/>
                    <w:tr2bl w:val="nil"/>
                  </w:tcBorders>
                  <w:shd w:val="clear" w:color="auto" w:fill="auto"/>
                  <w:vAlign w:val="center"/>
                </w:tcPr>
                <w:p w14:paraId="47B7EA9B">
                  <w:pPr>
                    <w:pStyle w:val="26"/>
                    <w:keepNext w:val="0"/>
                    <w:keepLines w:val="0"/>
                    <w:suppressLineNumbers w:val="0"/>
                    <w:spacing w:before="0" w:beforeAutospacing="0" w:after="0" w:afterAutospacing="0"/>
                    <w:ind w:left="0" w:right="0"/>
                    <w:rPr>
                      <w:rFonts w:hint="default"/>
                    </w:rPr>
                  </w:pPr>
                  <w:r>
                    <w:rPr>
                      <w:rFonts w:hint="default"/>
                    </w:rPr>
                    <w:t>油罐大呼吸废气</w:t>
                  </w:r>
                </w:p>
              </w:tc>
              <w:tc>
                <w:tcPr>
                  <w:tcW w:w="810" w:type="dxa"/>
                  <w:tcBorders>
                    <w:tl2br w:val="nil"/>
                    <w:tr2bl w:val="nil"/>
                  </w:tcBorders>
                  <w:shd w:val="clear" w:color="auto" w:fill="auto"/>
                  <w:noWrap/>
                  <w:vAlign w:val="center"/>
                </w:tcPr>
                <w:p w14:paraId="4996BE58">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800" w:type="dxa"/>
                  <w:tcBorders>
                    <w:tl2br w:val="nil"/>
                    <w:tr2bl w:val="nil"/>
                  </w:tcBorders>
                  <w:shd w:val="clear" w:color="auto" w:fill="auto"/>
                  <w:noWrap/>
                  <w:vAlign w:val="center"/>
                </w:tcPr>
                <w:p w14:paraId="267391B8">
                  <w:pPr>
                    <w:pStyle w:val="26"/>
                    <w:keepNext w:val="0"/>
                    <w:keepLines w:val="0"/>
                    <w:suppressLineNumbers w:val="0"/>
                    <w:spacing w:before="0" w:beforeAutospacing="0" w:after="0" w:afterAutospacing="0"/>
                    <w:ind w:left="0" w:right="0"/>
                    <w:rPr>
                      <w:rFonts w:hint="default"/>
                    </w:rPr>
                  </w:pPr>
                  <w:r>
                    <w:rPr>
                      <w:rFonts w:hint="default"/>
                    </w:rPr>
                    <w:t>系数法</w:t>
                  </w:r>
                </w:p>
              </w:tc>
              <w:tc>
                <w:tcPr>
                  <w:tcW w:w="1104" w:type="dxa"/>
                  <w:vMerge w:val="restart"/>
                  <w:tcBorders>
                    <w:tl2br w:val="nil"/>
                    <w:tr2bl w:val="nil"/>
                  </w:tcBorders>
                  <w:shd w:val="clear" w:color="auto" w:fill="auto"/>
                  <w:noWrap/>
                  <w:vAlign w:val="center"/>
                </w:tcPr>
                <w:p w14:paraId="53FBDD9A">
                  <w:pPr>
                    <w:pStyle w:val="26"/>
                    <w:keepNext w:val="0"/>
                    <w:keepLines w:val="0"/>
                    <w:suppressLineNumbers w:val="0"/>
                    <w:spacing w:before="0" w:beforeAutospacing="0" w:after="0" w:afterAutospacing="0"/>
                    <w:ind w:left="0" w:right="0"/>
                    <w:rPr>
                      <w:rFonts w:hint="default"/>
                    </w:rPr>
                  </w:pPr>
                  <w:r>
                    <w:rPr>
                      <w:rFonts w:hint="default"/>
                    </w:rPr>
                    <w:t>年加油柴油500t</w:t>
                  </w:r>
                </w:p>
              </w:tc>
              <w:tc>
                <w:tcPr>
                  <w:tcW w:w="1286" w:type="dxa"/>
                  <w:tcBorders>
                    <w:tl2br w:val="nil"/>
                    <w:tr2bl w:val="nil"/>
                  </w:tcBorders>
                  <w:shd w:val="clear" w:color="auto" w:fill="auto"/>
                  <w:noWrap/>
                  <w:vAlign w:val="center"/>
                </w:tcPr>
                <w:p w14:paraId="04C18DCB">
                  <w:pPr>
                    <w:pStyle w:val="26"/>
                    <w:keepNext w:val="0"/>
                    <w:keepLines w:val="0"/>
                    <w:suppressLineNumbers w:val="0"/>
                    <w:spacing w:before="0" w:beforeAutospacing="0" w:after="0" w:afterAutospacing="0"/>
                    <w:ind w:left="0" w:right="0"/>
                    <w:rPr>
                      <w:rFonts w:hint="default"/>
                    </w:rPr>
                  </w:pPr>
                  <w:r>
                    <w:rPr>
                      <w:rFonts w:hint="default"/>
                    </w:rPr>
                    <w:t>产污系数0.05%</w:t>
                  </w:r>
                </w:p>
              </w:tc>
              <w:tc>
                <w:tcPr>
                  <w:tcW w:w="800" w:type="dxa"/>
                  <w:tcBorders>
                    <w:tl2br w:val="nil"/>
                    <w:tr2bl w:val="nil"/>
                  </w:tcBorders>
                  <w:shd w:val="clear" w:color="auto" w:fill="auto"/>
                  <w:noWrap/>
                  <w:vAlign w:val="center"/>
                </w:tcPr>
                <w:p w14:paraId="4D4643F8">
                  <w:pPr>
                    <w:pStyle w:val="26"/>
                    <w:keepNext w:val="0"/>
                    <w:keepLines w:val="0"/>
                    <w:suppressLineNumbers w:val="0"/>
                    <w:spacing w:before="0" w:beforeAutospacing="0" w:after="0" w:afterAutospacing="0"/>
                    <w:ind w:left="0" w:right="0"/>
                    <w:rPr>
                      <w:rFonts w:hint="default"/>
                    </w:rPr>
                  </w:pPr>
                  <w:r>
                    <w:rPr>
                      <w:rFonts w:hint="default"/>
                    </w:rPr>
                    <w:t>/</w:t>
                  </w:r>
                </w:p>
              </w:tc>
              <w:tc>
                <w:tcPr>
                  <w:tcW w:w="741" w:type="dxa"/>
                  <w:tcBorders>
                    <w:tl2br w:val="nil"/>
                    <w:tr2bl w:val="nil"/>
                  </w:tcBorders>
                  <w:shd w:val="clear" w:color="auto" w:fill="auto"/>
                  <w:noWrap/>
                  <w:vAlign w:val="center"/>
                </w:tcPr>
                <w:p w14:paraId="2A870F21">
                  <w:pPr>
                    <w:pStyle w:val="26"/>
                    <w:keepNext w:val="0"/>
                    <w:keepLines w:val="0"/>
                    <w:suppressLineNumbers w:val="0"/>
                    <w:spacing w:before="0" w:beforeAutospacing="0" w:after="0" w:afterAutospacing="0"/>
                    <w:ind w:left="0" w:right="0"/>
                    <w:rPr>
                      <w:rFonts w:hint="default"/>
                    </w:rPr>
                  </w:pPr>
                  <w:r>
                    <w:rPr>
                      <w:rFonts w:hint="default"/>
                    </w:rPr>
                    <w:t>0.25</w:t>
                  </w:r>
                </w:p>
              </w:tc>
            </w:tr>
            <w:tr w14:paraId="01AD0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6" w:hRule="atLeast"/>
              </w:trPr>
              <w:tc>
                <w:tcPr>
                  <w:tcW w:w="434" w:type="dxa"/>
                  <w:tcBorders>
                    <w:tl2br w:val="nil"/>
                    <w:tr2bl w:val="nil"/>
                  </w:tcBorders>
                  <w:shd w:val="clear" w:color="auto" w:fill="auto"/>
                  <w:noWrap/>
                  <w:vAlign w:val="center"/>
                </w:tcPr>
                <w:p w14:paraId="4FB71CBA">
                  <w:pPr>
                    <w:pStyle w:val="26"/>
                    <w:keepNext w:val="0"/>
                    <w:keepLines w:val="0"/>
                    <w:suppressLineNumbers w:val="0"/>
                    <w:spacing w:before="0" w:beforeAutospacing="0" w:after="0" w:afterAutospacing="0"/>
                    <w:ind w:left="0" w:right="0"/>
                    <w:rPr>
                      <w:rFonts w:hint="default"/>
                    </w:rPr>
                  </w:pPr>
                  <w:r>
                    <w:rPr>
                      <w:rFonts w:hint="default"/>
                    </w:rPr>
                    <w:t>11</w:t>
                  </w:r>
                </w:p>
              </w:tc>
              <w:tc>
                <w:tcPr>
                  <w:tcW w:w="1460" w:type="dxa"/>
                  <w:tcBorders>
                    <w:tl2br w:val="nil"/>
                    <w:tr2bl w:val="nil"/>
                  </w:tcBorders>
                  <w:shd w:val="clear" w:color="auto" w:fill="auto"/>
                  <w:vAlign w:val="center"/>
                </w:tcPr>
                <w:p w14:paraId="5D424C1A">
                  <w:pPr>
                    <w:pStyle w:val="26"/>
                    <w:keepNext w:val="0"/>
                    <w:keepLines w:val="0"/>
                    <w:suppressLineNumbers w:val="0"/>
                    <w:spacing w:before="0" w:beforeAutospacing="0" w:after="0" w:afterAutospacing="0"/>
                    <w:ind w:left="0" w:right="0"/>
                    <w:rPr>
                      <w:rFonts w:hint="default"/>
                    </w:rPr>
                  </w:pPr>
                  <w:r>
                    <w:rPr>
                      <w:rFonts w:hint="default"/>
                    </w:rPr>
                    <w:t>油罐小呼吸废气</w:t>
                  </w:r>
                </w:p>
              </w:tc>
              <w:tc>
                <w:tcPr>
                  <w:tcW w:w="810" w:type="dxa"/>
                  <w:tcBorders>
                    <w:tl2br w:val="nil"/>
                    <w:tr2bl w:val="nil"/>
                  </w:tcBorders>
                  <w:shd w:val="clear" w:color="auto" w:fill="auto"/>
                  <w:noWrap/>
                  <w:vAlign w:val="center"/>
                </w:tcPr>
                <w:p w14:paraId="02A98030">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800" w:type="dxa"/>
                  <w:tcBorders>
                    <w:tl2br w:val="nil"/>
                    <w:tr2bl w:val="nil"/>
                  </w:tcBorders>
                  <w:shd w:val="clear" w:color="auto" w:fill="auto"/>
                  <w:noWrap/>
                  <w:vAlign w:val="center"/>
                </w:tcPr>
                <w:p w14:paraId="7776E9A0">
                  <w:pPr>
                    <w:pStyle w:val="26"/>
                    <w:keepNext w:val="0"/>
                    <w:keepLines w:val="0"/>
                    <w:suppressLineNumbers w:val="0"/>
                    <w:spacing w:before="0" w:beforeAutospacing="0" w:after="0" w:afterAutospacing="0"/>
                    <w:ind w:left="0" w:right="0"/>
                    <w:rPr>
                      <w:rFonts w:hint="default"/>
                    </w:rPr>
                  </w:pPr>
                  <w:r>
                    <w:rPr>
                      <w:rFonts w:hint="default"/>
                    </w:rPr>
                    <w:t>系数法</w:t>
                  </w:r>
                </w:p>
              </w:tc>
              <w:tc>
                <w:tcPr>
                  <w:tcW w:w="1104" w:type="dxa"/>
                  <w:vMerge w:val="continue"/>
                  <w:tcBorders>
                    <w:tl2br w:val="nil"/>
                    <w:tr2bl w:val="nil"/>
                  </w:tcBorders>
                  <w:shd w:val="clear" w:color="auto" w:fill="auto"/>
                  <w:noWrap/>
                  <w:vAlign w:val="center"/>
                </w:tcPr>
                <w:p w14:paraId="3C053E68">
                  <w:pPr>
                    <w:pStyle w:val="26"/>
                    <w:keepNext w:val="0"/>
                    <w:keepLines w:val="0"/>
                    <w:suppressLineNumbers w:val="0"/>
                    <w:spacing w:before="0" w:beforeAutospacing="0" w:after="0" w:afterAutospacing="0"/>
                    <w:ind w:left="0" w:right="0"/>
                    <w:rPr>
                      <w:rFonts w:hint="default"/>
                    </w:rPr>
                  </w:pPr>
                </w:p>
              </w:tc>
              <w:tc>
                <w:tcPr>
                  <w:tcW w:w="1286" w:type="dxa"/>
                  <w:tcBorders>
                    <w:tl2br w:val="nil"/>
                    <w:tr2bl w:val="nil"/>
                  </w:tcBorders>
                  <w:shd w:val="clear" w:color="auto" w:fill="auto"/>
                  <w:noWrap/>
                  <w:vAlign w:val="center"/>
                </w:tcPr>
                <w:p w14:paraId="5416C95F">
                  <w:pPr>
                    <w:pStyle w:val="26"/>
                    <w:keepNext w:val="0"/>
                    <w:keepLines w:val="0"/>
                    <w:suppressLineNumbers w:val="0"/>
                    <w:spacing w:before="0" w:beforeAutospacing="0" w:after="0" w:afterAutospacing="0"/>
                    <w:ind w:left="0" w:right="0"/>
                    <w:rPr>
                      <w:rFonts w:hint="default"/>
                    </w:rPr>
                  </w:pPr>
                  <w:r>
                    <w:rPr>
                      <w:rFonts w:hint="default"/>
                    </w:rPr>
                    <w:t>产污系数0.01%</w:t>
                  </w:r>
                </w:p>
              </w:tc>
              <w:tc>
                <w:tcPr>
                  <w:tcW w:w="800" w:type="dxa"/>
                  <w:tcBorders>
                    <w:tl2br w:val="nil"/>
                    <w:tr2bl w:val="nil"/>
                  </w:tcBorders>
                  <w:shd w:val="clear" w:color="auto" w:fill="auto"/>
                  <w:noWrap/>
                  <w:vAlign w:val="center"/>
                </w:tcPr>
                <w:p w14:paraId="0122F151">
                  <w:pPr>
                    <w:pStyle w:val="26"/>
                    <w:keepNext w:val="0"/>
                    <w:keepLines w:val="0"/>
                    <w:suppressLineNumbers w:val="0"/>
                    <w:spacing w:before="0" w:beforeAutospacing="0" w:after="0" w:afterAutospacing="0"/>
                    <w:ind w:left="0" w:right="0"/>
                    <w:rPr>
                      <w:rFonts w:hint="default"/>
                    </w:rPr>
                  </w:pPr>
                  <w:r>
                    <w:rPr>
                      <w:rFonts w:hint="default"/>
                    </w:rPr>
                    <w:t>/</w:t>
                  </w:r>
                </w:p>
              </w:tc>
              <w:tc>
                <w:tcPr>
                  <w:tcW w:w="741" w:type="dxa"/>
                  <w:tcBorders>
                    <w:tl2br w:val="nil"/>
                    <w:tr2bl w:val="nil"/>
                  </w:tcBorders>
                  <w:shd w:val="clear" w:color="auto" w:fill="auto"/>
                  <w:noWrap/>
                  <w:vAlign w:val="center"/>
                </w:tcPr>
                <w:p w14:paraId="63184E64">
                  <w:pPr>
                    <w:pStyle w:val="26"/>
                    <w:keepNext w:val="0"/>
                    <w:keepLines w:val="0"/>
                    <w:suppressLineNumbers w:val="0"/>
                    <w:spacing w:before="0" w:beforeAutospacing="0" w:after="0" w:afterAutospacing="0"/>
                    <w:ind w:left="0" w:right="0"/>
                    <w:rPr>
                      <w:rFonts w:hint="default"/>
                    </w:rPr>
                  </w:pPr>
                  <w:r>
                    <w:rPr>
                      <w:rFonts w:hint="default"/>
                    </w:rPr>
                    <w:t>0.05</w:t>
                  </w:r>
                </w:p>
              </w:tc>
            </w:tr>
            <w:tr w14:paraId="2936E4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6" w:hRule="atLeast"/>
              </w:trPr>
              <w:tc>
                <w:tcPr>
                  <w:tcW w:w="434" w:type="dxa"/>
                  <w:tcBorders>
                    <w:tl2br w:val="nil"/>
                    <w:tr2bl w:val="nil"/>
                  </w:tcBorders>
                  <w:shd w:val="clear" w:color="auto" w:fill="auto"/>
                  <w:noWrap/>
                  <w:vAlign w:val="center"/>
                </w:tcPr>
                <w:p w14:paraId="0913982A">
                  <w:pPr>
                    <w:pStyle w:val="26"/>
                    <w:keepNext w:val="0"/>
                    <w:keepLines w:val="0"/>
                    <w:suppressLineNumbers w:val="0"/>
                    <w:spacing w:before="0" w:beforeAutospacing="0" w:after="0" w:afterAutospacing="0"/>
                    <w:ind w:left="0" w:right="0"/>
                    <w:rPr>
                      <w:rFonts w:hint="default"/>
                    </w:rPr>
                  </w:pPr>
                  <w:r>
                    <w:rPr>
                      <w:rFonts w:hint="default"/>
                    </w:rPr>
                    <w:t>12</w:t>
                  </w:r>
                </w:p>
              </w:tc>
              <w:tc>
                <w:tcPr>
                  <w:tcW w:w="1460" w:type="dxa"/>
                  <w:tcBorders>
                    <w:tl2br w:val="nil"/>
                    <w:tr2bl w:val="nil"/>
                  </w:tcBorders>
                  <w:shd w:val="clear" w:color="auto" w:fill="auto"/>
                  <w:vAlign w:val="center"/>
                </w:tcPr>
                <w:p w14:paraId="1EE78747">
                  <w:pPr>
                    <w:pStyle w:val="26"/>
                    <w:keepNext w:val="0"/>
                    <w:keepLines w:val="0"/>
                    <w:suppressLineNumbers w:val="0"/>
                    <w:spacing w:before="0" w:beforeAutospacing="0" w:after="0" w:afterAutospacing="0"/>
                    <w:ind w:left="0" w:right="0"/>
                    <w:rPr>
                      <w:rFonts w:hint="default"/>
                    </w:rPr>
                  </w:pPr>
                  <w:r>
                    <w:rPr>
                      <w:rFonts w:hint="default"/>
                    </w:rPr>
                    <w:t>加油枪废气</w:t>
                  </w:r>
                </w:p>
              </w:tc>
              <w:tc>
                <w:tcPr>
                  <w:tcW w:w="810" w:type="dxa"/>
                  <w:tcBorders>
                    <w:tl2br w:val="nil"/>
                    <w:tr2bl w:val="nil"/>
                  </w:tcBorders>
                  <w:shd w:val="clear" w:color="auto" w:fill="auto"/>
                  <w:noWrap/>
                  <w:vAlign w:val="center"/>
                </w:tcPr>
                <w:p w14:paraId="627777A8">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800" w:type="dxa"/>
                  <w:tcBorders>
                    <w:tl2br w:val="nil"/>
                    <w:tr2bl w:val="nil"/>
                  </w:tcBorders>
                  <w:shd w:val="clear" w:color="auto" w:fill="auto"/>
                  <w:noWrap/>
                  <w:vAlign w:val="center"/>
                </w:tcPr>
                <w:p w14:paraId="11071EE8">
                  <w:pPr>
                    <w:pStyle w:val="26"/>
                    <w:keepNext w:val="0"/>
                    <w:keepLines w:val="0"/>
                    <w:suppressLineNumbers w:val="0"/>
                    <w:spacing w:before="0" w:beforeAutospacing="0" w:after="0" w:afterAutospacing="0"/>
                    <w:ind w:left="0" w:right="0"/>
                    <w:rPr>
                      <w:rFonts w:hint="default"/>
                    </w:rPr>
                  </w:pPr>
                  <w:r>
                    <w:rPr>
                      <w:rFonts w:hint="default"/>
                    </w:rPr>
                    <w:t>系数法</w:t>
                  </w:r>
                </w:p>
              </w:tc>
              <w:tc>
                <w:tcPr>
                  <w:tcW w:w="1104" w:type="dxa"/>
                  <w:vMerge w:val="continue"/>
                  <w:tcBorders>
                    <w:tl2br w:val="nil"/>
                    <w:tr2bl w:val="nil"/>
                  </w:tcBorders>
                  <w:shd w:val="clear" w:color="auto" w:fill="auto"/>
                  <w:noWrap/>
                  <w:vAlign w:val="center"/>
                </w:tcPr>
                <w:p w14:paraId="47A2361D">
                  <w:pPr>
                    <w:pStyle w:val="26"/>
                    <w:keepNext w:val="0"/>
                    <w:keepLines w:val="0"/>
                    <w:suppressLineNumbers w:val="0"/>
                    <w:spacing w:before="0" w:beforeAutospacing="0" w:after="0" w:afterAutospacing="0"/>
                    <w:ind w:left="0" w:right="0"/>
                    <w:rPr>
                      <w:rFonts w:hint="default"/>
                    </w:rPr>
                  </w:pPr>
                </w:p>
              </w:tc>
              <w:tc>
                <w:tcPr>
                  <w:tcW w:w="1286" w:type="dxa"/>
                  <w:tcBorders>
                    <w:tl2br w:val="nil"/>
                    <w:tr2bl w:val="nil"/>
                  </w:tcBorders>
                  <w:shd w:val="clear" w:color="auto" w:fill="auto"/>
                  <w:noWrap/>
                  <w:vAlign w:val="center"/>
                </w:tcPr>
                <w:p w14:paraId="6584DA9F">
                  <w:pPr>
                    <w:pStyle w:val="26"/>
                    <w:keepNext w:val="0"/>
                    <w:keepLines w:val="0"/>
                    <w:suppressLineNumbers w:val="0"/>
                    <w:spacing w:before="0" w:beforeAutospacing="0" w:after="0" w:afterAutospacing="0"/>
                    <w:ind w:left="0" w:right="0"/>
                    <w:rPr>
                      <w:rFonts w:hint="default"/>
                    </w:rPr>
                  </w:pPr>
                  <w:r>
                    <w:rPr>
                      <w:rFonts w:hint="default"/>
                    </w:rPr>
                    <w:t>产污系数0.09%</w:t>
                  </w:r>
                </w:p>
              </w:tc>
              <w:tc>
                <w:tcPr>
                  <w:tcW w:w="800" w:type="dxa"/>
                  <w:tcBorders>
                    <w:tl2br w:val="nil"/>
                    <w:tr2bl w:val="nil"/>
                  </w:tcBorders>
                  <w:shd w:val="clear" w:color="auto" w:fill="auto"/>
                  <w:noWrap/>
                  <w:vAlign w:val="center"/>
                </w:tcPr>
                <w:p w14:paraId="24A2E33C">
                  <w:pPr>
                    <w:pStyle w:val="26"/>
                    <w:keepNext w:val="0"/>
                    <w:keepLines w:val="0"/>
                    <w:suppressLineNumbers w:val="0"/>
                    <w:spacing w:before="0" w:beforeAutospacing="0" w:after="0" w:afterAutospacing="0"/>
                    <w:ind w:left="0" w:right="0"/>
                    <w:rPr>
                      <w:rFonts w:hint="default"/>
                    </w:rPr>
                  </w:pPr>
                  <w:r>
                    <w:rPr>
                      <w:rFonts w:hint="default"/>
                    </w:rPr>
                    <w:t>/</w:t>
                  </w:r>
                </w:p>
              </w:tc>
              <w:tc>
                <w:tcPr>
                  <w:tcW w:w="741" w:type="dxa"/>
                  <w:tcBorders>
                    <w:tl2br w:val="nil"/>
                    <w:tr2bl w:val="nil"/>
                  </w:tcBorders>
                  <w:shd w:val="clear" w:color="auto" w:fill="auto"/>
                  <w:noWrap/>
                  <w:vAlign w:val="center"/>
                </w:tcPr>
                <w:p w14:paraId="2D9942B9">
                  <w:pPr>
                    <w:pStyle w:val="26"/>
                    <w:keepNext w:val="0"/>
                    <w:keepLines w:val="0"/>
                    <w:suppressLineNumbers w:val="0"/>
                    <w:spacing w:before="0" w:beforeAutospacing="0" w:after="0" w:afterAutospacing="0"/>
                    <w:ind w:left="0" w:right="0"/>
                    <w:rPr>
                      <w:rFonts w:hint="default"/>
                    </w:rPr>
                  </w:pPr>
                  <w:r>
                    <w:rPr>
                      <w:rFonts w:hint="default"/>
                    </w:rPr>
                    <w:t>0.45</w:t>
                  </w:r>
                </w:p>
              </w:tc>
            </w:tr>
            <w:tr w14:paraId="136E6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6" w:hRule="atLeast"/>
              </w:trPr>
              <w:tc>
                <w:tcPr>
                  <w:tcW w:w="434" w:type="dxa"/>
                  <w:tcBorders>
                    <w:tl2br w:val="nil"/>
                    <w:tr2bl w:val="nil"/>
                  </w:tcBorders>
                  <w:shd w:val="clear" w:color="auto" w:fill="auto"/>
                  <w:noWrap/>
                  <w:vAlign w:val="center"/>
                </w:tcPr>
                <w:p w14:paraId="181E966F">
                  <w:pPr>
                    <w:pStyle w:val="26"/>
                    <w:keepNext w:val="0"/>
                    <w:keepLines w:val="0"/>
                    <w:suppressLineNumbers w:val="0"/>
                    <w:spacing w:before="0" w:beforeAutospacing="0" w:after="0" w:afterAutospacing="0"/>
                    <w:ind w:left="0" w:right="0"/>
                    <w:rPr>
                      <w:rFonts w:hint="default"/>
                    </w:rPr>
                  </w:pPr>
                  <w:r>
                    <w:rPr>
                      <w:rFonts w:hint="default"/>
                    </w:rPr>
                    <w:t>13</w:t>
                  </w:r>
                </w:p>
              </w:tc>
              <w:tc>
                <w:tcPr>
                  <w:tcW w:w="1460" w:type="dxa"/>
                  <w:tcBorders>
                    <w:tl2br w:val="nil"/>
                    <w:tr2bl w:val="nil"/>
                  </w:tcBorders>
                  <w:shd w:val="clear" w:color="auto" w:fill="auto"/>
                </w:tcPr>
                <w:p w14:paraId="73E83DF2">
                  <w:pPr>
                    <w:pStyle w:val="28"/>
                    <w:keepNext w:val="0"/>
                    <w:keepLines w:val="0"/>
                    <w:suppressLineNumbers w:val="0"/>
                    <w:spacing w:before="0" w:beforeAutospacing="0" w:after="0" w:afterAutospacing="0"/>
                    <w:ind w:left="0" w:right="0"/>
                    <w:rPr>
                      <w:rFonts w:hint="default"/>
                      <w:color w:val="auto"/>
                    </w:rPr>
                  </w:pPr>
                  <w:r>
                    <w:rPr>
                      <w:rFonts w:hint="default"/>
                      <w:color w:val="auto"/>
                    </w:rPr>
                    <w:t>LNG卸车、泄压、加气</w:t>
                  </w:r>
                </w:p>
              </w:tc>
              <w:tc>
                <w:tcPr>
                  <w:tcW w:w="810" w:type="dxa"/>
                  <w:tcBorders>
                    <w:tl2br w:val="nil"/>
                    <w:tr2bl w:val="nil"/>
                  </w:tcBorders>
                  <w:shd w:val="clear" w:color="auto" w:fill="auto"/>
                  <w:noWrap/>
                </w:tcPr>
                <w:p w14:paraId="3F7735DA">
                  <w:pPr>
                    <w:pStyle w:val="28"/>
                    <w:keepNext w:val="0"/>
                    <w:keepLines w:val="0"/>
                    <w:suppressLineNumbers w:val="0"/>
                    <w:spacing w:before="0" w:beforeAutospacing="0" w:after="0" w:afterAutospacing="0"/>
                    <w:ind w:left="0" w:right="0"/>
                    <w:rPr>
                      <w:rFonts w:hint="default"/>
                      <w:color w:val="auto"/>
                    </w:rPr>
                  </w:pPr>
                  <w:r>
                    <w:rPr>
                      <w:rFonts w:hint="default"/>
                      <w:color w:val="auto"/>
                    </w:rPr>
                    <w:t>甲烷、乙烷等</w:t>
                  </w:r>
                </w:p>
              </w:tc>
              <w:tc>
                <w:tcPr>
                  <w:tcW w:w="800" w:type="dxa"/>
                  <w:tcBorders>
                    <w:tl2br w:val="nil"/>
                    <w:tr2bl w:val="nil"/>
                  </w:tcBorders>
                  <w:shd w:val="clear" w:color="auto" w:fill="auto"/>
                  <w:noWrap/>
                  <w:vAlign w:val="center"/>
                </w:tcPr>
                <w:p w14:paraId="1A129178">
                  <w:pPr>
                    <w:pStyle w:val="26"/>
                    <w:keepNext w:val="0"/>
                    <w:keepLines w:val="0"/>
                    <w:suppressLineNumbers w:val="0"/>
                    <w:spacing w:before="0" w:beforeAutospacing="0" w:after="0" w:afterAutospacing="0"/>
                    <w:ind w:left="0" w:right="0"/>
                    <w:rPr>
                      <w:rFonts w:hint="default"/>
                    </w:rPr>
                  </w:pPr>
                  <w:r>
                    <w:rPr>
                      <w:rFonts w:hint="default"/>
                    </w:rPr>
                    <w:t>/</w:t>
                  </w:r>
                </w:p>
              </w:tc>
              <w:tc>
                <w:tcPr>
                  <w:tcW w:w="1104" w:type="dxa"/>
                  <w:tcBorders>
                    <w:tl2br w:val="nil"/>
                    <w:tr2bl w:val="nil"/>
                  </w:tcBorders>
                  <w:shd w:val="clear" w:color="auto" w:fill="auto"/>
                  <w:noWrap/>
                  <w:vAlign w:val="center"/>
                </w:tcPr>
                <w:p w14:paraId="7AAE74BC">
                  <w:pPr>
                    <w:pStyle w:val="26"/>
                    <w:keepNext w:val="0"/>
                    <w:keepLines w:val="0"/>
                    <w:suppressLineNumbers w:val="0"/>
                    <w:spacing w:before="0" w:beforeAutospacing="0" w:after="0" w:afterAutospacing="0"/>
                    <w:ind w:left="0" w:right="0"/>
                    <w:rPr>
                      <w:rFonts w:hint="default"/>
                    </w:rPr>
                  </w:pPr>
                  <w:r>
                    <w:rPr>
                      <w:rFonts w:hint="default"/>
                    </w:rPr>
                    <w:t>年充装500t</w:t>
                  </w:r>
                </w:p>
              </w:tc>
              <w:tc>
                <w:tcPr>
                  <w:tcW w:w="1286" w:type="dxa"/>
                  <w:tcBorders>
                    <w:tl2br w:val="nil"/>
                    <w:tr2bl w:val="nil"/>
                  </w:tcBorders>
                  <w:shd w:val="clear" w:color="auto" w:fill="auto"/>
                  <w:noWrap/>
                  <w:vAlign w:val="center"/>
                </w:tcPr>
                <w:p w14:paraId="57214CE7">
                  <w:pPr>
                    <w:pStyle w:val="26"/>
                    <w:keepNext w:val="0"/>
                    <w:keepLines w:val="0"/>
                    <w:suppressLineNumbers w:val="0"/>
                    <w:spacing w:before="0" w:beforeAutospacing="0" w:after="0" w:afterAutospacing="0"/>
                    <w:ind w:left="0" w:right="0"/>
                    <w:rPr>
                      <w:rFonts w:hint="default"/>
                    </w:rPr>
                  </w:pPr>
                  <w:r>
                    <w:rPr>
                      <w:rFonts w:hint="default"/>
                    </w:rPr>
                    <w:t>/</w:t>
                  </w:r>
                </w:p>
              </w:tc>
              <w:tc>
                <w:tcPr>
                  <w:tcW w:w="800" w:type="dxa"/>
                  <w:tcBorders>
                    <w:tl2br w:val="nil"/>
                    <w:tr2bl w:val="nil"/>
                  </w:tcBorders>
                  <w:shd w:val="clear" w:color="auto" w:fill="auto"/>
                  <w:noWrap/>
                  <w:vAlign w:val="center"/>
                </w:tcPr>
                <w:p w14:paraId="420631DD">
                  <w:pPr>
                    <w:pStyle w:val="26"/>
                    <w:keepNext w:val="0"/>
                    <w:keepLines w:val="0"/>
                    <w:suppressLineNumbers w:val="0"/>
                    <w:spacing w:before="0" w:beforeAutospacing="0" w:after="0" w:afterAutospacing="0"/>
                    <w:ind w:left="0" w:right="0"/>
                    <w:rPr>
                      <w:rFonts w:hint="default"/>
                    </w:rPr>
                  </w:pPr>
                  <w:r>
                    <w:rPr>
                      <w:rFonts w:hint="default"/>
                    </w:rPr>
                    <w:t>/</w:t>
                  </w:r>
                </w:p>
              </w:tc>
              <w:tc>
                <w:tcPr>
                  <w:tcW w:w="741" w:type="dxa"/>
                  <w:tcBorders>
                    <w:tl2br w:val="nil"/>
                    <w:tr2bl w:val="nil"/>
                  </w:tcBorders>
                  <w:shd w:val="clear" w:color="auto" w:fill="auto"/>
                  <w:noWrap/>
                  <w:vAlign w:val="center"/>
                </w:tcPr>
                <w:p w14:paraId="681AFBAA">
                  <w:pPr>
                    <w:pStyle w:val="26"/>
                    <w:keepNext w:val="0"/>
                    <w:keepLines w:val="0"/>
                    <w:suppressLineNumbers w:val="0"/>
                    <w:spacing w:before="0" w:beforeAutospacing="0" w:after="0" w:afterAutospacing="0"/>
                    <w:ind w:left="0" w:right="0"/>
                    <w:rPr>
                      <w:rFonts w:hint="default"/>
                    </w:rPr>
                  </w:pPr>
                  <w:r>
                    <w:rPr>
                      <w:rFonts w:hint="default"/>
                    </w:rPr>
                    <w:t>少量</w:t>
                  </w:r>
                </w:p>
              </w:tc>
            </w:tr>
            <w:tr w14:paraId="68FD7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434" w:type="dxa"/>
                  <w:tcBorders>
                    <w:tl2br w:val="nil"/>
                    <w:tr2bl w:val="nil"/>
                  </w:tcBorders>
                  <w:shd w:val="clear" w:color="auto" w:fill="auto"/>
                  <w:noWrap/>
                  <w:vAlign w:val="center"/>
                </w:tcPr>
                <w:p w14:paraId="3E30D89C">
                  <w:pPr>
                    <w:pStyle w:val="26"/>
                    <w:keepNext w:val="0"/>
                    <w:keepLines w:val="0"/>
                    <w:suppressLineNumbers w:val="0"/>
                    <w:spacing w:before="0" w:beforeAutospacing="0" w:after="0" w:afterAutospacing="0"/>
                    <w:ind w:left="0" w:right="0"/>
                    <w:rPr>
                      <w:rFonts w:hint="default"/>
                    </w:rPr>
                  </w:pPr>
                  <w:r>
                    <w:rPr>
                      <w:rFonts w:hint="default"/>
                    </w:rPr>
                    <w:t>14</w:t>
                  </w:r>
                </w:p>
              </w:tc>
              <w:tc>
                <w:tcPr>
                  <w:tcW w:w="1460" w:type="dxa"/>
                  <w:tcBorders>
                    <w:tl2br w:val="nil"/>
                    <w:tr2bl w:val="nil"/>
                  </w:tcBorders>
                  <w:shd w:val="clear" w:color="auto" w:fill="auto"/>
                  <w:noWrap/>
                  <w:vAlign w:val="center"/>
                </w:tcPr>
                <w:p w14:paraId="130B3EE0">
                  <w:pPr>
                    <w:pStyle w:val="26"/>
                    <w:keepNext w:val="0"/>
                    <w:keepLines w:val="0"/>
                    <w:suppressLineNumbers w:val="0"/>
                    <w:spacing w:before="0" w:beforeAutospacing="0" w:after="0" w:afterAutospacing="0"/>
                    <w:ind w:left="0" w:right="0"/>
                    <w:rPr>
                      <w:rFonts w:hint="default"/>
                    </w:rPr>
                  </w:pPr>
                  <w:r>
                    <w:rPr>
                      <w:rFonts w:hint="default"/>
                    </w:rPr>
                    <w:t>食堂油烟</w:t>
                  </w:r>
                </w:p>
              </w:tc>
              <w:tc>
                <w:tcPr>
                  <w:tcW w:w="810" w:type="dxa"/>
                  <w:tcBorders>
                    <w:tl2br w:val="nil"/>
                    <w:tr2bl w:val="nil"/>
                  </w:tcBorders>
                  <w:shd w:val="clear" w:color="auto" w:fill="auto"/>
                  <w:noWrap/>
                  <w:vAlign w:val="center"/>
                </w:tcPr>
                <w:p w14:paraId="224F3F5E">
                  <w:pPr>
                    <w:pStyle w:val="26"/>
                    <w:keepNext w:val="0"/>
                    <w:keepLines w:val="0"/>
                    <w:suppressLineNumbers w:val="0"/>
                    <w:spacing w:before="0" w:beforeAutospacing="0" w:after="0" w:afterAutospacing="0"/>
                    <w:ind w:left="0" w:right="0"/>
                    <w:rPr>
                      <w:rFonts w:hint="default"/>
                    </w:rPr>
                  </w:pPr>
                  <w:r>
                    <w:rPr>
                      <w:rFonts w:hint="default"/>
                    </w:rPr>
                    <w:t>油烟</w:t>
                  </w:r>
                </w:p>
              </w:tc>
              <w:tc>
                <w:tcPr>
                  <w:tcW w:w="800" w:type="dxa"/>
                  <w:tcBorders>
                    <w:tl2br w:val="nil"/>
                    <w:tr2bl w:val="nil"/>
                  </w:tcBorders>
                  <w:shd w:val="clear" w:color="auto" w:fill="auto"/>
                  <w:noWrap/>
                  <w:vAlign w:val="center"/>
                </w:tcPr>
                <w:p w14:paraId="71C3A01B">
                  <w:pPr>
                    <w:pStyle w:val="26"/>
                    <w:keepNext w:val="0"/>
                    <w:keepLines w:val="0"/>
                    <w:suppressLineNumbers w:val="0"/>
                    <w:spacing w:before="0" w:beforeAutospacing="0" w:after="0" w:afterAutospacing="0"/>
                    <w:ind w:left="0" w:right="0"/>
                    <w:rPr>
                      <w:rFonts w:hint="default"/>
                    </w:rPr>
                  </w:pPr>
                  <w:r>
                    <w:rPr>
                      <w:rFonts w:hint="default"/>
                    </w:rPr>
                    <w:t>系数法</w:t>
                  </w:r>
                </w:p>
              </w:tc>
              <w:tc>
                <w:tcPr>
                  <w:tcW w:w="1104" w:type="dxa"/>
                  <w:tcBorders>
                    <w:tl2br w:val="nil"/>
                    <w:tr2bl w:val="nil"/>
                  </w:tcBorders>
                  <w:shd w:val="clear" w:color="auto" w:fill="auto"/>
                  <w:noWrap/>
                  <w:vAlign w:val="center"/>
                </w:tcPr>
                <w:p w14:paraId="128FD1A9">
                  <w:pPr>
                    <w:pStyle w:val="26"/>
                    <w:keepNext w:val="0"/>
                    <w:keepLines w:val="0"/>
                    <w:suppressLineNumbers w:val="0"/>
                    <w:spacing w:before="0" w:beforeAutospacing="0" w:after="0" w:afterAutospacing="0"/>
                    <w:ind w:left="0" w:right="0"/>
                    <w:rPr>
                      <w:rFonts w:hint="default"/>
                    </w:rPr>
                  </w:pPr>
                  <w:r>
                    <w:rPr>
                      <w:rFonts w:hint="default"/>
                    </w:rPr>
                    <w:t>/</w:t>
                  </w:r>
                </w:p>
              </w:tc>
              <w:tc>
                <w:tcPr>
                  <w:tcW w:w="1286" w:type="dxa"/>
                  <w:tcBorders>
                    <w:tl2br w:val="nil"/>
                    <w:tr2bl w:val="nil"/>
                  </w:tcBorders>
                  <w:shd w:val="clear" w:color="auto" w:fill="auto"/>
                  <w:noWrap/>
                  <w:vAlign w:val="center"/>
                </w:tcPr>
                <w:p w14:paraId="720A974B">
                  <w:pPr>
                    <w:pStyle w:val="26"/>
                    <w:keepNext w:val="0"/>
                    <w:keepLines w:val="0"/>
                    <w:suppressLineNumbers w:val="0"/>
                    <w:spacing w:before="0" w:beforeAutospacing="0" w:after="0" w:afterAutospacing="0"/>
                    <w:ind w:left="0" w:right="0"/>
                    <w:rPr>
                      <w:rFonts w:hint="default"/>
                    </w:rPr>
                  </w:pPr>
                  <w:r>
                    <w:rPr>
                      <w:rFonts w:hint="default"/>
                    </w:rPr>
                    <w:t>0.04</w:t>
                  </w:r>
                </w:p>
              </w:tc>
              <w:tc>
                <w:tcPr>
                  <w:tcW w:w="800" w:type="dxa"/>
                  <w:tcBorders>
                    <w:tl2br w:val="nil"/>
                    <w:tr2bl w:val="nil"/>
                  </w:tcBorders>
                  <w:shd w:val="clear" w:color="auto" w:fill="auto"/>
                  <w:noWrap/>
                  <w:vAlign w:val="center"/>
                </w:tcPr>
                <w:p w14:paraId="74AEC772">
                  <w:pPr>
                    <w:pStyle w:val="26"/>
                    <w:keepNext w:val="0"/>
                    <w:keepLines w:val="0"/>
                    <w:suppressLineNumbers w:val="0"/>
                    <w:spacing w:before="0" w:beforeAutospacing="0" w:after="0" w:afterAutospacing="0"/>
                    <w:ind w:left="0" w:right="0"/>
                    <w:rPr>
                      <w:rFonts w:hint="default"/>
                    </w:rPr>
                  </w:pPr>
                  <w:r>
                    <w:rPr>
                      <w:rFonts w:hint="default"/>
                    </w:rPr>
                    <w:t>1336</w:t>
                  </w:r>
                </w:p>
              </w:tc>
              <w:tc>
                <w:tcPr>
                  <w:tcW w:w="741" w:type="dxa"/>
                  <w:tcBorders>
                    <w:tl2br w:val="nil"/>
                    <w:tr2bl w:val="nil"/>
                  </w:tcBorders>
                  <w:shd w:val="clear" w:color="auto" w:fill="auto"/>
                  <w:noWrap/>
                  <w:vAlign w:val="center"/>
                </w:tcPr>
                <w:p w14:paraId="13AFF776">
                  <w:pPr>
                    <w:pStyle w:val="26"/>
                    <w:keepNext w:val="0"/>
                    <w:keepLines w:val="0"/>
                    <w:suppressLineNumbers w:val="0"/>
                    <w:spacing w:before="0" w:beforeAutospacing="0" w:after="0" w:afterAutospacing="0"/>
                    <w:ind w:left="0" w:right="0"/>
                    <w:rPr>
                      <w:rFonts w:hint="default"/>
                    </w:rPr>
                  </w:pPr>
                  <w:r>
                    <w:rPr>
                      <w:rFonts w:hint="default"/>
                    </w:rPr>
                    <w:t>0.012</w:t>
                  </w:r>
                </w:p>
              </w:tc>
            </w:tr>
          </w:tbl>
          <w:p w14:paraId="37DEF205">
            <w:pPr>
              <w:keepNext w:val="0"/>
              <w:keepLines w:val="0"/>
              <w:suppressLineNumbers w:val="0"/>
              <w:spacing w:before="0" w:beforeAutospacing="0" w:after="0" w:afterAutospacing="0"/>
              <w:ind w:left="0" w:right="0" w:firstLine="482"/>
              <w:rPr>
                <w:rFonts w:hint="default" w:cs="Times New Roman"/>
                <w:b/>
                <w:bCs/>
                <w:color w:val="auto"/>
              </w:rPr>
            </w:pPr>
          </w:p>
          <w:p w14:paraId="6366949B">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2、废气收集治理措施与排放口情况</w:t>
            </w:r>
          </w:p>
          <w:p w14:paraId="010B053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（一）有组织废气</w:t>
            </w:r>
          </w:p>
          <w:p w14:paraId="4A6B3571">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（1）收集措施</w:t>
            </w:r>
          </w:p>
          <w:p w14:paraId="2C4370A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本项目在湿法造粒产污节点采用集气罩的收集方式，液硫池沉淀、提纯、滚筒造粒、刮片等产污节点，通过负压抽风的方式进行废气收集。</w:t>
            </w:r>
          </w:p>
          <w:p w14:paraId="398C201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本次评价根据《简明通风设计手册》，集气罩风量计算公式为：</w:t>
            </w:r>
          </w:p>
          <w:p w14:paraId="55B59C2E">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t>Q=3600×K×P×H×V</w:t>
            </w:r>
            <w:r>
              <w:rPr>
                <w:rFonts w:hint="default" w:cs="Times New Roman"/>
                <w:color w:val="auto"/>
                <w:vertAlign w:val="subscript"/>
              </w:rPr>
              <w:t>0</w:t>
            </w:r>
          </w:p>
          <w:p w14:paraId="4B3F252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5C97A04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Q—设计风量，m</w:t>
            </w:r>
            <w:r>
              <w:rPr>
                <w:rFonts w:hint="default" w:cs="Times New Roman"/>
                <w:color w:val="auto"/>
                <w:vertAlign w:val="superscript"/>
              </w:rPr>
              <w:t>3</w:t>
            </w:r>
            <w:r>
              <w:rPr>
                <w:rFonts w:hint="default" w:cs="Times New Roman"/>
                <w:color w:val="auto"/>
              </w:rPr>
              <w:t>/h</w:t>
            </w:r>
          </w:p>
          <w:p w14:paraId="6212EE0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K—考虑沿高度分布不均匀的安全系数，生产线取1.4，食堂取1.2；</w:t>
            </w:r>
          </w:p>
          <w:p w14:paraId="30B7EE1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P—排风罩敞开面周长，m，本项目集气罩参数见下文描述；</w:t>
            </w:r>
          </w:p>
          <w:p w14:paraId="2E4E641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H—罩口至废气源距离，m，本项目取0.5m；</w:t>
            </w:r>
          </w:p>
          <w:p w14:paraId="4A74A60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V</w:t>
            </w:r>
            <w:r>
              <w:rPr>
                <w:rFonts w:hint="default" w:cs="Times New Roman"/>
                <w:color w:val="auto"/>
                <w:vertAlign w:val="subscript"/>
              </w:rPr>
              <w:t>0</w:t>
            </w:r>
            <w:r>
              <w:rPr>
                <w:rFonts w:hint="default" w:cs="Times New Roman"/>
                <w:color w:val="auto"/>
              </w:rPr>
              <w:t>—边缘控制点控制风速，m/s，本项目取0.5m/s。</w:t>
            </w:r>
          </w:p>
          <w:p w14:paraId="6DA7D98B">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①</w:t>
            </w:r>
            <w:r>
              <w:rPr>
                <w:rFonts w:hint="default" w:cs="Times New Roman"/>
                <w:b/>
                <w:color w:val="auto"/>
              </w:rPr>
              <w:t>湿法造粒废气</w:t>
            </w:r>
          </w:p>
          <w:p w14:paraId="4C61DDB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本项目在湿法造粒机上方设置集气罩，共计1个集气罩，集气罩尺寸为1.2m×1.2m，通过计算湿法造粒集气罩风量为6048m</w:t>
            </w:r>
            <w:r>
              <w:rPr>
                <w:rFonts w:hint="default" w:cs="Times New Roman"/>
                <w:color w:val="auto"/>
                <w:vertAlign w:val="superscript"/>
              </w:rPr>
              <w:t>3</w:t>
            </w:r>
            <w:r>
              <w:rPr>
                <w:rFonts w:hint="default" w:cs="Times New Roman"/>
                <w:color w:val="auto"/>
              </w:rPr>
              <w:t>/h。</w:t>
            </w:r>
          </w:p>
          <w:p w14:paraId="6E463055">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②食堂油烟</w:t>
            </w:r>
          </w:p>
          <w:p w14:paraId="50265F7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在灶台上设置集气罩，灶台共计1个集气罩，集气罩尺寸为0.5m×0.5m，通过计算灶台集气罩风量为2160m</w:t>
            </w:r>
            <w:r>
              <w:rPr>
                <w:rFonts w:hint="default" w:cs="Times New Roman"/>
                <w:color w:val="auto"/>
                <w:vertAlign w:val="superscript"/>
              </w:rPr>
              <w:t>3</w:t>
            </w:r>
            <w:r>
              <w:rPr>
                <w:rFonts w:hint="default" w:cs="Times New Roman"/>
                <w:color w:val="auto"/>
              </w:rPr>
              <w:t>/h。</w:t>
            </w:r>
          </w:p>
          <w:p w14:paraId="197554E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本项目废气收集系统收集情况详见</w:t>
            </w:r>
            <w:r>
              <w:rPr>
                <w:rFonts w:hint="default" w:cs="Times New Roman"/>
                <w:color w:val="auto"/>
              </w:rPr>
              <w:fldChar w:fldCharType="begin"/>
            </w:r>
            <w:r>
              <w:rPr>
                <w:rFonts w:hint="default" w:cs="Times New Roman"/>
                <w:color w:val="auto"/>
              </w:rPr>
              <w:instrText xml:space="preserve"> REF _Ref7001 \n \h </w:instrText>
            </w:r>
            <w:r>
              <w:rPr>
                <w:rFonts w:hint="default" w:cs="Times New Roman"/>
                <w:color w:val="auto"/>
              </w:rPr>
              <w:fldChar w:fldCharType="separate"/>
            </w:r>
            <w:r>
              <w:rPr>
                <w:rFonts w:hint="default" w:cs="Times New Roman"/>
                <w:color w:val="auto"/>
              </w:rPr>
              <w:t xml:space="preserve">表4-5 </w:t>
            </w:r>
            <w:r>
              <w:rPr>
                <w:rFonts w:hint="default" w:cs="Times New Roman"/>
                <w:color w:val="auto"/>
              </w:rPr>
              <w:fldChar w:fldCharType="end"/>
            </w:r>
            <w:r>
              <w:rPr>
                <w:rFonts w:hint="default" w:cs="Times New Roman"/>
                <w:color w:val="auto"/>
              </w:rPr>
              <w:t>：</w:t>
            </w:r>
          </w:p>
          <w:p w14:paraId="7FDE6B46">
            <w:pPr>
              <w:pStyle w:val="33"/>
              <w:keepNext w:val="0"/>
              <w:keepLines w:val="0"/>
              <w:suppressLineNumbers w:val="0"/>
              <w:spacing w:before="0" w:beforeAutospacing="0" w:after="0" w:afterAutospacing="0"/>
              <w:ind w:left="0" w:right="0"/>
              <w:rPr>
                <w:rFonts w:hint="default" w:cs="Times New Roman"/>
              </w:rPr>
            </w:pPr>
            <w:bookmarkStart w:id="105" w:name="_Ref7001"/>
            <w:r>
              <w:rPr>
                <w:rFonts w:hint="default" w:cs="Times New Roman"/>
              </w:rPr>
              <w:t>项目废气收集情况一览表</w:t>
            </w:r>
            <w:bookmarkEnd w:id="105"/>
          </w:p>
          <w:tbl>
            <w:tblPr>
              <w:tblStyle w:val="18"/>
              <w:tblW w:w="757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6"/>
              <w:gridCol w:w="962"/>
              <w:gridCol w:w="939"/>
              <w:gridCol w:w="1089"/>
              <w:gridCol w:w="1070"/>
              <w:gridCol w:w="850"/>
              <w:gridCol w:w="1050"/>
              <w:gridCol w:w="939"/>
            </w:tblGrid>
            <w:tr w14:paraId="63F1A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446" w:type="pct"/>
                  <w:vMerge w:val="restart"/>
                  <w:tcBorders>
                    <w:tl2br w:val="nil"/>
                    <w:tr2bl w:val="nil"/>
                  </w:tcBorders>
                  <w:shd w:val="clear" w:color="auto" w:fill="auto"/>
                  <w:vAlign w:val="center"/>
                </w:tcPr>
                <w:p w14:paraId="7C2ADDCE">
                  <w:pPr>
                    <w:pStyle w:val="28"/>
                    <w:keepNext w:val="0"/>
                    <w:keepLines w:val="0"/>
                    <w:suppressLineNumbers w:val="0"/>
                    <w:spacing w:before="0" w:beforeAutospacing="0" w:after="0" w:afterAutospacing="0"/>
                    <w:ind w:left="0" w:right="0"/>
                    <w:rPr>
                      <w:rFonts w:hint="default"/>
                      <w:color w:val="auto"/>
                    </w:rPr>
                  </w:pPr>
                  <w:r>
                    <w:rPr>
                      <w:rFonts w:hint="default"/>
                      <w:color w:val="auto"/>
                    </w:rPr>
                    <w:t>生产车间</w:t>
                  </w:r>
                </w:p>
              </w:tc>
              <w:tc>
                <w:tcPr>
                  <w:tcW w:w="635" w:type="pct"/>
                  <w:vMerge w:val="restart"/>
                  <w:tcBorders>
                    <w:tl2br w:val="nil"/>
                    <w:tr2bl w:val="nil"/>
                  </w:tcBorders>
                  <w:shd w:val="clear" w:color="auto" w:fill="auto"/>
                  <w:vAlign w:val="center"/>
                </w:tcPr>
                <w:p w14:paraId="1C81DA27">
                  <w:pPr>
                    <w:pStyle w:val="28"/>
                    <w:keepNext w:val="0"/>
                    <w:keepLines w:val="0"/>
                    <w:suppressLineNumbers w:val="0"/>
                    <w:spacing w:before="0" w:beforeAutospacing="0" w:after="0" w:afterAutospacing="0"/>
                    <w:ind w:left="0" w:right="0"/>
                    <w:rPr>
                      <w:rFonts w:hint="default"/>
                      <w:color w:val="auto"/>
                    </w:rPr>
                  </w:pPr>
                  <w:r>
                    <w:rPr>
                      <w:rFonts w:hint="default"/>
                      <w:color w:val="auto"/>
                    </w:rPr>
                    <w:t>工序</w:t>
                  </w:r>
                </w:p>
              </w:tc>
              <w:tc>
                <w:tcPr>
                  <w:tcW w:w="620" w:type="pct"/>
                  <w:vMerge w:val="restart"/>
                  <w:tcBorders>
                    <w:tl2br w:val="nil"/>
                    <w:tr2bl w:val="nil"/>
                  </w:tcBorders>
                  <w:shd w:val="clear" w:color="auto" w:fill="auto"/>
                  <w:vAlign w:val="center"/>
                </w:tcPr>
                <w:p w14:paraId="6DB902CB">
                  <w:pPr>
                    <w:pStyle w:val="28"/>
                    <w:keepNext w:val="0"/>
                    <w:keepLines w:val="0"/>
                    <w:suppressLineNumbers w:val="0"/>
                    <w:spacing w:before="0" w:beforeAutospacing="0" w:after="0" w:afterAutospacing="0"/>
                    <w:ind w:left="0" w:right="0"/>
                    <w:rPr>
                      <w:rFonts w:hint="default"/>
                      <w:color w:val="auto"/>
                    </w:rPr>
                  </w:pPr>
                  <w:r>
                    <w:rPr>
                      <w:rFonts w:hint="default"/>
                      <w:color w:val="auto"/>
                    </w:rPr>
                    <w:t>收集方案</w:t>
                  </w:r>
                </w:p>
              </w:tc>
              <w:tc>
                <w:tcPr>
                  <w:tcW w:w="719" w:type="pct"/>
                  <w:vMerge w:val="restart"/>
                  <w:tcBorders>
                    <w:tl2br w:val="nil"/>
                    <w:tr2bl w:val="nil"/>
                  </w:tcBorders>
                  <w:shd w:val="clear" w:color="auto" w:fill="auto"/>
                  <w:vAlign w:val="center"/>
                </w:tcPr>
                <w:p w14:paraId="4054DE31">
                  <w:pPr>
                    <w:pStyle w:val="28"/>
                    <w:keepNext w:val="0"/>
                    <w:keepLines w:val="0"/>
                    <w:suppressLineNumbers w:val="0"/>
                    <w:spacing w:before="0" w:beforeAutospacing="0" w:after="0" w:afterAutospacing="0"/>
                    <w:ind w:left="0" w:right="0"/>
                    <w:rPr>
                      <w:rFonts w:hint="default"/>
                      <w:color w:val="auto"/>
                    </w:rPr>
                  </w:pPr>
                  <w:r>
                    <w:rPr>
                      <w:rFonts w:hint="default"/>
                      <w:color w:val="auto"/>
                    </w:rPr>
                    <w:t>具体位置</w:t>
                  </w:r>
                </w:p>
              </w:tc>
              <w:tc>
                <w:tcPr>
                  <w:tcW w:w="706" w:type="pct"/>
                  <w:vMerge w:val="restart"/>
                  <w:tcBorders>
                    <w:tl2br w:val="nil"/>
                    <w:tr2bl w:val="nil"/>
                  </w:tcBorders>
                  <w:shd w:val="clear" w:color="auto" w:fill="auto"/>
                  <w:vAlign w:val="center"/>
                </w:tcPr>
                <w:p w14:paraId="2A0958C0">
                  <w:pPr>
                    <w:pStyle w:val="28"/>
                    <w:keepNext w:val="0"/>
                    <w:keepLines w:val="0"/>
                    <w:suppressLineNumbers w:val="0"/>
                    <w:spacing w:before="0" w:beforeAutospacing="0" w:after="0" w:afterAutospacing="0"/>
                    <w:ind w:left="0" w:right="0"/>
                    <w:rPr>
                      <w:rFonts w:hint="default"/>
                      <w:color w:val="auto"/>
                    </w:rPr>
                  </w:pPr>
                  <w:r>
                    <w:rPr>
                      <w:rFonts w:hint="default"/>
                      <w:color w:val="auto"/>
                    </w:rPr>
                    <w:t>尺寸</w:t>
                  </w:r>
                </w:p>
              </w:tc>
              <w:tc>
                <w:tcPr>
                  <w:tcW w:w="561" w:type="pct"/>
                  <w:tcBorders>
                    <w:tl2br w:val="nil"/>
                    <w:tr2bl w:val="nil"/>
                  </w:tcBorders>
                  <w:shd w:val="clear" w:color="auto" w:fill="auto"/>
                  <w:vAlign w:val="center"/>
                </w:tcPr>
                <w:p w14:paraId="4C966A19">
                  <w:pPr>
                    <w:pStyle w:val="28"/>
                    <w:keepNext w:val="0"/>
                    <w:keepLines w:val="0"/>
                    <w:suppressLineNumbers w:val="0"/>
                    <w:spacing w:before="0" w:beforeAutospacing="0" w:after="0" w:afterAutospacing="0"/>
                    <w:ind w:left="0" w:right="0"/>
                    <w:rPr>
                      <w:rFonts w:hint="default"/>
                      <w:color w:val="auto"/>
                    </w:rPr>
                  </w:pPr>
                  <w:r>
                    <w:rPr>
                      <w:rFonts w:hint="default"/>
                      <w:color w:val="auto"/>
                    </w:rPr>
                    <w:t>数量</w:t>
                  </w:r>
                </w:p>
              </w:tc>
              <w:tc>
                <w:tcPr>
                  <w:tcW w:w="693" w:type="pct"/>
                  <w:tcBorders>
                    <w:tl2br w:val="nil"/>
                    <w:tr2bl w:val="nil"/>
                  </w:tcBorders>
                  <w:shd w:val="clear" w:color="auto" w:fill="auto"/>
                  <w:vAlign w:val="center"/>
                </w:tcPr>
                <w:p w14:paraId="5D690D7D">
                  <w:pPr>
                    <w:pStyle w:val="28"/>
                    <w:keepNext w:val="0"/>
                    <w:keepLines w:val="0"/>
                    <w:suppressLineNumbers w:val="0"/>
                    <w:spacing w:before="0" w:beforeAutospacing="0" w:after="0" w:afterAutospacing="0"/>
                    <w:ind w:left="0" w:right="0"/>
                    <w:rPr>
                      <w:rFonts w:hint="default"/>
                      <w:color w:val="auto"/>
                    </w:rPr>
                  </w:pPr>
                  <w:r>
                    <w:rPr>
                      <w:rFonts w:hint="default"/>
                      <w:color w:val="auto"/>
                    </w:rPr>
                    <w:t>所需风量</w:t>
                  </w:r>
                </w:p>
              </w:tc>
              <w:tc>
                <w:tcPr>
                  <w:tcW w:w="620" w:type="pct"/>
                  <w:vMerge w:val="restart"/>
                  <w:tcBorders>
                    <w:tl2br w:val="nil"/>
                    <w:tr2bl w:val="nil"/>
                  </w:tcBorders>
                  <w:shd w:val="clear" w:color="auto" w:fill="auto"/>
                  <w:vAlign w:val="center"/>
                </w:tcPr>
                <w:p w14:paraId="5B7F8321">
                  <w:pPr>
                    <w:pStyle w:val="28"/>
                    <w:keepNext w:val="0"/>
                    <w:keepLines w:val="0"/>
                    <w:suppressLineNumbers w:val="0"/>
                    <w:spacing w:before="0" w:beforeAutospacing="0" w:after="0" w:afterAutospacing="0"/>
                    <w:ind w:left="0" w:right="0"/>
                    <w:rPr>
                      <w:rFonts w:hint="default"/>
                      <w:color w:val="auto"/>
                    </w:rPr>
                  </w:pPr>
                  <w:r>
                    <w:rPr>
                      <w:rFonts w:hint="default"/>
                      <w:color w:val="auto"/>
                    </w:rPr>
                    <w:t>设计风量（m</w:t>
                  </w:r>
                  <w:r>
                    <w:rPr>
                      <w:rFonts w:hint="default"/>
                      <w:color w:val="auto"/>
                      <w:vertAlign w:val="superscript"/>
                    </w:rPr>
                    <w:t>3</w:t>
                  </w:r>
                  <w:r>
                    <w:rPr>
                      <w:rFonts w:hint="default"/>
                      <w:color w:val="auto"/>
                    </w:rPr>
                    <w:t>/h）</w:t>
                  </w:r>
                </w:p>
              </w:tc>
            </w:tr>
            <w:tr w14:paraId="5EF66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08BA0D96">
                  <w:pPr>
                    <w:pStyle w:val="28"/>
                    <w:keepNext w:val="0"/>
                    <w:keepLines w:val="0"/>
                    <w:suppressLineNumbers w:val="0"/>
                    <w:spacing w:before="0" w:beforeAutospacing="0" w:after="0" w:afterAutospacing="0"/>
                    <w:ind w:left="0" w:right="0"/>
                    <w:rPr>
                      <w:rFonts w:hint="default"/>
                      <w:color w:val="auto"/>
                    </w:rPr>
                  </w:pPr>
                </w:p>
              </w:tc>
              <w:tc>
                <w:tcPr>
                  <w:tcW w:w="635" w:type="pct"/>
                  <w:vMerge w:val="continue"/>
                  <w:tcBorders>
                    <w:tl2br w:val="nil"/>
                    <w:tr2bl w:val="nil"/>
                  </w:tcBorders>
                  <w:shd w:val="clear" w:color="auto" w:fill="auto"/>
                  <w:vAlign w:val="center"/>
                </w:tcPr>
                <w:p w14:paraId="35F09119">
                  <w:pPr>
                    <w:pStyle w:val="28"/>
                    <w:keepNext w:val="0"/>
                    <w:keepLines w:val="0"/>
                    <w:suppressLineNumbers w:val="0"/>
                    <w:spacing w:before="0" w:beforeAutospacing="0" w:after="0" w:afterAutospacing="0"/>
                    <w:ind w:left="0" w:right="0"/>
                    <w:rPr>
                      <w:rFonts w:hint="default"/>
                      <w:color w:val="auto"/>
                    </w:rPr>
                  </w:pPr>
                </w:p>
              </w:tc>
              <w:tc>
                <w:tcPr>
                  <w:tcW w:w="620" w:type="pct"/>
                  <w:vMerge w:val="continue"/>
                  <w:tcBorders>
                    <w:tl2br w:val="nil"/>
                    <w:tr2bl w:val="nil"/>
                  </w:tcBorders>
                  <w:shd w:val="clear" w:color="auto" w:fill="auto"/>
                  <w:vAlign w:val="center"/>
                </w:tcPr>
                <w:p w14:paraId="68D37B5E">
                  <w:pPr>
                    <w:pStyle w:val="28"/>
                    <w:keepNext w:val="0"/>
                    <w:keepLines w:val="0"/>
                    <w:suppressLineNumbers w:val="0"/>
                    <w:spacing w:before="0" w:beforeAutospacing="0" w:after="0" w:afterAutospacing="0"/>
                    <w:ind w:left="0" w:right="0"/>
                    <w:rPr>
                      <w:rFonts w:hint="default"/>
                      <w:color w:val="auto"/>
                    </w:rPr>
                  </w:pPr>
                </w:p>
              </w:tc>
              <w:tc>
                <w:tcPr>
                  <w:tcW w:w="719" w:type="pct"/>
                  <w:vMerge w:val="continue"/>
                  <w:tcBorders>
                    <w:tl2br w:val="nil"/>
                    <w:tr2bl w:val="nil"/>
                  </w:tcBorders>
                  <w:shd w:val="clear" w:color="auto" w:fill="auto"/>
                  <w:vAlign w:val="center"/>
                </w:tcPr>
                <w:p w14:paraId="44EBCAB7">
                  <w:pPr>
                    <w:pStyle w:val="28"/>
                    <w:keepNext w:val="0"/>
                    <w:keepLines w:val="0"/>
                    <w:suppressLineNumbers w:val="0"/>
                    <w:spacing w:before="0" w:beforeAutospacing="0" w:after="0" w:afterAutospacing="0"/>
                    <w:ind w:left="0" w:right="0"/>
                    <w:rPr>
                      <w:rFonts w:hint="default"/>
                      <w:color w:val="auto"/>
                    </w:rPr>
                  </w:pPr>
                </w:p>
              </w:tc>
              <w:tc>
                <w:tcPr>
                  <w:tcW w:w="706" w:type="pct"/>
                  <w:vMerge w:val="continue"/>
                  <w:tcBorders>
                    <w:tl2br w:val="nil"/>
                    <w:tr2bl w:val="nil"/>
                  </w:tcBorders>
                  <w:shd w:val="clear" w:color="auto" w:fill="auto"/>
                  <w:vAlign w:val="center"/>
                </w:tcPr>
                <w:p w14:paraId="274F81A7">
                  <w:pPr>
                    <w:pStyle w:val="28"/>
                    <w:keepNext w:val="0"/>
                    <w:keepLines w:val="0"/>
                    <w:suppressLineNumbers w:val="0"/>
                    <w:spacing w:before="0" w:beforeAutospacing="0" w:after="0" w:afterAutospacing="0"/>
                    <w:ind w:left="0" w:right="0"/>
                    <w:rPr>
                      <w:rFonts w:hint="default"/>
                      <w:color w:val="auto"/>
                    </w:rPr>
                  </w:pPr>
                </w:p>
              </w:tc>
              <w:tc>
                <w:tcPr>
                  <w:tcW w:w="561" w:type="pct"/>
                  <w:tcBorders>
                    <w:tl2br w:val="nil"/>
                    <w:tr2bl w:val="nil"/>
                  </w:tcBorders>
                  <w:shd w:val="clear" w:color="auto" w:fill="auto"/>
                  <w:vAlign w:val="center"/>
                </w:tcPr>
                <w:p w14:paraId="0107F377">
                  <w:pPr>
                    <w:pStyle w:val="28"/>
                    <w:keepNext w:val="0"/>
                    <w:keepLines w:val="0"/>
                    <w:suppressLineNumbers w:val="0"/>
                    <w:spacing w:before="0" w:beforeAutospacing="0" w:after="0" w:afterAutospacing="0"/>
                    <w:ind w:left="0" w:right="0"/>
                    <w:rPr>
                      <w:rFonts w:hint="default"/>
                      <w:color w:val="auto"/>
                    </w:rPr>
                  </w:pPr>
                  <w:r>
                    <w:rPr>
                      <w:rFonts w:hint="default"/>
                      <w:color w:val="auto"/>
                    </w:rPr>
                    <w:t>（个）</w:t>
                  </w:r>
                </w:p>
              </w:tc>
              <w:tc>
                <w:tcPr>
                  <w:tcW w:w="693" w:type="pct"/>
                  <w:tcBorders>
                    <w:tl2br w:val="nil"/>
                    <w:tr2bl w:val="nil"/>
                  </w:tcBorders>
                  <w:shd w:val="clear" w:color="auto" w:fill="auto"/>
                  <w:vAlign w:val="center"/>
                </w:tcPr>
                <w:p w14:paraId="25C347F7">
                  <w:pPr>
                    <w:pStyle w:val="28"/>
                    <w:keepNext w:val="0"/>
                    <w:keepLines w:val="0"/>
                    <w:suppressLineNumbers w:val="0"/>
                    <w:spacing w:before="0" w:beforeAutospacing="0" w:after="0" w:afterAutospacing="0"/>
                    <w:ind w:left="0" w:right="0"/>
                    <w:rPr>
                      <w:rFonts w:hint="default"/>
                      <w:color w:val="auto"/>
                    </w:rPr>
                  </w:pPr>
                  <w:r>
                    <w:rPr>
                      <w:rFonts w:hint="default"/>
                      <w:color w:val="auto"/>
                    </w:rPr>
                    <w:t>（m</w:t>
                  </w:r>
                  <w:r>
                    <w:rPr>
                      <w:rFonts w:hint="default"/>
                      <w:color w:val="auto"/>
                      <w:vertAlign w:val="superscript"/>
                    </w:rPr>
                    <w:t>3</w:t>
                  </w:r>
                  <w:r>
                    <w:rPr>
                      <w:rFonts w:hint="default"/>
                      <w:color w:val="auto"/>
                    </w:rPr>
                    <w:t>/h）</w:t>
                  </w:r>
                </w:p>
              </w:tc>
              <w:tc>
                <w:tcPr>
                  <w:tcW w:w="620" w:type="pct"/>
                  <w:vMerge w:val="continue"/>
                  <w:tcBorders>
                    <w:tl2br w:val="nil"/>
                    <w:tr2bl w:val="nil"/>
                  </w:tcBorders>
                  <w:shd w:val="clear" w:color="auto" w:fill="auto"/>
                  <w:vAlign w:val="center"/>
                </w:tcPr>
                <w:p w14:paraId="44B325FE">
                  <w:pPr>
                    <w:pStyle w:val="28"/>
                    <w:keepNext w:val="0"/>
                    <w:keepLines w:val="0"/>
                    <w:suppressLineNumbers w:val="0"/>
                    <w:spacing w:before="0" w:beforeAutospacing="0" w:after="0" w:afterAutospacing="0"/>
                    <w:ind w:left="0" w:right="0"/>
                    <w:rPr>
                      <w:rFonts w:hint="default"/>
                      <w:color w:val="auto"/>
                    </w:rPr>
                  </w:pPr>
                </w:p>
              </w:tc>
            </w:tr>
            <w:tr w14:paraId="47072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restart"/>
                  <w:tcBorders>
                    <w:tl2br w:val="nil"/>
                    <w:tr2bl w:val="nil"/>
                  </w:tcBorders>
                  <w:shd w:val="clear" w:color="auto" w:fill="auto"/>
                  <w:vAlign w:val="center"/>
                </w:tcPr>
                <w:p w14:paraId="4AC472E3">
                  <w:pPr>
                    <w:pStyle w:val="28"/>
                    <w:keepNext w:val="0"/>
                    <w:keepLines w:val="0"/>
                    <w:suppressLineNumbers w:val="0"/>
                    <w:spacing w:before="0" w:beforeAutospacing="0" w:after="0" w:afterAutospacing="0"/>
                    <w:ind w:left="0" w:right="0"/>
                    <w:rPr>
                      <w:rFonts w:hint="default"/>
                      <w:color w:val="auto"/>
                    </w:rPr>
                  </w:pPr>
                  <w:r>
                    <w:rPr>
                      <w:rFonts w:hint="default"/>
                      <w:color w:val="auto"/>
                    </w:rPr>
                    <w:t>生产车间</w:t>
                  </w:r>
                </w:p>
              </w:tc>
              <w:tc>
                <w:tcPr>
                  <w:tcW w:w="635" w:type="pct"/>
                  <w:tcBorders>
                    <w:tl2br w:val="nil"/>
                    <w:tr2bl w:val="nil"/>
                  </w:tcBorders>
                  <w:shd w:val="clear" w:color="auto" w:fill="auto"/>
                  <w:vAlign w:val="center"/>
                </w:tcPr>
                <w:p w14:paraId="2D6CB113">
                  <w:pPr>
                    <w:pStyle w:val="28"/>
                    <w:keepNext w:val="0"/>
                    <w:keepLines w:val="0"/>
                    <w:suppressLineNumbers w:val="0"/>
                    <w:spacing w:before="0" w:beforeAutospacing="0" w:after="0" w:afterAutospacing="0"/>
                    <w:ind w:left="0" w:right="0"/>
                    <w:rPr>
                      <w:rFonts w:hint="default"/>
                      <w:color w:val="auto"/>
                    </w:rPr>
                  </w:pPr>
                  <w:r>
                    <w:rPr>
                      <w:rFonts w:hint="default"/>
                      <w:color w:val="auto"/>
                    </w:rPr>
                    <w:t>液硫池沉淀</w:t>
                  </w:r>
                </w:p>
              </w:tc>
              <w:tc>
                <w:tcPr>
                  <w:tcW w:w="620" w:type="pct"/>
                  <w:tcBorders>
                    <w:tl2br w:val="nil"/>
                    <w:tr2bl w:val="nil"/>
                  </w:tcBorders>
                  <w:shd w:val="clear" w:color="auto" w:fill="auto"/>
                  <w:vAlign w:val="center"/>
                </w:tcPr>
                <w:p w14:paraId="143E60A2">
                  <w:pPr>
                    <w:pStyle w:val="28"/>
                    <w:keepNext w:val="0"/>
                    <w:keepLines w:val="0"/>
                    <w:suppressLineNumbers w:val="0"/>
                    <w:spacing w:before="0" w:beforeAutospacing="0" w:after="0" w:afterAutospacing="0"/>
                    <w:ind w:left="0" w:right="0"/>
                    <w:rPr>
                      <w:rFonts w:hint="default"/>
                      <w:color w:val="auto"/>
                    </w:rPr>
                  </w:pPr>
                  <w:r>
                    <w:rPr>
                      <w:rFonts w:hint="default"/>
                      <w:color w:val="auto"/>
                    </w:rPr>
                    <w:t>负压抽风</w:t>
                  </w:r>
                </w:p>
              </w:tc>
              <w:tc>
                <w:tcPr>
                  <w:tcW w:w="719" w:type="pct"/>
                  <w:tcBorders>
                    <w:tl2br w:val="nil"/>
                    <w:tr2bl w:val="nil"/>
                  </w:tcBorders>
                  <w:shd w:val="clear" w:color="auto" w:fill="auto"/>
                  <w:vAlign w:val="center"/>
                </w:tcPr>
                <w:p w14:paraId="4B07C7C1">
                  <w:pPr>
                    <w:pStyle w:val="28"/>
                    <w:keepNext w:val="0"/>
                    <w:keepLines w:val="0"/>
                    <w:suppressLineNumbers w:val="0"/>
                    <w:spacing w:before="0" w:beforeAutospacing="0" w:after="0" w:afterAutospacing="0"/>
                    <w:ind w:left="0" w:right="0"/>
                    <w:rPr>
                      <w:rFonts w:hint="default"/>
                      <w:color w:val="auto"/>
                    </w:rPr>
                  </w:pPr>
                  <w:r>
                    <w:rPr>
                      <w:rFonts w:hint="default"/>
                      <w:color w:val="auto"/>
                    </w:rPr>
                    <w:t>液硫池呼吸阀</w:t>
                  </w:r>
                </w:p>
              </w:tc>
              <w:tc>
                <w:tcPr>
                  <w:tcW w:w="706" w:type="pct"/>
                  <w:tcBorders>
                    <w:tl2br w:val="nil"/>
                    <w:tr2bl w:val="nil"/>
                  </w:tcBorders>
                  <w:shd w:val="clear" w:color="auto" w:fill="auto"/>
                  <w:vAlign w:val="center"/>
                </w:tcPr>
                <w:p w14:paraId="218504A3">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561" w:type="pct"/>
                  <w:tcBorders>
                    <w:tl2br w:val="nil"/>
                    <w:tr2bl w:val="nil"/>
                  </w:tcBorders>
                  <w:shd w:val="clear" w:color="auto" w:fill="auto"/>
                  <w:vAlign w:val="center"/>
                </w:tcPr>
                <w:p w14:paraId="0061580F">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3A7B37D6">
                  <w:pPr>
                    <w:pStyle w:val="28"/>
                    <w:keepNext w:val="0"/>
                    <w:keepLines w:val="0"/>
                    <w:suppressLineNumbers w:val="0"/>
                    <w:spacing w:before="0" w:beforeAutospacing="0" w:after="0" w:afterAutospacing="0"/>
                    <w:ind w:left="0" w:right="0"/>
                    <w:rPr>
                      <w:rFonts w:hint="default"/>
                      <w:color w:val="auto"/>
                    </w:rPr>
                  </w:pPr>
                  <w:r>
                    <w:rPr>
                      <w:rFonts w:hint="default"/>
                      <w:color w:val="auto"/>
                    </w:rPr>
                    <w:t>1000</w:t>
                  </w:r>
                </w:p>
              </w:tc>
              <w:tc>
                <w:tcPr>
                  <w:tcW w:w="620" w:type="pct"/>
                  <w:vMerge w:val="restart"/>
                  <w:tcBorders>
                    <w:tl2br w:val="nil"/>
                    <w:tr2bl w:val="nil"/>
                  </w:tcBorders>
                  <w:shd w:val="clear" w:color="auto" w:fill="auto"/>
                  <w:vAlign w:val="center"/>
                </w:tcPr>
                <w:p w14:paraId="4547F773">
                  <w:pPr>
                    <w:pStyle w:val="28"/>
                    <w:keepNext w:val="0"/>
                    <w:keepLines w:val="0"/>
                    <w:suppressLineNumbers w:val="0"/>
                    <w:spacing w:before="0" w:beforeAutospacing="0" w:after="0" w:afterAutospacing="0"/>
                    <w:ind w:left="0" w:right="0"/>
                    <w:rPr>
                      <w:rFonts w:hint="default"/>
                      <w:color w:val="auto"/>
                    </w:rPr>
                  </w:pPr>
                  <w:r>
                    <w:rPr>
                      <w:rFonts w:hint="default"/>
                      <w:color w:val="auto"/>
                    </w:rPr>
                    <w:t>14000</w:t>
                  </w:r>
                </w:p>
              </w:tc>
            </w:tr>
            <w:tr w14:paraId="65334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335ACD6F">
                  <w:pPr>
                    <w:pStyle w:val="28"/>
                    <w:keepNext w:val="0"/>
                    <w:keepLines w:val="0"/>
                    <w:suppressLineNumbers w:val="0"/>
                    <w:spacing w:before="0" w:beforeAutospacing="0" w:after="0" w:afterAutospacing="0"/>
                    <w:ind w:left="0" w:right="0"/>
                    <w:rPr>
                      <w:rFonts w:hint="default"/>
                      <w:color w:val="auto"/>
                    </w:rPr>
                  </w:pPr>
                </w:p>
              </w:tc>
              <w:tc>
                <w:tcPr>
                  <w:tcW w:w="635" w:type="pct"/>
                  <w:tcBorders>
                    <w:tl2br w:val="nil"/>
                    <w:tr2bl w:val="nil"/>
                  </w:tcBorders>
                  <w:shd w:val="clear" w:color="auto" w:fill="auto"/>
                  <w:vAlign w:val="center"/>
                </w:tcPr>
                <w:p w14:paraId="1A8A5E12">
                  <w:pPr>
                    <w:pStyle w:val="28"/>
                    <w:keepNext w:val="0"/>
                    <w:keepLines w:val="0"/>
                    <w:suppressLineNumbers w:val="0"/>
                    <w:spacing w:before="0" w:beforeAutospacing="0" w:after="0" w:afterAutospacing="0"/>
                    <w:ind w:left="0" w:right="0"/>
                    <w:rPr>
                      <w:rFonts w:hint="default"/>
                      <w:color w:val="auto"/>
                    </w:rPr>
                  </w:pPr>
                  <w:r>
                    <w:rPr>
                      <w:rFonts w:hint="default"/>
                      <w:color w:val="auto"/>
                    </w:rPr>
                    <w:t>提纯</w:t>
                  </w:r>
                </w:p>
              </w:tc>
              <w:tc>
                <w:tcPr>
                  <w:tcW w:w="620" w:type="pct"/>
                  <w:tcBorders>
                    <w:tl2br w:val="nil"/>
                    <w:tr2bl w:val="nil"/>
                  </w:tcBorders>
                  <w:shd w:val="clear" w:color="auto" w:fill="auto"/>
                  <w:vAlign w:val="center"/>
                </w:tcPr>
                <w:p w14:paraId="25957FC2">
                  <w:pPr>
                    <w:pStyle w:val="28"/>
                    <w:keepNext w:val="0"/>
                    <w:keepLines w:val="0"/>
                    <w:suppressLineNumbers w:val="0"/>
                    <w:spacing w:before="0" w:beforeAutospacing="0" w:after="0" w:afterAutospacing="0"/>
                    <w:ind w:left="0" w:right="0"/>
                    <w:rPr>
                      <w:rFonts w:hint="default"/>
                      <w:color w:val="auto"/>
                    </w:rPr>
                  </w:pPr>
                  <w:r>
                    <w:rPr>
                      <w:rFonts w:hint="default"/>
                      <w:color w:val="auto"/>
                    </w:rPr>
                    <w:t>负压抽风</w:t>
                  </w:r>
                </w:p>
              </w:tc>
              <w:tc>
                <w:tcPr>
                  <w:tcW w:w="719" w:type="pct"/>
                  <w:tcBorders>
                    <w:tl2br w:val="nil"/>
                    <w:tr2bl w:val="nil"/>
                  </w:tcBorders>
                  <w:shd w:val="clear" w:color="auto" w:fill="auto"/>
                  <w:vAlign w:val="center"/>
                </w:tcPr>
                <w:p w14:paraId="5B98698F">
                  <w:pPr>
                    <w:pStyle w:val="28"/>
                    <w:keepNext w:val="0"/>
                    <w:keepLines w:val="0"/>
                    <w:suppressLineNumbers w:val="0"/>
                    <w:spacing w:before="0" w:beforeAutospacing="0" w:after="0" w:afterAutospacing="0"/>
                    <w:ind w:left="0" w:right="0"/>
                    <w:rPr>
                      <w:rFonts w:hint="default"/>
                      <w:color w:val="auto"/>
                    </w:rPr>
                  </w:pPr>
                  <w:r>
                    <w:rPr>
                      <w:rFonts w:hint="default"/>
                      <w:color w:val="auto"/>
                    </w:rPr>
                    <w:t>提纯塔</w:t>
                  </w:r>
                </w:p>
              </w:tc>
              <w:tc>
                <w:tcPr>
                  <w:tcW w:w="706" w:type="pct"/>
                  <w:tcBorders>
                    <w:tl2br w:val="nil"/>
                    <w:tr2bl w:val="nil"/>
                  </w:tcBorders>
                  <w:shd w:val="clear" w:color="auto" w:fill="auto"/>
                  <w:vAlign w:val="center"/>
                </w:tcPr>
                <w:p w14:paraId="0926AA8C">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561" w:type="pct"/>
                  <w:tcBorders>
                    <w:tl2br w:val="nil"/>
                    <w:tr2bl w:val="nil"/>
                  </w:tcBorders>
                  <w:shd w:val="clear" w:color="auto" w:fill="auto"/>
                  <w:vAlign w:val="center"/>
                </w:tcPr>
                <w:p w14:paraId="2D1E60A2">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577E5533">
                  <w:pPr>
                    <w:pStyle w:val="28"/>
                    <w:keepNext w:val="0"/>
                    <w:keepLines w:val="0"/>
                    <w:suppressLineNumbers w:val="0"/>
                    <w:spacing w:before="0" w:beforeAutospacing="0" w:after="0" w:afterAutospacing="0"/>
                    <w:ind w:left="0" w:right="0"/>
                    <w:rPr>
                      <w:rFonts w:hint="default"/>
                      <w:color w:val="auto"/>
                    </w:rPr>
                  </w:pPr>
                  <w:r>
                    <w:rPr>
                      <w:rFonts w:hint="default"/>
                      <w:color w:val="auto"/>
                    </w:rPr>
                    <w:t>2000</w:t>
                  </w:r>
                </w:p>
              </w:tc>
              <w:tc>
                <w:tcPr>
                  <w:tcW w:w="620" w:type="pct"/>
                  <w:vMerge w:val="continue"/>
                  <w:tcBorders>
                    <w:tl2br w:val="nil"/>
                    <w:tr2bl w:val="nil"/>
                  </w:tcBorders>
                  <w:shd w:val="clear" w:color="auto" w:fill="auto"/>
                  <w:vAlign w:val="center"/>
                </w:tcPr>
                <w:p w14:paraId="142715CB">
                  <w:pPr>
                    <w:pStyle w:val="28"/>
                    <w:keepNext w:val="0"/>
                    <w:keepLines w:val="0"/>
                    <w:suppressLineNumbers w:val="0"/>
                    <w:spacing w:before="0" w:beforeAutospacing="0" w:after="0" w:afterAutospacing="0"/>
                    <w:ind w:left="0" w:right="0"/>
                    <w:rPr>
                      <w:rFonts w:hint="default"/>
                      <w:color w:val="auto"/>
                    </w:rPr>
                  </w:pPr>
                </w:p>
              </w:tc>
            </w:tr>
            <w:tr w14:paraId="773E9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101DC747">
                  <w:pPr>
                    <w:pStyle w:val="28"/>
                    <w:keepNext w:val="0"/>
                    <w:keepLines w:val="0"/>
                    <w:suppressLineNumbers w:val="0"/>
                    <w:spacing w:before="0" w:beforeAutospacing="0" w:after="0" w:afterAutospacing="0"/>
                    <w:ind w:left="0" w:right="0"/>
                    <w:rPr>
                      <w:rFonts w:hint="default"/>
                      <w:color w:val="auto"/>
                    </w:rPr>
                  </w:pPr>
                </w:p>
              </w:tc>
              <w:tc>
                <w:tcPr>
                  <w:tcW w:w="635" w:type="pct"/>
                  <w:tcBorders>
                    <w:tl2br w:val="nil"/>
                    <w:tr2bl w:val="nil"/>
                  </w:tcBorders>
                  <w:shd w:val="clear" w:color="auto" w:fill="auto"/>
                  <w:vAlign w:val="center"/>
                </w:tcPr>
                <w:p w14:paraId="268DD463">
                  <w:pPr>
                    <w:pStyle w:val="28"/>
                    <w:keepNext w:val="0"/>
                    <w:keepLines w:val="0"/>
                    <w:suppressLineNumbers w:val="0"/>
                    <w:spacing w:before="0" w:beforeAutospacing="0" w:after="0" w:afterAutospacing="0"/>
                    <w:ind w:left="0" w:right="0"/>
                    <w:rPr>
                      <w:rFonts w:hint="default"/>
                      <w:color w:val="auto"/>
                    </w:rPr>
                  </w:pPr>
                  <w:r>
                    <w:rPr>
                      <w:rFonts w:hint="default"/>
                      <w:color w:val="auto"/>
                    </w:rPr>
                    <w:t>滚筒造粒</w:t>
                  </w:r>
                </w:p>
              </w:tc>
              <w:tc>
                <w:tcPr>
                  <w:tcW w:w="620" w:type="pct"/>
                  <w:tcBorders>
                    <w:tl2br w:val="nil"/>
                    <w:tr2bl w:val="nil"/>
                  </w:tcBorders>
                  <w:shd w:val="clear" w:color="auto" w:fill="auto"/>
                  <w:vAlign w:val="center"/>
                </w:tcPr>
                <w:p w14:paraId="4204FC77">
                  <w:pPr>
                    <w:pStyle w:val="28"/>
                    <w:keepNext w:val="0"/>
                    <w:keepLines w:val="0"/>
                    <w:suppressLineNumbers w:val="0"/>
                    <w:spacing w:before="0" w:beforeAutospacing="0" w:after="0" w:afterAutospacing="0"/>
                    <w:ind w:left="0" w:right="0"/>
                    <w:rPr>
                      <w:rFonts w:hint="default"/>
                      <w:color w:val="auto"/>
                    </w:rPr>
                  </w:pPr>
                  <w:r>
                    <w:rPr>
                      <w:rFonts w:hint="default"/>
                      <w:color w:val="auto"/>
                    </w:rPr>
                    <w:t>负压抽风</w:t>
                  </w:r>
                </w:p>
              </w:tc>
              <w:tc>
                <w:tcPr>
                  <w:tcW w:w="719" w:type="pct"/>
                  <w:tcBorders>
                    <w:tl2br w:val="nil"/>
                    <w:tr2bl w:val="nil"/>
                  </w:tcBorders>
                  <w:shd w:val="clear" w:color="auto" w:fill="auto"/>
                  <w:vAlign w:val="center"/>
                </w:tcPr>
                <w:p w14:paraId="36674C6B">
                  <w:pPr>
                    <w:pStyle w:val="28"/>
                    <w:keepNext w:val="0"/>
                    <w:keepLines w:val="0"/>
                    <w:suppressLineNumbers w:val="0"/>
                    <w:spacing w:before="0" w:beforeAutospacing="0" w:after="0" w:afterAutospacing="0"/>
                    <w:ind w:left="0" w:right="0"/>
                    <w:rPr>
                      <w:rFonts w:hint="default"/>
                      <w:color w:val="auto"/>
                    </w:rPr>
                  </w:pPr>
                  <w:r>
                    <w:rPr>
                      <w:rFonts w:hint="default"/>
                      <w:color w:val="auto"/>
                    </w:rPr>
                    <w:t>滚筒造粒机</w:t>
                  </w:r>
                </w:p>
              </w:tc>
              <w:tc>
                <w:tcPr>
                  <w:tcW w:w="706" w:type="pct"/>
                  <w:tcBorders>
                    <w:tl2br w:val="nil"/>
                    <w:tr2bl w:val="nil"/>
                  </w:tcBorders>
                  <w:shd w:val="clear" w:color="auto" w:fill="auto"/>
                  <w:vAlign w:val="center"/>
                </w:tcPr>
                <w:p w14:paraId="54BAFB5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561" w:type="pct"/>
                  <w:tcBorders>
                    <w:tl2br w:val="nil"/>
                    <w:tr2bl w:val="nil"/>
                  </w:tcBorders>
                  <w:shd w:val="clear" w:color="auto" w:fill="auto"/>
                  <w:vAlign w:val="center"/>
                </w:tcPr>
                <w:p w14:paraId="2406EF43">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78D3F8D1">
                  <w:pPr>
                    <w:pStyle w:val="28"/>
                    <w:keepNext w:val="0"/>
                    <w:keepLines w:val="0"/>
                    <w:suppressLineNumbers w:val="0"/>
                    <w:spacing w:before="0" w:beforeAutospacing="0" w:after="0" w:afterAutospacing="0"/>
                    <w:ind w:left="0" w:right="0"/>
                    <w:rPr>
                      <w:rFonts w:hint="default"/>
                      <w:color w:val="auto"/>
                    </w:rPr>
                  </w:pPr>
                  <w:r>
                    <w:rPr>
                      <w:rFonts w:hint="default"/>
                      <w:color w:val="auto"/>
                    </w:rPr>
                    <w:t>2000</w:t>
                  </w:r>
                </w:p>
              </w:tc>
              <w:tc>
                <w:tcPr>
                  <w:tcW w:w="620" w:type="pct"/>
                  <w:vMerge w:val="continue"/>
                  <w:tcBorders>
                    <w:tl2br w:val="nil"/>
                    <w:tr2bl w:val="nil"/>
                  </w:tcBorders>
                  <w:shd w:val="clear" w:color="auto" w:fill="auto"/>
                  <w:vAlign w:val="center"/>
                </w:tcPr>
                <w:p w14:paraId="384F2F8E">
                  <w:pPr>
                    <w:pStyle w:val="28"/>
                    <w:keepNext w:val="0"/>
                    <w:keepLines w:val="0"/>
                    <w:suppressLineNumbers w:val="0"/>
                    <w:spacing w:before="0" w:beforeAutospacing="0" w:after="0" w:afterAutospacing="0"/>
                    <w:ind w:left="0" w:right="0"/>
                    <w:rPr>
                      <w:rFonts w:hint="default"/>
                      <w:color w:val="auto"/>
                    </w:rPr>
                  </w:pPr>
                </w:p>
              </w:tc>
            </w:tr>
            <w:tr w14:paraId="28688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7285D7B2">
                  <w:pPr>
                    <w:pStyle w:val="28"/>
                    <w:keepNext w:val="0"/>
                    <w:keepLines w:val="0"/>
                    <w:suppressLineNumbers w:val="0"/>
                    <w:spacing w:before="0" w:beforeAutospacing="0" w:after="0" w:afterAutospacing="0"/>
                    <w:ind w:left="0" w:right="0"/>
                    <w:rPr>
                      <w:rFonts w:hint="default"/>
                      <w:color w:val="auto"/>
                    </w:rPr>
                  </w:pPr>
                </w:p>
              </w:tc>
              <w:tc>
                <w:tcPr>
                  <w:tcW w:w="635" w:type="pct"/>
                  <w:tcBorders>
                    <w:tl2br w:val="nil"/>
                    <w:tr2bl w:val="nil"/>
                  </w:tcBorders>
                  <w:shd w:val="clear" w:color="auto" w:fill="auto"/>
                  <w:vAlign w:val="center"/>
                </w:tcPr>
                <w:p w14:paraId="4B00C3E4">
                  <w:pPr>
                    <w:pStyle w:val="28"/>
                    <w:keepNext w:val="0"/>
                    <w:keepLines w:val="0"/>
                    <w:suppressLineNumbers w:val="0"/>
                    <w:spacing w:before="0" w:beforeAutospacing="0" w:after="0" w:afterAutospacing="0"/>
                    <w:ind w:left="0" w:right="0"/>
                    <w:rPr>
                      <w:rFonts w:hint="default"/>
                      <w:color w:val="auto"/>
                    </w:rPr>
                  </w:pPr>
                  <w:r>
                    <w:rPr>
                      <w:rFonts w:hint="default"/>
                      <w:color w:val="auto"/>
                    </w:rPr>
                    <w:t>刮片</w:t>
                  </w:r>
                </w:p>
              </w:tc>
              <w:tc>
                <w:tcPr>
                  <w:tcW w:w="620" w:type="pct"/>
                  <w:tcBorders>
                    <w:tl2br w:val="nil"/>
                    <w:tr2bl w:val="nil"/>
                  </w:tcBorders>
                  <w:shd w:val="clear" w:color="auto" w:fill="auto"/>
                  <w:vAlign w:val="center"/>
                </w:tcPr>
                <w:p w14:paraId="40EEF2E4">
                  <w:pPr>
                    <w:pStyle w:val="28"/>
                    <w:keepNext w:val="0"/>
                    <w:keepLines w:val="0"/>
                    <w:suppressLineNumbers w:val="0"/>
                    <w:spacing w:before="0" w:beforeAutospacing="0" w:after="0" w:afterAutospacing="0"/>
                    <w:ind w:left="0" w:right="0"/>
                    <w:rPr>
                      <w:rFonts w:hint="default"/>
                      <w:color w:val="auto"/>
                    </w:rPr>
                  </w:pPr>
                  <w:r>
                    <w:rPr>
                      <w:rFonts w:hint="default"/>
                      <w:color w:val="auto"/>
                    </w:rPr>
                    <w:t>负压抽风</w:t>
                  </w:r>
                </w:p>
              </w:tc>
              <w:tc>
                <w:tcPr>
                  <w:tcW w:w="719" w:type="pct"/>
                  <w:tcBorders>
                    <w:tl2br w:val="nil"/>
                    <w:tr2bl w:val="nil"/>
                  </w:tcBorders>
                  <w:shd w:val="clear" w:color="auto" w:fill="auto"/>
                  <w:vAlign w:val="center"/>
                </w:tcPr>
                <w:p w14:paraId="44918D1D">
                  <w:pPr>
                    <w:pStyle w:val="28"/>
                    <w:keepNext w:val="0"/>
                    <w:keepLines w:val="0"/>
                    <w:suppressLineNumbers w:val="0"/>
                    <w:spacing w:before="0" w:beforeAutospacing="0" w:after="0" w:afterAutospacing="0"/>
                    <w:ind w:left="0" w:right="0"/>
                    <w:rPr>
                      <w:rFonts w:hint="default"/>
                      <w:color w:val="auto"/>
                    </w:rPr>
                  </w:pPr>
                  <w:r>
                    <w:rPr>
                      <w:rFonts w:hint="default"/>
                      <w:color w:val="auto"/>
                    </w:rPr>
                    <w:t>刮片机</w:t>
                  </w:r>
                </w:p>
              </w:tc>
              <w:tc>
                <w:tcPr>
                  <w:tcW w:w="706" w:type="pct"/>
                  <w:tcBorders>
                    <w:tl2br w:val="nil"/>
                    <w:tr2bl w:val="nil"/>
                  </w:tcBorders>
                  <w:shd w:val="clear" w:color="auto" w:fill="auto"/>
                  <w:vAlign w:val="center"/>
                </w:tcPr>
                <w:p w14:paraId="0E71029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561" w:type="pct"/>
                  <w:tcBorders>
                    <w:tl2br w:val="nil"/>
                    <w:tr2bl w:val="nil"/>
                  </w:tcBorders>
                  <w:shd w:val="clear" w:color="auto" w:fill="auto"/>
                  <w:vAlign w:val="center"/>
                </w:tcPr>
                <w:p w14:paraId="321EBF06">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5C638051">
                  <w:pPr>
                    <w:pStyle w:val="28"/>
                    <w:keepNext w:val="0"/>
                    <w:keepLines w:val="0"/>
                    <w:suppressLineNumbers w:val="0"/>
                    <w:spacing w:before="0" w:beforeAutospacing="0" w:after="0" w:afterAutospacing="0"/>
                    <w:ind w:left="0" w:right="0"/>
                    <w:rPr>
                      <w:rFonts w:hint="default"/>
                      <w:color w:val="auto"/>
                    </w:rPr>
                  </w:pPr>
                  <w:r>
                    <w:rPr>
                      <w:rFonts w:hint="default"/>
                      <w:color w:val="auto"/>
                    </w:rPr>
                    <w:t>2000</w:t>
                  </w:r>
                </w:p>
              </w:tc>
              <w:tc>
                <w:tcPr>
                  <w:tcW w:w="620" w:type="pct"/>
                  <w:vMerge w:val="continue"/>
                  <w:tcBorders>
                    <w:tl2br w:val="nil"/>
                    <w:tr2bl w:val="nil"/>
                  </w:tcBorders>
                  <w:shd w:val="clear" w:color="auto" w:fill="auto"/>
                  <w:vAlign w:val="center"/>
                </w:tcPr>
                <w:p w14:paraId="305F0A03">
                  <w:pPr>
                    <w:pStyle w:val="28"/>
                    <w:keepNext w:val="0"/>
                    <w:keepLines w:val="0"/>
                    <w:suppressLineNumbers w:val="0"/>
                    <w:spacing w:before="0" w:beforeAutospacing="0" w:after="0" w:afterAutospacing="0"/>
                    <w:ind w:left="0" w:right="0"/>
                    <w:rPr>
                      <w:rFonts w:hint="default"/>
                      <w:color w:val="auto"/>
                    </w:rPr>
                  </w:pPr>
                </w:p>
              </w:tc>
            </w:tr>
            <w:tr w14:paraId="06B18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6B1ED001">
                  <w:pPr>
                    <w:pStyle w:val="28"/>
                    <w:keepNext w:val="0"/>
                    <w:keepLines w:val="0"/>
                    <w:suppressLineNumbers w:val="0"/>
                    <w:spacing w:before="0" w:beforeAutospacing="0" w:after="0" w:afterAutospacing="0"/>
                    <w:ind w:left="0" w:right="0"/>
                    <w:rPr>
                      <w:rFonts w:hint="default"/>
                      <w:color w:val="auto"/>
                    </w:rPr>
                  </w:pPr>
                </w:p>
              </w:tc>
              <w:tc>
                <w:tcPr>
                  <w:tcW w:w="635" w:type="pct"/>
                  <w:tcBorders>
                    <w:tl2br w:val="nil"/>
                    <w:tr2bl w:val="nil"/>
                  </w:tcBorders>
                  <w:shd w:val="clear" w:color="auto" w:fill="auto"/>
                  <w:vAlign w:val="center"/>
                </w:tcPr>
                <w:p w14:paraId="3E1488B8">
                  <w:pPr>
                    <w:pStyle w:val="28"/>
                    <w:keepNext w:val="0"/>
                    <w:keepLines w:val="0"/>
                    <w:suppressLineNumbers w:val="0"/>
                    <w:spacing w:before="0" w:beforeAutospacing="0" w:after="0" w:afterAutospacing="0"/>
                    <w:ind w:left="0" w:right="0"/>
                    <w:rPr>
                      <w:rFonts w:hint="default"/>
                      <w:color w:val="auto"/>
                    </w:rPr>
                  </w:pPr>
                  <w:r>
                    <w:rPr>
                      <w:rFonts w:hint="default"/>
                      <w:color w:val="auto"/>
                    </w:rPr>
                    <w:t>湿法造粒</w:t>
                  </w:r>
                </w:p>
              </w:tc>
              <w:tc>
                <w:tcPr>
                  <w:tcW w:w="620" w:type="pct"/>
                  <w:tcBorders>
                    <w:tl2br w:val="nil"/>
                    <w:tr2bl w:val="nil"/>
                  </w:tcBorders>
                  <w:shd w:val="clear" w:color="auto" w:fill="auto"/>
                  <w:vAlign w:val="center"/>
                </w:tcPr>
                <w:p w14:paraId="6EB00FDB">
                  <w:pPr>
                    <w:pStyle w:val="28"/>
                    <w:keepNext w:val="0"/>
                    <w:keepLines w:val="0"/>
                    <w:suppressLineNumbers w:val="0"/>
                    <w:spacing w:before="0" w:beforeAutospacing="0" w:after="0" w:afterAutospacing="0"/>
                    <w:ind w:left="0" w:right="0"/>
                    <w:rPr>
                      <w:rFonts w:hint="default"/>
                      <w:color w:val="auto"/>
                    </w:rPr>
                  </w:pPr>
                  <w:r>
                    <w:rPr>
                      <w:rFonts w:hint="default"/>
                      <w:color w:val="auto"/>
                    </w:rPr>
                    <w:t>集气罩</w:t>
                  </w:r>
                </w:p>
              </w:tc>
              <w:tc>
                <w:tcPr>
                  <w:tcW w:w="719" w:type="pct"/>
                  <w:tcBorders>
                    <w:tl2br w:val="nil"/>
                    <w:tr2bl w:val="nil"/>
                  </w:tcBorders>
                  <w:shd w:val="clear" w:color="auto" w:fill="auto"/>
                  <w:vAlign w:val="center"/>
                </w:tcPr>
                <w:p w14:paraId="20886DDA">
                  <w:pPr>
                    <w:pStyle w:val="28"/>
                    <w:keepNext w:val="0"/>
                    <w:keepLines w:val="0"/>
                    <w:suppressLineNumbers w:val="0"/>
                    <w:spacing w:before="0" w:beforeAutospacing="0" w:after="0" w:afterAutospacing="0"/>
                    <w:ind w:left="0" w:right="0"/>
                    <w:rPr>
                      <w:rFonts w:hint="default"/>
                      <w:color w:val="auto"/>
                    </w:rPr>
                  </w:pPr>
                  <w:r>
                    <w:rPr>
                      <w:rFonts w:hint="default"/>
                      <w:color w:val="auto"/>
                    </w:rPr>
                    <w:t>湿法造粒机</w:t>
                  </w:r>
                </w:p>
              </w:tc>
              <w:tc>
                <w:tcPr>
                  <w:tcW w:w="706" w:type="pct"/>
                  <w:tcBorders>
                    <w:tl2br w:val="nil"/>
                    <w:tr2bl w:val="nil"/>
                  </w:tcBorders>
                  <w:shd w:val="clear" w:color="auto" w:fill="auto"/>
                  <w:vAlign w:val="center"/>
                </w:tcPr>
                <w:p w14:paraId="0EA56950">
                  <w:pPr>
                    <w:pStyle w:val="28"/>
                    <w:keepNext w:val="0"/>
                    <w:keepLines w:val="0"/>
                    <w:suppressLineNumbers w:val="0"/>
                    <w:spacing w:before="0" w:beforeAutospacing="0" w:after="0" w:afterAutospacing="0"/>
                    <w:ind w:left="0" w:right="0"/>
                    <w:rPr>
                      <w:rFonts w:hint="default"/>
                      <w:color w:val="auto"/>
                    </w:rPr>
                  </w:pPr>
                  <w:r>
                    <w:rPr>
                      <w:rFonts w:hint="default"/>
                      <w:color w:val="auto"/>
                    </w:rPr>
                    <w:t>1.2m×1.2m</w:t>
                  </w:r>
                </w:p>
              </w:tc>
              <w:tc>
                <w:tcPr>
                  <w:tcW w:w="561" w:type="pct"/>
                  <w:tcBorders>
                    <w:tl2br w:val="nil"/>
                    <w:tr2bl w:val="nil"/>
                  </w:tcBorders>
                  <w:shd w:val="clear" w:color="auto" w:fill="auto"/>
                  <w:vAlign w:val="center"/>
                </w:tcPr>
                <w:p w14:paraId="299A9330">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2E873FFD">
                  <w:pPr>
                    <w:pStyle w:val="28"/>
                    <w:keepNext w:val="0"/>
                    <w:keepLines w:val="0"/>
                    <w:suppressLineNumbers w:val="0"/>
                    <w:spacing w:before="0" w:beforeAutospacing="0" w:after="0" w:afterAutospacing="0"/>
                    <w:ind w:left="0" w:right="0"/>
                    <w:rPr>
                      <w:rFonts w:hint="default"/>
                      <w:color w:val="auto"/>
                    </w:rPr>
                  </w:pPr>
                  <w:r>
                    <w:rPr>
                      <w:rFonts w:hint="default"/>
                      <w:color w:val="auto"/>
                    </w:rPr>
                    <w:t>6048</w:t>
                  </w:r>
                </w:p>
              </w:tc>
              <w:tc>
                <w:tcPr>
                  <w:tcW w:w="620" w:type="pct"/>
                  <w:vMerge w:val="continue"/>
                  <w:tcBorders>
                    <w:tl2br w:val="nil"/>
                    <w:tr2bl w:val="nil"/>
                  </w:tcBorders>
                  <w:shd w:val="clear" w:color="auto" w:fill="auto"/>
                  <w:vAlign w:val="center"/>
                </w:tcPr>
                <w:p w14:paraId="23471F7E">
                  <w:pPr>
                    <w:pStyle w:val="28"/>
                    <w:keepNext w:val="0"/>
                    <w:keepLines w:val="0"/>
                    <w:suppressLineNumbers w:val="0"/>
                    <w:spacing w:before="0" w:beforeAutospacing="0" w:after="0" w:afterAutospacing="0"/>
                    <w:ind w:left="0" w:right="0"/>
                    <w:rPr>
                      <w:rFonts w:hint="default"/>
                      <w:color w:val="auto"/>
                    </w:rPr>
                  </w:pPr>
                </w:p>
              </w:tc>
            </w:tr>
            <w:tr w14:paraId="4FED8B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446" w:type="pct"/>
                  <w:vMerge w:val="continue"/>
                  <w:tcBorders>
                    <w:tl2br w:val="nil"/>
                    <w:tr2bl w:val="nil"/>
                  </w:tcBorders>
                  <w:shd w:val="clear" w:color="auto" w:fill="auto"/>
                  <w:vAlign w:val="center"/>
                </w:tcPr>
                <w:p w14:paraId="5CBF394A">
                  <w:pPr>
                    <w:pStyle w:val="28"/>
                    <w:keepNext w:val="0"/>
                    <w:keepLines w:val="0"/>
                    <w:suppressLineNumbers w:val="0"/>
                    <w:spacing w:before="0" w:beforeAutospacing="0" w:after="0" w:afterAutospacing="0"/>
                    <w:ind w:left="0" w:right="0"/>
                    <w:rPr>
                      <w:rFonts w:hint="default"/>
                      <w:color w:val="auto"/>
                    </w:rPr>
                  </w:pPr>
                </w:p>
              </w:tc>
              <w:tc>
                <w:tcPr>
                  <w:tcW w:w="635" w:type="pct"/>
                  <w:tcBorders>
                    <w:tl2br w:val="nil"/>
                    <w:tr2bl w:val="nil"/>
                  </w:tcBorders>
                  <w:shd w:val="clear" w:color="auto" w:fill="auto"/>
                  <w:vAlign w:val="center"/>
                </w:tcPr>
                <w:p w14:paraId="1B63BC64">
                  <w:pPr>
                    <w:pStyle w:val="28"/>
                    <w:keepNext w:val="0"/>
                    <w:keepLines w:val="0"/>
                    <w:suppressLineNumbers w:val="0"/>
                    <w:spacing w:before="0" w:beforeAutospacing="0" w:after="0" w:afterAutospacing="0"/>
                    <w:ind w:left="0" w:right="0"/>
                    <w:rPr>
                      <w:rFonts w:hint="default"/>
                      <w:b/>
                      <w:color w:val="auto"/>
                    </w:rPr>
                  </w:pPr>
                  <w:r>
                    <w:rPr>
                      <w:rFonts w:hint="default"/>
                      <w:b/>
                      <w:color w:val="auto"/>
                    </w:rPr>
                    <w:t>小计</w:t>
                  </w:r>
                </w:p>
              </w:tc>
              <w:tc>
                <w:tcPr>
                  <w:tcW w:w="620" w:type="pct"/>
                  <w:tcBorders>
                    <w:tl2br w:val="nil"/>
                    <w:tr2bl w:val="nil"/>
                  </w:tcBorders>
                  <w:shd w:val="clear" w:color="auto" w:fill="auto"/>
                  <w:vAlign w:val="center"/>
                </w:tcPr>
                <w:p w14:paraId="45076930">
                  <w:pPr>
                    <w:pStyle w:val="28"/>
                    <w:keepNext w:val="0"/>
                    <w:keepLines w:val="0"/>
                    <w:suppressLineNumbers w:val="0"/>
                    <w:spacing w:before="0" w:beforeAutospacing="0" w:after="0" w:afterAutospacing="0"/>
                    <w:ind w:left="0" w:right="0"/>
                    <w:rPr>
                      <w:rFonts w:hint="default"/>
                      <w:b/>
                      <w:color w:val="auto"/>
                    </w:rPr>
                  </w:pPr>
                </w:p>
              </w:tc>
              <w:tc>
                <w:tcPr>
                  <w:tcW w:w="719" w:type="pct"/>
                  <w:tcBorders>
                    <w:tl2br w:val="nil"/>
                    <w:tr2bl w:val="nil"/>
                  </w:tcBorders>
                  <w:shd w:val="clear" w:color="auto" w:fill="auto"/>
                  <w:vAlign w:val="center"/>
                </w:tcPr>
                <w:p w14:paraId="4F08438F">
                  <w:pPr>
                    <w:pStyle w:val="28"/>
                    <w:keepNext w:val="0"/>
                    <w:keepLines w:val="0"/>
                    <w:suppressLineNumbers w:val="0"/>
                    <w:spacing w:before="0" w:beforeAutospacing="0" w:after="0" w:afterAutospacing="0"/>
                    <w:ind w:left="0" w:right="0"/>
                    <w:rPr>
                      <w:rFonts w:hint="default"/>
                      <w:b/>
                      <w:color w:val="auto"/>
                    </w:rPr>
                  </w:pPr>
                </w:p>
              </w:tc>
              <w:tc>
                <w:tcPr>
                  <w:tcW w:w="706" w:type="pct"/>
                  <w:tcBorders>
                    <w:tl2br w:val="nil"/>
                    <w:tr2bl w:val="nil"/>
                  </w:tcBorders>
                  <w:shd w:val="clear" w:color="auto" w:fill="auto"/>
                  <w:vAlign w:val="center"/>
                </w:tcPr>
                <w:p w14:paraId="108BE0A2">
                  <w:pPr>
                    <w:pStyle w:val="28"/>
                    <w:keepNext w:val="0"/>
                    <w:keepLines w:val="0"/>
                    <w:suppressLineNumbers w:val="0"/>
                    <w:spacing w:before="0" w:beforeAutospacing="0" w:after="0" w:afterAutospacing="0"/>
                    <w:ind w:left="0" w:right="0"/>
                    <w:rPr>
                      <w:rFonts w:hint="default"/>
                      <w:b/>
                      <w:color w:val="auto"/>
                    </w:rPr>
                  </w:pPr>
                </w:p>
              </w:tc>
              <w:tc>
                <w:tcPr>
                  <w:tcW w:w="561" w:type="pct"/>
                  <w:tcBorders>
                    <w:tl2br w:val="nil"/>
                    <w:tr2bl w:val="nil"/>
                  </w:tcBorders>
                  <w:shd w:val="clear" w:color="auto" w:fill="auto"/>
                  <w:vAlign w:val="center"/>
                </w:tcPr>
                <w:p w14:paraId="4650E280">
                  <w:pPr>
                    <w:pStyle w:val="28"/>
                    <w:keepNext w:val="0"/>
                    <w:keepLines w:val="0"/>
                    <w:suppressLineNumbers w:val="0"/>
                    <w:spacing w:before="0" w:beforeAutospacing="0" w:after="0" w:afterAutospacing="0"/>
                    <w:ind w:left="0" w:right="0"/>
                    <w:rPr>
                      <w:rFonts w:hint="default"/>
                      <w:b/>
                      <w:color w:val="auto"/>
                    </w:rPr>
                  </w:pPr>
                </w:p>
              </w:tc>
              <w:tc>
                <w:tcPr>
                  <w:tcW w:w="693" w:type="pct"/>
                  <w:tcBorders>
                    <w:tl2br w:val="nil"/>
                    <w:tr2bl w:val="nil"/>
                  </w:tcBorders>
                  <w:shd w:val="clear" w:color="auto" w:fill="auto"/>
                  <w:vAlign w:val="center"/>
                </w:tcPr>
                <w:p w14:paraId="301B8A08">
                  <w:pPr>
                    <w:pStyle w:val="28"/>
                    <w:keepNext w:val="0"/>
                    <w:keepLines w:val="0"/>
                    <w:suppressLineNumbers w:val="0"/>
                    <w:spacing w:before="0" w:beforeAutospacing="0" w:after="0" w:afterAutospacing="0"/>
                    <w:ind w:left="0" w:right="0"/>
                    <w:rPr>
                      <w:rFonts w:hint="default"/>
                      <w:b/>
                      <w:color w:val="auto"/>
                    </w:rPr>
                  </w:pPr>
                  <w:r>
                    <w:rPr>
                      <w:rFonts w:hint="default"/>
                      <w:b/>
                      <w:color w:val="auto"/>
                    </w:rPr>
                    <w:t>13048</w:t>
                  </w:r>
                </w:p>
              </w:tc>
              <w:tc>
                <w:tcPr>
                  <w:tcW w:w="620" w:type="pct"/>
                  <w:tcBorders>
                    <w:tl2br w:val="nil"/>
                    <w:tr2bl w:val="nil"/>
                  </w:tcBorders>
                  <w:shd w:val="clear" w:color="auto" w:fill="auto"/>
                  <w:vAlign w:val="center"/>
                </w:tcPr>
                <w:p w14:paraId="70039A5B">
                  <w:pPr>
                    <w:pStyle w:val="28"/>
                    <w:keepNext w:val="0"/>
                    <w:keepLines w:val="0"/>
                    <w:suppressLineNumbers w:val="0"/>
                    <w:spacing w:before="0" w:beforeAutospacing="0" w:after="0" w:afterAutospacing="0"/>
                    <w:ind w:left="0" w:right="0"/>
                    <w:rPr>
                      <w:rFonts w:hint="default"/>
                      <w:color w:val="auto"/>
                    </w:rPr>
                  </w:pPr>
                </w:p>
              </w:tc>
            </w:tr>
            <w:tr w14:paraId="59515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1081" w:type="pct"/>
                  <w:gridSpan w:val="2"/>
                  <w:tcBorders>
                    <w:tl2br w:val="nil"/>
                    <w:tr2bl w:val="nil"/>
                  </w:tcBorders>
                  <w:shd w:val="clear" w:color="auto" w:fill="auto"/>
                  <w:vAlign w:val="center"/>
                </w:tcPr>
                <w:p w14:paraId="1CE70231">
                  <w:pPr>
                    <w:pStyle w:val="28"/>
                    <w:keepNext w:val="0"/>
                    <w:keepLines w:val="0"/>
                    <w:suppressLineNumbers w:val="0"/>
                    <w:spacing w:before="0" w:beforeAutospacing="0" w:after="0" w:afterAutospacing="0"/>
                    <w:ind w:left="0" w:right="0"/>
                    <w:rPr>
                      <w:rFonts w:hint="default"/>
                      <w:color w:val="auto"/>
                    </w:rPr>
                  </w:pPr>
                  <w:r>
                    <w:rPr>
                      <w:rFonts w:hint="default"/>
                      <w:color w:val="auto"/>
                    </w:rPr>
                    <w:t>食堂</w:t>
                  </w:r>
                </w:p>
              </w:tc>
              <w:tc>
                <w:tcPr>
                  <w:tcW w:w="620" w:type="pct"/>
                  <w:tcBorders>
                    <w:tl2br w:val="nil"/>
                    <w:tr2bl w:val="nil"/>
                  </w:tcBorders>
                  <w:shd w:val="clear" w:color="auto" w:fill="auto"/>
                  <w:noWrap/>
                  <w:vAlign w:val="center"/>
                </w:tcPr>
                <w:p w14:paraId="590DA0C2">
                  <w:pPr>
                    <w:pStyle w:val="28"/>
                    <w:keepNext w:val="0"/>
                    <w:keepLines w:val="0"/>
                    <w:suppressLineNumbers w:val="0"/>
                    <w:spacing w:before="0" w:beforeAutospacing="0" w:after="0" w:afterAutospacing="0"/>
                    <w:ind w:left="0" w:right="0"/>
                    <w:rPr>
                      <w:rFonts w:hint="default"/>
                      <w:color w:val="auto"/>
                    </w:rPr>
                  </w:pPr>
                  <w:r>
                    <w:rPr>
                      <w:rFonts w:hint="default"/>
                      <w:color w:val="auto"/>
                    </w:rPr>
                    <w:t>集气罩</w:t>
                  </w:r>
                </w:p>
              </w:tc>
              <w:tc>
                <w:tcPr>
                  <w:tcW w:w="719" w:type="pct"/>
                  <w:tcBorders>
                    <w:tl2br w:val="nil"/>
                    <w:tr2bl w:val="nil"/>
                  </w:tcBorders>
                  <w:shd w:val="clear" w:color="auto" w:fill="auto"/>
                  <w:noWrap/>
                  <w:vAlign w:val="center"/>
                </w:tcPr>
                <w:p w14:paraId="5457AE66">
                  <w:pPr>
                    <w:pStyle w:val="28"/>
                    <w:keepNext w:val="0"/>
                    <w:keepLines w:val="0"/>
                    <w:suppressLineNumbers w:val="0"/>
                    <w:spacing w:before="0" w:beforeAutospacing="0" w:after="0" w:afterAutospacing="0"/>
                    <w:ind w:left="0" w:right="0"/>
                    <w:rPr>
                      <w:rFonts w:hint="default"/>
                      <w:color w:val="auto"/>
                    </w:rPr>
                  </w:pPr>
                  <w:r>
                    <w:rPr>
                      <w:rFonts w:hint="default"/>
                      <w:color w:val="auto"/>
                    </w:rPr>
                    <w:t>灶台上方</w:t>
                  </w:r>
                </w:p>
              </w:tc>
              <w:tc>
                <w:tcPr>
                  <w:tcW w:w="706" w:type="pct"/>
                  <w:tcBorders>
                    <w:tl2br w:val="nil"/>
                    <w:tr2bl w:val="nil"/>
                  </w:tcBorders>
                  <w:shd w:val="clear" w:color="auto" w:fill="auto"/>
                  <w:vAlign w:val="center"/>
                </w:tcPr>
                <w:p w14:paraId="7653695C">
                  <w:pPr>
                    <w:pStyle w:val="28"/>
                    <w:keepNext w:val="0"/>
                    <w:keepLines w:val="0"/>
                    <w:suppressLineNumbers w:val="0"/>
                    <w:spacing w:before="0" w:beforeAutospacing="0" w:after="0" w:afterAutospacing="0"/>
                    <w:ind w:left="0" w:right="0"/>
                    <w:rPr>
                      <w:rFonts w:hint="default"/>
                      <w:color w:val="auto"/>
                    </w:rPr>
                  </w:pPr>
                  <w:r>
                    <w:rPr>
                      <w:rFonts w:hint="default"/>
                      <w:color w:val="auto"/>
                    </w:rPr>
                    <w:t>0.5m×0.5m</w:t>
                  </w:r>
                </w:p>
              </w:tc>
              <w:tc>
                <w:tcPr>
                  <w:tcW w:w="561" w:type="pct"/>
                  <w:tcBorders>
                    <w:tl2br w:val="nil"/>
                    <w:tr2bl w:val="nil"/>
                  </w:tcBorders>
                  <w:shd w:val="clear" w:color="auto" w:fill="auto"/>
                  <w:noWrap/>
                  <w:vAlign w:val="center"/>
                </w:tcPr>
                <w:p w14:paraId="32A7DB92">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pct"/>
                  <w:tcBorders>
                    <w:tl2br w:val="nil"/>
                    <w:tr2bl w:val="nil"/>
                  </w:tcBorders>
                  <w:shd w:val="clear" w:color="auto" w:fill="auto"/>
                  <w:vAlign w:val="center"/>
                </w:tcPr>
                <w:p w14:paraId="5895F5AD">
                  <w:pPr>
                    <w:pStyle w:val="28"/>
                    <w:keepNext w:val="0"/>
                    <w:keepLines w:val="0"/>
                    <w:suppressLineNumbers w:val="0"/>
                    <w:spacing w:before="0" w:beforeAutospacing="0" w:after="0" w:afterAutospacing="0"/>
                    <w:ind w:left="0" w:right="0"/>
                    <w:rPr>
                      <w:rFonts w:hint="default"/>
                      <w:color w:val="auto"/>
                    </w:rPr>
                  </w:pPr>
                  <w:r>
                    <w:rPr>
                      <w:rFonts w:hint="default"/>
                      <w:color w:val="auto"/>
                    </w:rPr>
                    <w:t>2160</w:t>
                  </w:r>
                </w:p>
              </w:tc>
              <w:tc>
                <w:tcPr>
                  <w:tcW w:w="620" w:type="pct"/>
                  <w:tcBorders>
                    <w:tl2br w:val="nil"/>
                    <w:tr2bl w:val="nil"/>
                  </w:tcBorders>
                  <w:shd w:val="clear" w:color="auto" w:fill="auto"/>
                  <w:noWrap/>
                  <w:vAlign w:val="center"/>
                </w:tcPr>
                <w:p w14:paraId="60DCBA8A">
                  <w:pPr>
                    <w:pStyle w:val="28"/>
                    <w:keepNext w:val="0"/>
                    <w:keepLines w:val="0"/>
                    <w:suppressLineNumbers w:val="0"/>
                    <w:spacing w:before="0" w:beforeAutospacing="0" w:after="0" w:afterAutospacing="0"/>
                    <w:ind w:left="0" w:right="0"/>
                    <w:rPr>
                      <w:rFonts w:hint="default"/>
                      <w:color w:val="auto"/>
                    </w:rPr>
                  </w:pPr>
                  <w:r>
                    <w:rPr>
                      <w:rFonts w:hint="default"/>
                      <w:color w:val="auto"/>
                    </w:rPr>
                    <w:t>2500</w:t>
                  </w:r>
                </w:p>
              </w:tc>
            </w:tr>
          </w:tbl>
          <w:p w14:paraId="510912AE">
            <w:pPr>
              <w:keepNext w:val="0"/>
              <w:keepLines w:val="0"/>
              <w:suppressLineNumbers w:val="0"/>
              <w:spacing w:before="0" w:beforeAutospacing="0" w:after="0" w:afterAutospacing="0"/>
              <w:ind w:left="0" w:right="0" w:firstLine="482"/>
              <w:rPr>
                <w:rFonts w:hint="default" w:cs="Times New Roman"/>
                <w:b/>
                <w:bCs/>
                <w:color w:val="auto"/>
              </w:rPr>
            </w:pPr>
          </w:p>
          <w:p w14:paraId="73C6791E">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（2）治理措施及可行性分析</w:t>
            </w:r>
          </w:p>
          <w:p w14:paraId="43E1DA32">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①</w:t>
            </w:r>
            <w:r>
              <w:rPr>
                <w:rFonts w:hint="default" w:cs="Times New Roman"/>
                <w:b/>
                <w:bCs/>
                <w:color w:val="auto"/>
              </w:rPr>
              <w:t>H</w:t>
            </w:r>
            <w:r>
              <w:rPr>
                <w:rFonts w:hint="default" w:cs="Times New Roman"/>
                <w:b/>
                <w:bCs/>
                <w:color w:val="auto"/>
                <w:vertAlign w:val="subscript"/>
              </w:rPr>
              <w:t>2</w:t>
            </w:r>
            <w:r>
              <w:rPr>
                <w:rFonts w:hint="default" w:cs="Times New Roman"/>
                <w:b/>
                <w:bCs/>
                <w:color w:val="auto"/>
              </w:rPr>
              <w:t>S废气（G</w:t>
            </w:r>
            <w:r>
              <w:rPr>
                <w:rFonts w:hint="default" w:cs="Times New Roman"/>
                <w:b/>
                <w:bCs/>
                <w:color w:val="auto"/>
                <w:vertAlign w:val="subscript"/>
              </w:rPr>
              <w:t>1-1</w:t>
            </w:r>
            <w:r>
              <w:rPr>
                <w:rFonts w:hint="default" w:cs="Times New Roman"/>
                <w:b/>
                <w:bCs/>
                <w:color w:val="auto"/>
              </w:rPr>
              <w:t>、G</w:t>
            </w:r>
            <w:r>
              <w:rPr>
                <w:rFonts w:hint="default" w:cs="Times New Roman"/>
                <w:b/>
                <w:bCs/>
                <w:color w:val="auto"/>
                <w:vertAlign w:val="subscript"/>
              </w:rPr>
              <w:t>1-2、</w:t>
            </w:r>
            <w:r>
              <w:rPr>
                <w:rFonts w:hint="default" w:cs="Times New Roman"/>
                <w:b/>
                <w:bCs/>
                <w:color w:val="auto"/>
              </w:rPr>
              <w:t>G</w:t>
            </w:r>
            <w:r>
              <w:rPr>
                <w:rFonts w:hint="default" w:cs="Times New Roman"/>
                <w:b/>
                <w:bCs/>
                <w:color w:val="auto"/>
                <w:vertAlign w:val="subscript"/>
              </w:rPr>
              <w:t>1-3</w:t>
            </w:r>
            <w:r>
              <w:rPr>
                <w:rFonts w:hint="default" w:cs="Times New Roman"/>
                <w:b/>
                <w:bCs/>
                <w:color w:val="auto"/>
              </w:rPr>
              <w:t>、G</w:t>
            </w:r>
            <w:r>
              <w:rPr>
                <w:rFonts w:hint="default" w:cs="Times New Roman"/>
                <w:b/>
                <w:bCs/>
                <w:color w:val="auto"/>
                <w:vertAlign w:val="subscript"/>
              </w:rPr>
              <w:t>1-4</w:t>
            </w:r>
            <w:r>
              <w:rPr>
                <w:rFonts w:hint="default" w:cs="Times New Roman"/>
                <w:b/>
                <w:bCs/>
                <w:color w:val="auto"/>
              </w:rPr>
              <w:t>、G</w:t>
            </w:r>
            <w:r>
              <w:rPr>
                <w:rFonts w:hint="default" w:cs="Times New Roman"/>
                <w:b/>
                <w:bCs/>
                <w:color w:val="auto"/>
                <w:vertAlign w:val="subscript"/>
              </w:rPr>
              <w:t>1-5</w:t>
            </w:r>
            <w:r>
              <w:rPr>
                <w:rFonts w:hint="default" w:cs="Times New Roman"/>
                <w:b/>
                <w:bCs/>
                <w:color w:val="auto"/>
              </w:rPr>
              <w:t>）和造粒、刮片粉尘（G</w:t>
            </w:r>
            <w:r>
              <w:rPr>
                <w:rFonts w:hint="default" w:cs="Times New Roman"/>
                <w:b/>
                <w:bCs/>
                <w:color w:val="auto"/>
                <w:vertAlign w:val="subscript"/>
              </w:rPr>
              <w:t>1-3</w:t>
            </w:r>
            <w:r>
              <w:rPr>
                <w:rFonts w:hint="default" w:cs="Times New Roman"/>
                <w:b/>
                <w:bCs/>
                <w:color w:val="auto"/>
              </w:rPr>
              <w:t>、G</w:t>
            </w:r>
            <w:r>
              <w:rPr>
                <w:rFonts w:hint="default" w:cs="Times New Roman"/>
                <w:b/>
                <w:bCs/>
                <w:color w:val="auto"/>
                <w:vertAlign w:val="subscript"/>
              </w:rPr>
              <w:t>1-4、</w:t>
            </w:r>
            <w:r>
              <w:rPr>
                <w:rFonts w:hint="default" w:cs="Times New Roman"/>
                <w:b/>
                <w:bCs/>
                <w:color w:val="auto"/>
              </w:rPr>
              <w:t>G</w:t>
            </w:r>
            <w:r>
              <w:rPr>
                <w:rFonts w:hint="default" w:cs="Times New Roman"/>
                <w:b/>
                <w:bCs/>
                <w:color w:val="auto"/>
                <w:vertAlign w:val="subscript"/>
              </w:rPr>
              <w:t>1-5</w:t>
            </w:r>
            <w:r>
              <w:rPr>
                <w:rFonts w:hint="default" w:cs="Times New Roman"/>
                <w:b/>
                <w:bCs/>
                <w:color w:val="auto"/>
              </w:rPr>
              <w:t>）</w:t>
            </w:r>
          </w:p>
          <w:p w14:paraId="5237CE4D">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拟建项目液硫池沉淀、提纯、滚筒造粒、刮片废气经负压收集，湿法造粒经集气罩收集至车间废气治理设施，引入</w:t>
            </w:r>
            <w:r>
              <w:rPr>
                <w:rFonts w:hint="default" w:cs="Times New Roman"/>
                <w:color w:val="auto"/>
              </w:rPr>
              <w:t>1套</w:t>
            </w:r>
            <w:bookmarkStart w:id="106" w:name="OLE_LINK136"/>
            <w:bookmarkStart w:id="107" w:name="OLE_LINK137"/>
            <w:r>
              <w:rPr>
                <w:rFonts w:hint="default" w:cs="Times New Roman"/>
                <w:color w:val="auto"/>
              </w:rPr>
              <w:t>“旋风水膜除尘”处理后经25m高排气筒（DA001）排放</w:t>
            </w:r>
            <w:bookmarkEnd w:id="106"/>
            <w:bookmarkEnd w:id="107"/>
            <w:r>
              <w:rPr>
                <w:rFonts w:hint="default" w:cs="Times New Roman"/>
                <w:color w:val="auto"/>
              </w:rPr>
              <w:t>。其中粉尘去除效率为90%。</w:t>
            </w:r>
          </w:p>
          <w:p w14:paraId="42F8EEA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bCs/>
                <w:color w:val="auto"/>
              </w:rPr>
              <w:t>根据《广州赫尔普化工有限公司硫磺扩能改造项目环境影响报告表》（2024）评价分析，针对H</w:t>
            </w:r>
            <w:r>
              <w:rPr>
                <w:rFonts w:hint="default" w:cs="Times New Roman"/>
                <w:bCs/>
                <w:color w:val="auto"/>
                <w:vertAlign w:val="subscript"/>
              </w:rPr>
              <w:t>2</w:t>
            </w:r>
            <w:r>
              <w:rPr>
                <w:rFonts w:hint="default" w:cs="Times New Roman"/>
                <w:bCs/>
                <w:color w:val="auto"/>
              </w:rPr>
              <w:t>S的治理措施主要为碱液吸收。根据《碱液喷淋在污水处理废气治理中的应用与影响》（张国臣，庄涛，刘善军，魏新全，迟智香），使用碱液吸收法（氢氧化钠溶液），硫化氢的去除效率可达66%以上。但考虑本项目H</w:t>
            </w:r>
            <w:r>
              <w:rPr>
                <w:rFonts w:hint="default" w:cs="Times New Roman"/>
                <w:bCs/>
                <w:color w:val="auto"/>
                <w:vertAlign w:val="subscript"/>
              </w:rPr>
              <w:t>2</w:t>
            </w:r>
            <w:r>
              <w:rPr>
                <w:rFonts w:hint="default" w:cs="Times New Roman"/>
                <w:bCs/>
                <w:color w:val="auto"/>
              </w:rPr>
              <w:t>S产生浓度较低，考虑H</w:t>
            </w:r>
            <w:r>
              <w:rPr>
                <w:rFonts w:hint="default" w:cs="Times New Roman"/>
                <w:bCs/>
                <w:color w:val="auto"/>
                <w:vertAlign w:val="subscript"/>
              </w:rPr>
              <w:t>2</w:t>
            </w:r>
            <w:r>
              <w:rPr>
                <w:rFonts w:hint="default" w:cs="Times New Roman"/>
                <w:bCs/>
                <w:color w:val="auto"/>
              </w:rPr>
              <w:t>S的去除效率为60%</w:t>
            </w:r>
            <w:r>
              <w:rPr>
                <w:rFonts w:hint="default" w:cs="Times New Roman"/>
                <w:color w:val="auto"/>
              </w:rPr>
              <w:t>。</w:t>
            </w:r>
          </w:p>
          <w:p w14:paraId="63F72EF9">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②</w:t>
            </w:r>
            <w:r>
              <w:rPr>
                <w:rFonts w:hint="default" w:cs="Times New Roman"/>
                <w:b/>
                <w:bCs/>
                <w:color w:val="auto"/>
              </w:rPr>
              <w:t>包装粉尘（G</w:t>
            </w:r>
            <w:r>
              <w:rPr>
                <w:rFonts w:hint="default" w:cs="Times New Roman"/>
                <w:b/>
                <w:bCs/>
                <w:color w:val="auto"/>
                <w:vertAlign w:val="subscript"/>
              </w:rPr>
              <w:t>1-6</w:t>
            </w:r>
            <w:r>
              <w:rPr>
                <w:rFonts w:hint="default" w:cs="Times New Roman"/>
                <w:b/>
                <w:bCs/>
                <w:color w:val="auto"/>
              </w:rPr>
              <w:t>、G</w:t>
            </w:r>
            <w:r>
              <w:rPr>
                <w:rFonts w:hint="default" w:cs="Times New Roman"/>
                <w:b/>
                <w:bCs/>
                <w:color w:val="auto"/>
                <w:vertAlign w:val="subscript"/>
              </w:rPr>
              <w:t>1-7</w:t>
            </w:r>
            <w:r>
              <w:rPr>
                <w:rFonts w:hint="default" w:cs="Times New Roman"/>
                <w:b/>
                <w:bCs/>
                <w:color w:val="auto"/>
              </w:rPr>
              <w:t>）</w:t>
            </w:r>
          </w:p>
          <w:p w14:paraId="2B16A73A">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color w:val="auto"/>
              </w:rPr>
              <w:t>由于硫磺粉尘粒径在3mm-2mm之间，能够快速自然沉降，因此，加强管理和车间通风，则包装粉尘无组织排放量约0.25t/a。</w:t>
            </w:r>
          </w:p>
          <w:p w14:paraId="60EACCA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w:t>
            </w:r>
            <w:bookmarkStart w:id="108" w:name="OLE_LINK138"/>
            <w:bookmarkStart w:id="109" w:name="OLE_LINK139"/>
            <w:r>
              <w:rPr>
                <w:rFonts w:hint="default" w:cs="Times New Roman"/>
                <w:color w:val="auto"/>
              </w:rPr>
              <w:t>《排污许可证申请与核发技术规范 无机化学工业（HJ1035—2019）》表A.1废气治理可行技术表</w:t>
            </w:r>
            <w:bookmarkEnd w:id="108"/>
            <w:bookmarkEnd w:id="109"/>
            <w:r>
              <w:rPr>
                <w:rFonts w:hint="default" w:cs="Times New Roman"/>
                <w:color w:val="auto"/>
              </w:rPr>
              <w:t>，本项目生产工艺废气处理措施均为可行技术。</w:t>
            </w:r>
          </w:p>
          <w:p w14:paraId="34B252FF">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③</w:t>
            </w:r>
            <w:r>
              <w:rPr>
                <w:rFonts w:hint="default" w:cs="Times New Roman"/>
                <w:b/>
                <w:bCs/>
                <w:color w:val="auto"/>
              </w:rPr>
              <w:t>柴油撬装站加油废气</w:t>
            </w:r>
          </w:p>
          <w:p w14:paraId="4E144A04">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油罐柴油设置卸油油气回收系统，且大小呼吸损耗产生的油气通过1根4.8m高通气管引至撬装加油装置顶部排放，通气立管口设置阻火呼吸阀。</w:t>
            </w:r>
          </w:p>
          <w:p w14:paraId="62D3980C">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④</w:t>
            </w:r>
            <w:r>
              <w:rPr>
                <w:rFonts w:hint="default" w:cs="Times New Roman"/>
                <w:b/>
                <w:bCs/>
                <w:color w:val="auto"/>
              </w:rPr>
              <w:t>食堂油烟</w:t>
            </w:r>
          </w:p>
          <w:p w14:paraId="5CAAD65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食堂油烟经集气罩收集后由油烟净化器处理，通过专用烟道屋顶排放，油烟净化器处理效率约75%，年工作时数1336h，油烟排放浓度为0.4mg/m</w:t>
            </w:r>
            <w:r>
              <w:rPr>
                <w:rFonts w:hint="default" w:cs="Times New Roman"/>
                <w:color w:val="auto"/>
                <w:vertAlign w:val="superscript"/>
              </w:rPr>
              <w:t>3</w:t>
            </w:r>
            <w:r>
              <w:rPr>
                <w:rFonts w:hint="default" w:cs="Times New Roman"/>
                <w:color w:val="auto"/>
              </w:rPr>
              <w:t>。</w:t>
            </w:r>
          </w:p>
          <w:p w14:paraId="0B961507">
            <w:pPr>
              <w:keepNext w:val="0"/>
              <w:keepLines w:val="0"/>
              <w:suppressLineNumbers w:val="0"/>
              <w:adjustRightInd w:val="0"/>
              <w:snapToGrid w:val="0"/>
              <w:spacing w:before="0" w:beforeAutospacing="0" w:after="0" w:afterAutospacing="0"/>
              <w:ind w:left="0" w:right="0" w:firstLine="480"/>
              <w:rPr>
                <w:rFonts w:hint="default" w:cs="Times New Roman"/>
                <w:color w:val="auto"/>
              </w:rPr>
            </w:pPr>
          </w:p>
          <w:p w14:paraId="7A82C9A1">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（3）排放口情况</w:t>
            </w:r>
          </w:p>
          <w:p w14:paraId="68A444A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项目排放口基本情况如下：</w:t>
            </w:r>
          </w:p>
          <w:p w14:paraId="708446D8">
            <w:pPr>
              <w:pStyle w:val="33"/>
              <w:keepNext w:val="0"/>
              <w:keepLines w:val="0"/>
              <w:suppressLineNumbers w:val="0"/>
              <w:spacing w:before="0" w:beforeAutospacing="0" w:after="0" w:afterAutospacing="0"/>
              <w:ind w:left="0" w:right="0"/>
              <w:rPr>
                <w:rFonts w:hint="default" w:cs="Times New Roman"/>
              </w:rPr>
            </w:pPr>
            <w:r>
              <w:rPr>
                <w:rFonts w:hint="default" w:cs="Times New Roman"/>
              </w:rPr>
              <w:t>大气排放口基本情况表</w:t>
            </w:r>
          </w:p>
          <w:tbl>
            <w:tblPr>
              <w:tblStyle w:val="1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713"/>
              <w:gridCol w:w="981"/>
              <w:gridCol w:w="988"/>
              <w:gridCol w:w="891"/>
              <w:gridCol w:w="707"/>
              <w:gridCol w:w="894"/>
              <w:gridCol w:w="761"/>
              <w:gridCol w:w="825"/>
            </w:tblGrid>
            <w:tr w14:paraId="56B03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39" w:type="pct"/>
                  <w:vMerge w:val="restart"/>
                  <w:tcBorders>
                    <w:tl2br w:val="nil"/>
                    <w:tr2bl w:val="nil"/>
                  </w:tcBorders>
                  <w:shd w:val="clear" w:color="auto" w:fill="auto"/>
                  <w:vAlign w:val="center"/>
                </w:tcPr>
                <w:p w14:paraId="69C71491">
                  <w:pPr>
                    <w:pStyle w:val="26"/>
                    <w:keepNext w:val="0"/>
                    <w:keepLines w:val="0"/>
                    <w:suppressLineNumbers w:val="0"/>
                    <w:spacing w:before="0" w:beforeAutospacing="0" w:after="0" w:afterAutospacing="0"/>
                    <w:ind w:left="0" w:right="0"/>
                    <w:rPr>
                      <w:rFonts w:hint="default"/>
                    </w:rPr>
                  </w:pPr>
                  <w:r>
                    <w:rPr>
                      <w:rFonts w:hint="default"/>
                    </w:rPr>
                    <w:t>名称</w:t>
                  </w:r>
                </w:p>
              </w:tc>
              <w:tc>
                <w:tcPr>
                  <w:tcW w:w="471" w:type="pct"/>
                  <w:vMerge w:val="restart"/>
                  <w:tcBorders>
                    <w:tl2br w:val="nil"/>
                    <w:tr2bl w:val="nil"/>
                  </w:tcBorders>
                  <w:shd w:val="clear" w:color="auto" w:fill="auto"/>
                  <w:vAlign w:val="center"/>
                </w:tcPr>
                <w:p w14:paraId="60DCE026">
                  <w:pPr>
                    <w:pStyle w:val="26"/>
                    <w:keepNext w:val="0"/>
                    <w:keepLines w:val="0"/>
                    <w:suppressLineNumbers w:val="0"/>
                    <w:spacing w:before="0" w:beforeAutospacing="0" w:after="0" w:afterAutospacing="0"/>
                    <w:ind w:left="0" w:right="0"/>
                    <w:rPr>
                      <w:rFonts w:hint="default"/>
                    </w:rPr>
                  </w:pPr>
                  <w:r>
                    <w:rPr>
                      <w:rFonts w:hint="default"/>
                    </w:rPr>
                    <w:t>编号</w:t>
                  </w:r>
                </w:p>
              </w:tc>
              <w:tc>
                <w:tcPr>
                  <w:tcW w:w="648" w:type="pct"/>
                  <w:vMerge w:val="restart"/>
                  <w:tcBorders>
                    <w:tl2br w:val="nil"/>
                    <w:tr2bl w:val="nil"/>
                  </w:tcBorders>
                  <w:shd w:val="clear" w:color="auto" w:fill="auto"/>
                  <w:vAlign w:val="center"/>
                </w:tcPr>
                <w:p w14:paraId="787C3B28">
                  <w:pPr>
                    <w:pStyle w:val="26"/>
                    <w:keepNext w:val="0"/>
                    <w:keepLines w:val="0"/>
                    <w:suppressLineNumbers w:val="0"/>
                    <w:spacing w:before="0" w:beforeAutospacing="0" w:after="0" w:afterAutospacing="0"/>
                    <w:ind w:left="0" w:right="0"/>
                    <w:rPr>
                      <w:rFonts w:hint="default"/>
                    </w:rPr>
                  </w:pPr>
                  <w:r>
                    <w:rPr>
                      <w:rFonts w:hint="default"/>
                    </w:rPr>
                    <w:t>污染物种类</w:t>
                  </w:r>
                </w:p>
              </w:tc>
              <w:tc>
                <w:tcPr>
                  <w:tcW w:w="1236" w:type="pct"/>
                  <w:gridSpan w:val="2"/>
                  <w:tcBorders>
                    <w:tl2br w:val="nil"/>
                    <w:tr2bl w:val="nil"/>
                  </w:tcBorders>
                  <w:shd w:val="clear" w:color="auto" w:fill="auto"/>
                  <w:vAlign w:val="center"/>
                </w:tcPr>
                <w:p w14:paraId="08ABDAFB">
                  <w:pPr>
                    <w:pStyle w:val="26"/>
                    <w:keepNext w:val="0"/>
                    <w:keepLines w:val="0"/>
                    <w:suppressLineNumbers w:val="0"/>
                    <w:spacing w:before="0" w:beforeAutospacing="0" w:after="0" w:afterAutospacing="0"/>
                    <w:ind w:left="0" w:right="0"/>
                    <w:rPr>
                      <w:rFonts w:hint="default"/>
                    </w:rPr>
                  </w:pPr>
                  <w:r>
                    <w:rPr>
                      <w:rFonts w:hint="default"/>
                    </w:rPr>
                    <w:t>地理坐标</w:t>
                  </w:r>
                </w:p>
              </w:tc>
              <w:tc>
                <w:tcPr>
                  <w:tcW w:w="467" w:type="pct"/>
                  <w:vMerge w:val="restart"/>
                  <w:tcBorders>
                    <w:tl2br w:val="nil"/>
                    <w:tr2bl w:val="nil"/>
                  </w:tcBorders>
                  <w:shd w:val="clear" w:color="auto" w:fill="auto"/>
                  <w:vAlign w:val="center"/>
                </w:tcPr>
                <w:p w14:paraId="29D8070B">
                  <w:pPr>
                    <w:pStyle w:val="26"/>
                    <w:keepNext w:val="0"/>
                    <w:keepLines w:val="0"/>
                    <w:suppressLineNumbers w:val="0"/>
                    <w:spacing w:before="0" w:beforeAutospacing="0" w:after="0" w:afterAutospacing="0"/>
                    <w:ind w:left="0" w:right="0"/>
                    <w:rPr>
                      <w:rFonts w:hint="default"/>
                    </w:rPr>
                  </w:pPr>
                  <w:r>
                    <w:rPr>
                      <w:rFonts w:hint="default"/>
                    </w:rPr>
                    <w:t>排气筒高度m</w:t>
                  </w:r>
                </w:p>
              </w:tc>
              <w:tc>
                <w:tcPr>
                  <w:tcW w:w="591" w:type="pct"/>
                  <w:vMerge w:val="restart"/>
                  <w:tcBorders>
                    <w:tl2br w:val="nil"/>
                    <w:tr2bl w:val="nil"/>
                  </w:tcBorders>
                  <w:shd w:val="clear" w:color="auto" w:fill="auto"/>
                  <w:vAlign w:val="center"/>
                </w:tcPr>
                <w:p w14:paraId="59D537CA">
                  <w:pPr>
                    <w:pStyle w:val="26"/>
                    <w:keepNext w:val="0"/>
                    <w:keepLines w:val="0"/>
                    <w:suppressLineNumbers w:val="0"/>
                    <w:spacing w:before="0" w:beforeAutospacing="0" w:after="0" w:afterAutospacing="0"/>
                    <w:ind w:left="0" w:right="0"/>
                    <w:rPr>
                      <w:rFonts w:hint="default"/>
                    </w:rPr>
                  </w:pPr>
                  <w:r>
                    <w:rPr>
                      <w:rFonts w:hint="default"/>
                    </w:rPr>
                    <w:t>排气筒内径/m</w:t>
                  </w:r>
                </w:p>
              </w:tc>
              <w:tc>
                <w:tcPr>
                  <w:tcW w:w="503" w:type="pct"/>
                  <w:vMerge w:val="restart"/>
                  <w:tcBorders>
                    <w:tl2br w:val="nil"/>
                    <w:tr2bl w:val="nil"/>
                  </w:tcBorders>
                  <w:shd w:val="clear" w:color="auto" w:fill="auto"/>
                  <w:vAlign w:val="center"/>
                </w:tcPr>
                <w:p w14:paraId="75226053">
                  <w:pPr>
                    <w:pStyle w:val="26"/>
                    <w:keepNext w:val="0"/>
                    <w:keepLines w:val="0"/>
                    <w:suppressLineNumbers w:val="0"/>
                    <w:spacing w:before="0" w:beforeAutospacing="0" w:after="0" w:afterAutospacing="0"/>
                    <w:ind w:left="0" w:right="0"/>
                    <w:rPr>
                      <w:rFonts w:hint="default"/>
                    </w:rPr>
                  </w:pPr>
                  <w:r>
                    <w:rPr>
                      <w:rFonts w:hint="default"/>
                    </w:rPr>
                    <w:t>排气温度/℃</w:t>
                  </w:r>
                </w:p>
              </w:tc>
              <w:tc>
                <w:tcPr>
                  <w:tcW w:w="545" w:type="pct"/>
                  <w:vMerge w:val="restart"/>
                  <w:tcBorders>
                    <w:tl2br w:val="nil"/>
                    <w:tr2bl w:val="nil"/>
                  </w:tcBorders>
                  <w:shd w:val="clear" w:color="auto" w:fill="auto"/>
                  <w:vAlign w:val="center"/>
                </w:tcPr>
                <w:p w14:paraId="776AF9A6">
                  <w:pPr>
                    <w:pStyle w:val="26"/>
                    <w:keepNext w:val="0"/>
                    <w:keepLines w:val="0"/>
                    <w:suppressLineNumbers w:val="0"/>
                    <w:spacing w:before="0" w:beforeAutospacing="0" w:after="0" w:afterAutospacing="0"/>
                    <w:ind w:left="0" w:right="0"/>
                    <w:rPr>
                      <w:rFonts w:hint="default"/>
                    </w:rPr>
                  </w:pPr>
                  <w:r>
                    <w:rPr>
                      <w:rFonts w:hint="default"/>
                    </w:rPr>
                    <w:t>类型</w:t>
                  </w:r>
                </w:p>
              </w:tc>
            </w:tr>
            <w:tr w14:paraId="5ADF90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39" w:type="pct"/>
                  <w:vMerge w:val="continue"/>
                  <w:tcBorders>
                    <w:tl2br w:val="nil"/>
                    <w:tr2bl w:val="nil"/>
                  </w:tcBorders>
                  <w:shd w:val="clear" w:color="auto" w:fill="auto"/>
                  <w:vAlign w:val="center"/>
                </w:tcPr>
                <w:p w14:paraId="569D7DE9">
                  <w:pPr>
                    <w:pStyle w:val="26"/>
                    <w:keepNext w:val="0"/>
                    <w:keepLines w:val="0"/>
                    <w:suppressLineNumbers w:val="0"/>
                    <w:spacing w:before="0" w:beforeAutospacing="0" w:after="0" w:afterAutospacing="0"/>
                    <w:ind w:left="0" w:right="0"/>
                    <w:rPr>
                      <w:rFonts w:hint="default"/>
                    </w:rPr>
                  </w:pPr>
                </w:p>
              </w:tc>
              <w:tc>
                <w:tcPr>
                  <w:tcW w:w="471" w:type="pct"/>
                  <w:vMerge w:val="continue"/>
                  <w:tcBorders>
                    <w:tl2br w:val="nil"/>
                    <w:tr2bl w:val="nil"/>
                  </w:tcBorders>
                  <w:shd w:val="clear" w:color="auto" w:fill="auto"/>
                  <w:vAlign w:val="center"/>
                </w:tcPr>
                <w:p w14:paraId="4AA84025">
                  <w:pPr>
                    <w:pStyle w:val="26"/>
                    <w:keepNext w:val="0"/>
                    <w:keepLines w:val="0"/>
                    <w:suppressLineNumbers w:val="0"/>
                    <w:spacing w:before="0" w:beforeAutospacing="0" w:after="0" w:afterAutospacing="0"/>
                    <w:ind w:left="0" w:right="0"/>
                    <w:rPr>
                      <w:rFonts w:hint="default"/>
                    </w:rPr>
                  </w:pPr>
                </w:p>
              </w:tc>
              <w:tc>
                <w:tcPr>
                  <w:tcW w:w="648" w:type="pct"/>
                  <w:vMerge w:val="continue"/>
                  <w:tcBorders>
                    <w:tl2br w:val="nil"/>
                    <w:tr2bl w:val="nil"/>
                  </w:tcBorders>
                  <w:shd w:val="clear" w:color="auto" w:fill="auto"/>
                  <w:vAlign w:val="center"/>
                </w:tcPr>
                <w:p w14:paraId="3D0C1543">
                  <w:pPr>
                    <w:pStyle w:val="26"/>
                    <w:keepNext w:val="0"/>
                    <w:keepLines w:val="0"/>
                    <w:suppressLineNumbers w:val="0"/>
                    <w:spacing w:before="0" w:beforeAutospacing="0" w:after="0" w:afterAutospacing="0"/>
                    <w:ind w:left="0" w:right="0"/>
                    <w:rPr>
                      <w:rFonts w:hint="default"/>
                    </w:rPr>
                  </w:pPr>
                </w:p>
              </w:tc>
              <w:tc>
                <w:tcPr>
                  <w:tcW w:w="653" w:type="pct"/>
                  <w:tcBorders>
                    <w:tl2br w:val="nil"/>
                    <w:tr2bl w:val="nil"/>
                  </w:tcBorders>
                  <w:shd w:val="clear" w:color="auto" w:fill="auto"/>
                  <w:vAlign w:val="center"/>
                </w:tcPr>
                <w:p w14:paraId="7F814FFA">
                  <w:pPr>
                    <w:pStyle w:val="26"/>
                    <w:keepNext w:val="0"/>
                    <w:keepLines w:val="0"/>
                    <w:suppressLineNumbers w:val="0"/>
                    <w:spacing w:before="0" w:beforeAutospacing="0" w:after="0" w:afterAutospacing="0"/>
                    <w:ind w:left="0" w:right="0"/>
                    <w:rPr>
                      <w:rFonts w:hint="default"/>
                    </w:rPr>
                  </w:pPr>
                  <w:r>
                    <w:rPr>
                      <w:rFonts w:hint="default"/>
                    </w:rPr>
                    <w:t>经度/°</w:t>
                  </w:r>
                </w:p>
              </w:tc>
              <w:tc>
                <w:tcPr>
                  <w:tcW w:w="583" w:type="pct"/>
                  <w:tcBorders>
                    <w:tl2br w:val="nil"/>
                    <w:tr2bl w:val="nil"/>
                  </w:tcBorders>
                  <w:shd w:val="clear" w:color="auto" w:fill="auto"/>
                  <w:vAlign w:val="center"/>
                </w:tcPr>
                <w:p w14:paraId="34A7EF89">
                  <w:pPr>
                    <w:pStyle w:val="26"/>
                    <w:keepNext w:val="0"/>
                    <w:keepLines w:val="0"/>
                    <w:suppressLineNumbers w:val="0"/>
                    <w:spacing w:before="0" w:beforeAutospacing="0" w:after="0" w:afterAutospacing="0"/>
                    <w:ind w:left="0" w:right="0"/>
                    <w:rPr>
                      <w:rFonts w:hint="default"/>
                    </w:rPr>
                  </w:pPr>
                  <w:r>
                    <w:rPr>
                      <w:rFonts w:hint="default"/>
                    </w:rPr>
                    <w:t>纬度/°</w:t>
                  </w:r>
                </w:p>
              </w:tc>
              <w:tc>
                <w:tcPr>
                  <w:tcW w:w="467" w:type="pct"/>
                  <w:vMerge w:val="continue"/>
                  <w:tcBorders>
                    <w:tl2br w:val="nil"/>
                    <w:tr2bl w:val="nil"/>
                  </w:tcBorders>
                  <w:shd w:val="clear" w:color="auto" w:fill="auto"/>
                  <w:vAlign w:val="center"/>
                </w:tcPr>
                <w:p w14:paraId="11C43A11">
                  <w:pPr>
                    <w:pStyle w:val="26"/>
                    <w:keepNext w:val="0"/>
                    <w:keepLines w:val="0"/>
                    <w:suppressLineNumbers w:val="0"/>
                    <w:spacing w:before="0" w:beforeAutospacing="0" w:after="0" w:afterAutospacing="0"/>
                    <w:ind w:left="0" w:right="0"/>
                    <w:rPr>
                      <w:rFonts w:hint="default"/>
                    </w:rPr>
                  </w:pPr>
                </w:p>
              </w:tc>
              <w:tc>
                <w:tcPr>
                  <w:tcW w:w="591" w:type="pct"/>
                  <w:vMerge w:val="continue"/>
                  <w:tcBorders>
                    <w:tl2br w:val="nil"/>
                    <w:tr2bl w:val="nil"/>
                  </w:tcBorders>
                  <w:shd w:val="clear" w:color="auto" w:fill="auto"/>
                  <w:vAlign w:val="center"/>
                </w:tcPr>
                <w:p w14:paraId="18227BF2">
                  <w:pPr>
                    <w:pStyle w:val="26"/>
                    <w:keepNext w:val="0"/>
                    <w:keepLines w:val="0"/>
                    <w:suppressLineNumbers w:val="0"/>
                    <w:spacing w:before="0" w:beforeAutospacing="0" w:after="0" w:afterAutospacing="0"/>
                    <w:ind w:left="0" w:right="0"/>
                    <w:rPr>
                      <w:rFonts w:hint="default"/>
                    </w:rPr>
                  </w:pPr>
                </w:p>
              </w:tc>
              <w:tc>
                <w:tcPr>
                  <w:tcW w:w="503" w:type="pct"/>
                  <w:vMerge w:val="continue"/>
                  <w:tcBorders>
                    <w:tl2br w:val="nil"/>
                    <w:tr2bl w:val="nil"/>
                  </w:tcBorders>
                  <w:shd w:val="clear" w:color="auto" w:fill="auto"/>
                  <w:vAlign w:val="center"/>
                </w:tcPr>
                <w:p w14:paraId="39DC15E7">
                  <w:pPr>
                    <w:pStyle w:val="26"/>
                    <w:keepNext w:val="0"/>
                    <w:keepLines w:val="0"/>
                    <w:suppressLineNumbers w:val="0"/>
                    <w:spacing w:before="0" w:beforeAutospacing="0" w:after="0" w:afterAutospacing="0"/>
                    <w:ind w:left="0" w:right="0"/>
                    <w:rPr>
                      <w:rFonts w:hint="default"/>
                    </w:rPr>
                  </w:pPr>
                </w:p>
              </w:tc>
              <w:tc>
                <w:tcPr>
                  <w:tcW w:w="545" w:type="pct"/>
                  <w:vMerge w:val="continue"/>
                  <w:tcBorders>
                    <w:tl2br w:val="nil"/>
                    <w:tr2bl w:val="nil"/>
                  </w:tcBorders>
                  <w:shd w:val="clear" w:color="auto" w:fill="auto"/>
                  <w:vAlign w:val="center"/>
                </w:tcPr>
                <w:p w14:paraId="435D17EF">
                  <w:pPr>
                    <w:pStyle w:val="26"/>
                    <w:keepNext w:val="0"/>
                    <w:keepLines w:val="0"/>
                    <w:suppressLineNumbers w:val="0"/>
                    <w:spacing w:before="0" w:beforeAutospacing="0" w:after="0" w:afterAutospacing="0"/>
                    <w:ind w:left="0" w:right="0"/>
                    <w:rPr>
                      <w:rFonts w:hint="default"/>
                    </w:rPr>
                  </w:pPr>
                </w:p>
              </w:tc>
            </w:tr>
            <w:tr w14:paraId="0337E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539" w:type="pct"/>
                  <w:vMerge w:val="restart"/>
                  <w:tcBorders>
                    <w:tl2br w:val="nil"/>
                    <w:tr2bl w:val="nil"/>
                  </w:tcBorders>
                  <w:shd w:val="clear" w:color="auto" w:fill="auto"/>
                  <w:vAlign w:val="center"/>
                </w:tcPr>
                <w:p w14:paraId="004D2392">
                  <w:pPr>
                    <w:pStyle w:val="26"/>
                    <w:keepNext w:val="0"/>
                    <w:keepLines w:val="0"/>
                    <w:suppressLineNumbers w:val="0"/>
                    <w:spacing w:before="0" w:beforeAutospacing="0" w:after="0" w:afterAutospacing="0"/>
                    <w:ind w:left="0" w:right="0"/>
                    <w:rPr>
                      <w:rFonts w:hint="default"/>
                    </w:rPr>
                  </w:pPr>
                  <w:r>
                    <w:rPr>
                      <w:rFonts w:hint="default"/>
                    </w:rPr>
                    <w:t>生产车间排气筒</w:t>
                  </w:r>
                </w:p>
              </w:tc>
              <w:tc>
                <w:tcPr>
                  <w:tcW w:w="471" w:type="pct"/>
                  <w:vMerge w:val="restart"/>
                  <w:tcBorders>
                    <w:tl2br w:val="nil"/>
                    <w:tr2bl w:val="nil"/>
                  </w:tcBorders>
                  <w:shd w:val="clear" w:color="auto" w:fill="auto"/>
                  <w:vAlign w:val="center"/>
                </w:tcPr>
                <w:p w14:paraId="39DC0EB8">
                  <w:pPr>
                    <w:pStyle w:val="26"/>
                    <w:keepNext w:val="0"/>
                    <w:keepLines w:val="0"/>
                    <w:suppressLineNumbers w:val="0"/>
                    <w:spacing w:before="0" w:beforeAutospacing="0" w:after="0" w:afterAutospacing="0"/>
                    <w:ind w:left="0" w:right="0"/>
                    <w:rPr>
                      <w:rFonts w:hint="default"/>
                    </w:rPr>
                  </w:pPr>
                  <w:r>
                    <w:rPr>
                      <w:rFonts w:hint="default"/>
                    </w:rPr>
                    <w:t>DA001</w:t>
                  </w:r>
                </w:p>
              </w:tc>
              <w:tc>
                <w:tcPr>
                  <w:tcW w:w="648" w:type="pct"/>
                  <w:tcBorders>
                    <w:tl2br w:val="nil"/>
                    <w:tr2bl w:val="nil"/>
                  </w:tcBorders>
                  <w:shd w:val="clear" w:color="auto" w:fill="auto"/>
                  <w:vAlign w:val="center"/>
                </w:tcPr>
                <w:p w14:paraId="396377E3">
                  <w:pPr>
                    <w:pStyle w:val="26"/>
                    <w:keepNext w:val="0"/>
                    <w:keepLines w:val="0"/>
                    <w:suppressLineNumbers w:val="0"/>
                    <w:spacing w:before="0" w:beforeAutospacing="0" w:after="0" w:afterAutospacing="0"/>
                    <w:ind w:left="0" w:right="0"/>
                    <w:rPr>
                      <w:rFonts w:hint="default"/>
                    </w:rPr>
                  </w:pPr>
                  <w:r>
                    <w:rPr>
                      <w:rFonts w:hint="default"/>
                    </w:rPr>
                    <w:t>颗粒物</w:t>
                  </w:r>
                </w:p>
              </w:tc>
              <w:tc>
                <w:tcPr>
                  <w:tcW w:w="653" w:type="pct"/>
                  <w:vMerge w:val="restart"/>
                  <w:tcBorders>
                    <w:tl2br w:val="nil"/>
                    <w:tr2bl w:val="nil"/>
                  </w:tcBorders>
                  <w:shd w:val="clear" w:color="auto" w:fill="auto"/>
                  <w:vAlign w:val="center"/>
                </w:tcPr>
                <w:p w14:paraId="29C71FD9">
                  <w:pPr>
                    <w:pStyle w:val="26"/>
                    <w:keepNext w:val="0"/>
                    <w:keepLines w:val="0"/>
                    <w:suppressLineNumbers w:val="0"/>
                    <w:spacing w:before="0" w:beforeAutospacing="0" w:after="0" w:afterAutospacing="0"/>
                    <w:ind w:left="0" w:right="0"/>
                    <w:rPr>
                      <w:rFonts w:hint="default"/>
                    </w:rPr>
                  </w:pPr>
                  <w:r>
                    <w:rPr>
                      <w:rFonts w:hint="default"/>
                    </w:rPr>
                    <w:t>107.683710</w:t>
                  </w:r>
                </w:p>
              </w:tc>
              <w:tc>
                <w:tcPr>
                  <w:tcW w:w="583" w:type="pct"/>
                  <w:vMerge w:val="restart"/>
                  <w:tcBorders>
                    <w:tl2br w:val="nil"/>
                    <w:tr2bl w:val="nil"/>
                  </w:tcBorders>
                  <w:shd w:val="clear" w:color="auto" w:fill="auto"/>
                  <w:vAlign w:val="center"/>
                </w:tcPr>
                <w:p w14:paraId="69AE1AB4">
                  <w:pPr>
                    <w:pStyle w:val="26"/>
                    <w:keepNext w:val="0"/>
                    <w:keepLines w:val="0"/>
                    <w:suppressLineNumbers w:val="0"/>
                    <w:spacing w:before="0" w:beforeAutospacing="0" w:after="0" w:afterAutospacing="0"/>
                    <w:ind w:left="0" w:right="0"/>
                    <w:rPr>
                      <w:rFonts w:hint="default"/>
                    </w:rPr>
                  </w:pPr>
                  <w:r>
                    <w:rPr>
                      <w:rFonts w:hint="default"/>
                    </w:rPr>
                    <w:t>31.523339</w:t>
                  </w:r>
                </w:p>
              </w:tc>
              <w:tc>
                <w:tcPr>
                  <w:tcW w:w="467" w:type="pct"/>
                  <w:vMerge w:val="restart"/>
                  <w:tcBorders>
                    <w:tl2br w:val="nil"/>
                    <w:tr2bl w:val="nil"/>
                  </w:tcBorders>
                  <w:shd w:val="clear" w:color="auto" w:fill="auto"/>
                  <w:vAlign w:val="center"/>
                </w:tcPr>
                <w:p w14:paraId="21FF423F">
                  <w:pPr>
                    <w:pStyle w:val="26"/>
                    <w:keepNext w:val="0"/>
                    <w:keepLines w:val="0"/>
                    <w:suppressLineNumbers w:val="0"/>
                    <w:spacing w:before="0" w:beforeAutospacing="0" w:after="0" w:afterAutospacing="0"/>
                    <w:ind w:left="0" w:right="0"/>
                    <w:rPr>
                      <w:rFonts w:hint="default"/>
                    </w:rPr>
                  </w:pPr>
                  <w:r>
                    <w:rPr>
                      <w:rFonts w:hint="default"/>
                    </w:rPr>
                    <w:t>25</w:t>
                  </w:r>
                </w:p>
              </w:tc>
              <w:tc>
                <w:tcPr>
                  <w:tcW w:w="591" w:type="pct"/>
                  <w:vMerge w:val="restart"/>
                  <w:tcBorders>
                    <w:tl2br w:val="nil"/>
                    <w:tr2bl w:val="nil"/>
                  </w:tcBorders>
                  <w:shd w:val="clear" w:color="auto" w:fill="auto"/>
                  <w:vAlign w:val="center"/>
                </w:tcPr>
                <w:p w14:paraId="25BE1FE0">
                  <w:pPr>
                    <w:pStyle w:val="26"/>
                    <w:keepNext w:val="0"/>
                    <w:keepLines w:val="0"/>
                    <w:suppressLineNumbers w:val="0"/>
                    <w:spacing w:before="0" w:beforeAutospacing="0" w:after="0" w:afterAutospacing="0"/>
                    <w:ind w:left="0" w:right="0"/>
                    <w:rPr>
                      <w:rFonts w:hint="default"/>
                    </w:rPr>
                  </w:pPr>
                  <w:r>
                    <w:rPr>
                      <w:rFonts w:hint="default"/>
                    </w:rPr>
                    <w:t>0.4</w:t>
                  </w:r>
                </w:p>
              </w:tc>
              <w:tc>
                <w:tcPr>
                  <w:tcW w:w="503" w:type="pct"/>
                  <w:vMerge w:val="restart"/>
                  <w:tcBorders>
                    <w:tl2br w:val="nil"/>
                    <w:tr2bl w:val="nil"/>
                  </w:tcBorders>
                  <w:shd w:val="clear" w:color="auto" w:fill="auto"/>
                  <w:vAlign w:val="center"/>
                </w:tcPr>
                <w:p w14:paraId="02DF8B1C">
                  <w:pPr>
                    <w:pStyle w:val="26"/>
                    <w:keepNext w:val="0"/>
                    <w:keepLines w:val="0"/>
                    <w:suppressLineNumbers w:val="0"/>
                    <w:spacing w:before="0" w:beforeAutospacing="0" w:after="0" w:afterAutospacing="0"/>
                    <w:ind w:left="0" w:right="0"/>
                    <w:rPr>
                      <w:rFonts w:hint="default"/>
                    </w:rPr>
                  </w:pPr>
                  <w:r>
                    <w:rPr>
                      <w:rFonts w:hint="default"/>
                    </w:rPr>
                    <w:t>25</w:t>
                  </w:r>
                </w:p>
              </w:tc>
              <w:tc>
                <w:tcPr>
                  <w:tcW w:w="545" w:type="pct"/>
                  <w:vMerge w:val="restart"/>
                  <w:tcBorders>
                    <w:tl2br w:val="nil"/>
                    <w:tr2bl w:val="nil"/>
                  </w:tcBorders>
                  <w:shd w:val="clear" w:color="auto" w:fill="auto"/>
                  <w:vAlign w:val="center"/>
                </w:tcPr>
                <w:p w14:paraId="58E02559">
                  <w:pPr>
                    <w:pStyle w:val="26"/>
                    <w:keepNext w:val="0"/>
                    <w:keepLines w:val="0"/>
                    <w:suppressLineNumbers w:val="0"/>
                    <w:spacing w:before="0" w:beforeAutospacing="0" w:after="0" w:afterAutospacing="0"/>
                    <w:ind w:left="0" w:right="0"/>
                    <w:rPr>
                      <w:rFonts w:hint="default"/>
                    </w:rPr>
                  </w:pPr>
                  <w:r>
                    <w:rPr>
                      <w:rFonts w:hint="default"/>
                    </w:rPr>
                    <w:t>一般排放口</w:t>
                  </w:r>
                </w:p>
              </w:tc>
            </w:tr>
            <w:tr w14:paraId="09FBB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539" w:type="pct"/>
                  <w:vMerge w:val="continue"/>
                  <w:tcBorders>
                    <w:tl2br w:val="nil"/>
                    <w:tr2bl w:val="nil"/>
                  </w:tcBorders>
                  <w:shd w:val="clear" w:color="auto" w:fill="auto"/>
                  <w:vAlign w:val="center"/>
                </w:tcPr>
                <w:p w14:paraId="5545050D">
                  <w:pPr>
                    <w:pStyle w:val="26"/>
                    <w:keepNext w:val="0"/>
                    <w:keepLines w:val="0"/>
                    <w:suppressLineNumbers w:val="0"/>
                    <w:spacing w:before="0" w:beforeAutospacing="0" w:after="0" w:afterAutospacing="0"/>
                    <w:ind w:left="0" w:right="0"/>
                    <w:rPr>
                      <w:rFonts w:hint="default"/>
                    </w:rPr>
                  </w:pPr>
                </w:p>
              </w:tc>
              <w:tc>
                <w:tcPr>
                  <w:tcW w:w="471" w:type="pct"/>
                  <w:vMerge w:val="continue"/>
                  <w:tcBorders>
                    <w:tl2br w:val="nil"/>
                    <w:tr2bl w:val="nil"/>
                  </w:tcBorders>
                  <w:shd w:val="clear" w:color="auto" w:fill="auto"/>
                  <w:vAlign w:val="center"/>
                </w:tcPr>
                <w:p w14:paraId="7B15E2F1">
                  <w:pPr>
                    <w:pStyle w:val="26"/>
                    <w:keepNext w:val="0"/>
                    <w:keepLines w:val="0"/>
                    <w:suppressLineNumbers w:val="0"/>
                    <w:spacing w:before="0" w:beforeAutospacing="0" w:after="0" w:afterAutospacing="0"/>
                    <w:ind w:left="0" w:right="0"/>
                    <w:rPr>
                      <w:rFonts w:hint="default"/>
                    </w:rPr>
                  </w:pPr>
                </w:p>
              </w:tc>
              <w:tc>
                <w:tcPr>
                  <w:tcW w:w="648" w:type="pct"/>
                  <w:tcBorders>
                    <w:tl2br w:val="nil"/>
                    <w:tr2bl w:val="nil"/>
                  </w:tcBorders>
                  <w:shd w:val="clear" w:color="auto" w:fill="auto"/>
                  <w:vAlign w:val="center"/>
                </w:tcPr>
                <w:p w14:paraId="569CA533">
                  <w:pPr>
                    <w:pStyle w:val="26"/>
                    <w:keepNext w:val="0"/>
                    <w:keepLines w:val="0"/>
                    <w:suppressLineNumbers w:val="0"/>
                    <w:spacing w:before="0" w:beforeAutospacing="0" w:after="0" w:afterAutospacing="0"/>
                    <w:ind w:left="0" w:right="0"/>
                    <w:rPr>
                      <w:rFonts w:hint="default"/>
                    </w:rPr>
                  </w:pPr>
                  <w:r>
                    <w:rPr>
                      <w:rFonts w:hint="default"/>
                    </w:rPr>
                    <w:t>硫化氢</w:t>
                  </w:r>
                </w:p>
              </w:tc>
              <w:tc>
                <w:tcPr>
                  <w:tcW w:w="653" w:type="pct"/>
                  <w:vMerge w:val="continue"/>
                  <w:tcBorders>
                    <w:tl2br w:val="nil"/>
                    <w:tr2bl w:val="nil"/>
                  </w:tcBorders>
                  <w:shd w:val="clear" w:color="auto" w:fill="auto"/>
                  <w:vAlign w:val="center"/>
                </w:tcPr>
                <w:p w14:paraId="351D53D1">
                  <w:pPr>
                    <w:pStyle w:val="26"/>
                    <w:keepNext w:val="0"/>
                    <w:keepLines w:val="0"/>
                    <w:suppressLineNumbers w:val="0"/>
                    <w:spacing w:before="0" w:beforeAutospacing="0" w:after="0" w:afterAutospacing="0"/>
                    <w:ind w:left="0" w:right="0"/>
                    <w:rPr>
                      <w:rFonts w:hint="default"/>
                    </w:rPr>
                  </w:pPr>
                </w:p>
              </w:tc>
              <w:tc>
                <w:tcPr>
                  <w:tcW w:w="583" w:type="pct"/>
                  <w:vMerge w:val="continue"/>
                  <w:tcBorders>
                    <w:tl2br w:val="nil"/>
                    <w:tr2bl w:val="nil"/>
                  </w:tcBorders>
                  <w:shd w:val="clear" w:color="auto" w:fill="auto"/>
                  <w:vAlign w:val="center"/>
                </w:tcPr>
                <w:p w14:paraId="374FEED2">
                  <w:pPr>
                    <w:pStyle w:val="26"/>
                    <w:keepNext w:val="0"/>
                    <w:keepLines w:val="0"/>
                    <w:suppressLineNumbers w:val="0"/>
                    <w:spacing w:before="0" w:beforeAutospacing="0" w:after="0" w:afterAutospacing="0"/>
                    <w:ind w:left="0" w:right="0"/>
                    <w:rPr>
                      <w:rFonts w:hint="default"/>
                    </w:rPr>
                  </w:pPr>
                </w:p>
              </w:tc>
              <w:tc>
                <w:tcPr>
                  <w:tcW w:w="467" w:type="pct"/>
                  <w:vMerge w:val="continue"/>
                  <w:tcBorders>
                    <w:tl2br w:val="nil"/>
                    <w:tr2bl w:val="nil"/>
                  </w:tcBorders>
                  <w:shd w:val="clear" w:color="auto" w:fill="auto"/>
                  <w:vAlign w:val="center"/>
                </w:tcPr>
                <w:p w14:paraId="3EFF73C5">
                  <w:pPr>
                    <w:pStyle w:val="26"/>
                    <w:keepNext w:val="0"/>
                    <w:keepLines w:val="0"/>
                    <w:suppressLineNumbers w:val="0"/>
                    <w:spacing w:before="0" w:beforeAutospacing="0" w:after="0" w:afterAutospacing="0"/>
                    <w:ind w:left="0" w:right="0"/>
                    <w:rPr>
                      <w:rFonts w:hint="default"/>
                    </w:rPr>
                  </w:pPr>
                </w:p>
              </w:tc>
              <w:tc>
                <w:tcPr>
                  <w:tcW w:w="591" w:type="pct"/>
                  <w:vMerge w:val="continue"/>
                  <w:tcBorders>
                    <w:tl2br w:val="nil"/>
                    <w:tr2bl w:val="nil"/>
                  </w:tcBorders>
                  <w:shd w:val="clear" w:color="auto" w:fill="auto"/>
                  <w:vAlign w:val="center"/>
                </w:tcPr>
                <w:p w14:paraId="3A82CE41">
                  <w:pPr>
                    <w:pStyle w:val="26"/>
                    <w:keepNext w:val="0"/>
                    <w:keepLines w:val="0"/>
                    <w:suppressLineNumbers w:val="0"/>
                    <w:spacing w:before="0" w:beforeAutospacing="0" w:after="0" w:afterAutospacing="0"/>
                    <w:ind w:left="0" w:right="0"/>
                    <w:rPr>
                      <w:rFonts w:hint="default"/>
                    </w:rPr>
                  </w:pPr>
                </w:p>
              </w:tc>
              <w:tc>
                <w:tcPr>
                  <w:tcW w:w="503" w:type="pct"/>
                  <w:vMerge w:val="continue"/>
                  <w:tcBorders>
                    <w:tl2br w:val="nil"/>
                    <w:tr2bl w:val="nil"/>
                  </w:tcBorders>
                  <w:shd w:val="clear" w:color="auto" w:fill="auto"/>
                  <w:vAlign w:val="center"/>
                </w:tcPr>
                <w:p w14:paraId="5FB729F3">
                  <w:pPr>
                    <w:pStyle w:val="26"/>
                    <w:keepNext w:val="0"/>
                    <w:keepLines w:val="0"/>
                    <w:suppressLineNumbers w:val="0"/>
                    <w:spacing w:before="0" w:beforeAutospacing="0" w:after="0" w:afterAutospacing="0"/>
                    <w:ind w:left="0" w:right="0"/>
                    <w:rPr>
                      <w:rFonts w:hint="default"/>
                    </w:rPr>
                  </w:pPr>
                </w:p>
              </w:tc>
              <w:tc>
                <w:tcPr>
                  <w:tcW w:w="545" w:type="pct"/>
                  <w:vMerge w:val="continue"/>
                  <w:tcBorders>
                    <w:tl2br w:val="nil"/>
                    <w:tr2bl w:val="nil"/>
                  </w:tcBorders>
                  <w:shd w:val="clear" w:color="auto" w:fill="auto"/>
                  <w:vAlign w:val="center"/>
                </w:tcPr>
                <w:p w14:paraId="78E20033">
                  <w:pPr>
                    <w:pStyle w:val="26"/>
                    <w:keepNext w:val="0"/>
                    <w:keepLines w:val="0"/>
                    <w:suppressLineNumbers w:val="0"/>
                    <w:spacing w:before="0" w:beforeAutospacing="0" w:after="0" w:afterAutospacing="0"/>
                    <w:ind w:left="0" w:right="0"/>
                    <w:rPr>
                      <w:rFonts w:hint="default"/>
                    </w:rPr>
                  </w:pPr>
                </w:p>
              </w:tc>
            </w:tr>
          </w:tbl>
          <w:p w14:paraId="0D20A95C">
            <w:pPr>
              <w:pStyle w:val="33"/>
              <w:keepNext w:val="0"/>
              <w:keepLines w:val="0"/>
              <w:numPr>
                <w:ilvl w:val="0"/>
                <w:numId w:val="0"/>
              </w:numPr>
              <w:suppressLineNumbers w:val="0"/>
              <w:spacing w:before="0" w:beforeAutospacing="0" w:after="0" w:afterAutospacing="0"/>
              <w:ind w:left="0" w:right="0"/>
              <w:rPr>
                <w:rFonts w:hint="default" w:cs="Times New Roman"/>
              </w:rPr>
            </w:pPr>
          </w:p>
          <w:p w14:paraId="533D16EE">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（二）无组织废气</w:t>
            </w:r>
          </w:p>
          <w:p w14:paraId="3A3E6AC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项目无组织排放废气主要为硫磺生产时未被有效收集的颗粒物废气及硫化氢，柴油撬装站加油废气。</w:t>
            </w:r>
          </w:p>
          <w:p w14:paraId="7D0CD98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项目无组织排放硫化氢、颗粒物废气主要为湿法造粒、2#循环水池、包装未收集的废气，根据前文计算，硫化氢、颗粒物无组织排放量分别为0.150t/a（0.019kg/h）、1.93t/a（0.241kg/h）。</w:t>
            </w:r>
          </w:p>
          <w:p w14:paraId="1DC89FE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柴油撬装站设置卸油油气回收系统。卸油油气回收系统：即一次油气回收系统，是通过压力平衡原理，将卸油过程中挥发的油气收集至油罐车内，运回储油库进行油气回收处理的过程。在油罐车卸油过程中，油罐车内压力减小，储油罐内压力增大，储油罐与油罐车内的压差使卸油过程中挥发的油气通过管线回到油罐车内，达到油气收集的目的。待卸油结束，储油罐与油罐车内压力达到平衡状态，一次油气回收阶段结束，此过程可回收约95%油气，其余5%通过通气立管排入环境。</w:t>
            </w:r>
          </w:p>
          <w:p w14:paraId="64838FF5">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3、达标情况分析</w:t>
            </w:r>
          </w:p>
          <w:bookmarkEnd w:id="103"/>
          <w:p w14:paraId="411CC56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本项目废气产生及排放情况见下表：</w:t>
            </w:r>
          </w:p>
        </w:tc>
      </w:tr>
    </w:tbl>
    <w:p w14:paraId="7BD2875E">
      <w:pPr>
        <w:ind w:firstLine="0" w:firstLineChars="0"/>
        <w:jc w:val="center"/>
        <w:rPr>
          <w:rFonts w:cs="Times New Roman"/>
          <w:color w:val="auto"/>
        </w:rPr>
        <w:sectPr>
          <w:pgSz w:w="11906" w:h="16838"/>
          <w:pgMar w:top="1440" w:right="1803" w:bottom="1440" w:left="1803" w:header="851" w:footer="992" w:gutter="0"/>
          <w:cols w:space="425" w:num="1"/>
          <w:docGrid w:type="lines" w:linePitch="326" w:charSpace="0"/>
        </w:sectPr>
      </w:pP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310"/>
      </w:tblGrid>
      <w:tr w14:paraId="2791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1" w:type="pct"/>
            <w:vAlign w:val="center"/>
          </w:tcPr>
          <w:p w14:paraId="3F524891">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营运期环境影响和保护措施</w:t>
            </w:r>
          </w:p>
        </w:tc>
        <w:tc>
          <w:tcPr>
            <w:tcW w:w="4698" w:type="pct"/>
            <w:vAlign w:val="center"/>
          </w:tcPr>
          <w:p w14:paraId="17E83753">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本项目废气产排一览表</w:t>
            </w:r>
          </w:p>
          <w:tbl>
            <w:tblPr>
              <w:tblStyle w:val="18"/>
              <w:tblW w:w="493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32"/>
              <w:gridCol w:w="1590"/>
              <w:gridCol w:w="1033"/>
              <w:gridCol w:w="705"/>
              <w:gridCol w:w="749"/>
              <w:gridCol w:w="749"/>
              <w:gridCol w:w="749"/>
              <w:gridCol w:w="790"/>
              <w:gridCol w:w="749"/>
              <w:gridCol w:w="777"/>
              <w:gridCol w:w="873"/>
              <w:gridCol w:w="855"/>
              <w:gridCol w:w="788"/>
              <w:gridCol w:w="777"/>
              <w:gridCol w:w="695"/>
            </w:tblGrid>
            <w:tr w14:paraId="0D5B3F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015" w:type="pct"/>
                  <w:gridSpan w:val="2"/>
                  <w:vMerge w:val="restart"/>
                  <w:tcBorders>
                    <w:tl2br w:val="nil"/>
                    <w:tr2bl w:val="nil"/>
                  </w:tcBorders>
                  <w:shd w:val="clear" w:color="auto" w:fill="auto"/>
                  <w:vAlign w:val="center"/>
                </w:tcPr>
                <w:p w14:paraId="2CD34524">
                  <w:pPr>
                    <w:pStyle w:val="26"/>
                    <w:keepNext w:val="0"/>
                    <w:keepLines w:val="0"/>
                    <w:suppressLineNumbers w:val="0"/>
                    <w:spacing w:before="0" w:beforeAutospacing="0" w:after="0" w:afterAutospacing="0"/>
                    <w:ind w:left="0" w:right="0"/>
                    <w:rPr>
                      <w:rFonts w:hint="default"/>
                    </w:rPr>
                  </w:pPr>
                  <w:r>
                    <w:rPr>
                      <w:rFonts w:hint="default"/>
                    </w:rPr>
                    <w:t>项目</w:t>
                  </w:r>
                </w:p>
              </w:tc>
              <w:tc>
                <w:tcPr>
                  <w:tcW w:w="400" w:type="pct"/>
                  <w:vMerge w:val="restart"/>
                  <w:tcBorders>
                    <w:tl2br w:val="nil"/>
                    <w:tr2bl w:val="nil"/>
                  </w:tcBorders>
                  <w:shd w:val="clear" w:color="auto" w:fill="auto"/>
                  <w:vAlign w:val="center"/>
                </w:tcPr>
                <w:p w14:paraId="32908B8A">
                  <w:pPr>
                    <w:pStyle w:val="26"/>
                    <w:keepNext w:val="0"/>
                    <w:keepLines w:val="0"/>
                    <w:suppressLineNumbers w:val="0"/>
                    <w:spacing w:before="0" w:beforeAutospacing="0" w:after="0" w:afterAutospacing="0"/>
                    <w:ind w:left="0" w:right="0"/>
                    <w:rPr>
                      <w:rFonts w:hint="default"/>
                    </w:rPr>
                  </w:pPr>
                  <w:r>
                    <w:rPr>
                      <w:rFonts w:hint="default"/>
                    </w:rPr>
                    <w:t>污染物</w:t>
                  </w:r>
                </w:p>
              </w:tc>
              <w:tc>
                <w:tcPr>
                  <w:tcW w:w="273" w:type="pct"/>
                  <w:vMerge w:val="restart"/>
                  <w:tcBorders>
                    <w:tl2br w:val="nil"/>
                    <w:tr2bl w:val="nil"/>
                  </w:tcBorders>
                  <w:shd w:val="clear" w:color="auto" w:fill="auto"/>
                  <w:vAlign w:val="center"/>
                </w:tcPr>
                <w:p w14:paraId="3B42CBA8">
                  <w:pPr>
                    <w:pStyle w:val="26"/>
                    <w:keepNext w:val="0"/>
                    <w:keepLines w:val="0"/>
                    <w:suppressLineNumbers w:val="0"/>
                    <w:spacing w:before="0" w:beforeAutospacing="0" w:after="0" w:afterAutospacing="0"/>
                    <w:ind w:left="0" w:right="0"/>
                    <w:rPr>
                      <w:rFonts w:hint="default"/>
                    </w:rPr>
                  </w:pPr>
                  <w:r>
                    <w:rPr>
                      <w:rFonts w:hint="default"/>
                    </w:rPr>
                    <w:t>产生量t/a</w:t>
                  </w:r>
                </w:p>
              </w:tc>
              <w:tc>
                <w:tcPr>
                  <w:tcW w:w="290" w:type="pct"/>
                  <w:vMerge w:val="restart"/>
                  <w:tcBorders>
                    <w:tl2br w:val="nil"/>
                    <w:tr2bl w:val="nil"/>
                  </w:tcBorders>
                  <w:shd w:val="clear" w:color="auto" w:fill="auto"/>
                  <w:vAlign w:val="center"/>
                </w:tcPr>
                <w:p w14:paraId="21EB28AB">
                  <w:pPr>
                    <w:pStyle w:val="26"/>
                    <w:keepNext w:val="0"/>
                    <w:keepLines w:val="0"/>
                    <w:suppressLineNumbers w:val="0"/>
                    <w:spacing w:before="0" w:beforeAutospacing="0" w:after="0" w:afterAutospacing="0"/>
                    <w:ind w:left="0" w:right="0"/>
                    <w:rPr>
                      <w:rFonts w:hint="default"/>
                    </w:rPr>
                  </w:pPr>
                  <w:r>
                    <w:rPr>
                      <w:rFonts w:hint="default"/>
                    </w:rPr>
                    <w:t>收集效率</w:t>
                  </w:r>
                </w:p>
              </w:tc>
              <w:tc>
                <w:tcPr>
                  <w:tcW w:w="290" w:type="pct"/>
                  <w:vMerge w:val="restart"/>
                  <w:tcBorders>
                    <w:tl2br w:val="nil"/>
                    <w:tr2bl w:val="nil"/>
                  </w:tcBorders>
                  <w:shd w:val="clear" w:color="auto" w:fill="auto"/>
                  <w:vAlign w:val="center"/>
                </w:tcPr>
                <w:p w14:paraId="1571043D">
                  <w:pPr>
                    <w:pStyle w:val="26"/>
                    <w:keepNext w:val="0"/>
                    <w:keepLines w:val="0"/>
                    <w:suppressLineNumbers w:val="0"/>
                    <w:spacing w:before="0" w:beforeAutospacing="0" w:after="0" w:afterAutospacing="0"/>
                    <w:ind w:left="0" w:right="0"/>
                    <w:rPr>
                      <w:rFonts w:hint="default"/>
                    </w:rPr>
                  </w:pPr>
                  <w:r>
                    <w:rPr>
                      <w:rFonts w:hint="default"/>
                    </w:rPr>
                    <w:t>处理效率</w:t>
                  </w:r>
                </w:p>
              </w:tc>
              <w:tc>
                <w:tcPr>
                  <w:tcW w:w="2161" w:type="pct"/>
                  <w:gridSpan w:val="7"/>
                  <w:tcBorders>
                    <w:tl2br w:val="nil"/>
                    <w:tr2bl w:val="nil"/>
                  </w:tcBorders>
                  <w:shd w:val="clear" w:color="auto" w:fill="auto"/>
                  <w:vAlign w:val="center"/>
                </w:tcPr>
                <w:p w14:paraId="65476591">
                  <w:pPr>
                    <w:pStyle w:val="26"/>
                    <w:keepNext w:val="0"/>
                    <w:keepLines w:val="0"/>
                    <w:suppressLineNumbers w:val="0"/>
                    <w:spacing w:before="0" w:beforeAutospacing="0" w:after="0" w:afterAutospacing="0"/>
                    <w:ind w:left="0" w:right="0"/>
                    <w:rPr>
                      <w:rFonts w:hint="default"/>
                    </w:rPr>
                  </w:pPr>
                  <w:r>
                    <w:rPr>
                      <w:rFonts w:hint="default"/>
                    </w:rPr>
                    <w:t>有组织</w:t>
                  </w:r>
                </w:p>
              </w:tc>
              <w:tc>
                <w:tcPr>
                  <w:tcW w:w="570" w:type="pct"/>
                  <w:gridSpan w:val="2"/>
                  <w:tcBorders>
                    <w:tl2br w:val="nil"/>
                    <w:tr2bl w:val="nil"/>
                  </w:tcBorders>
                  <w:shd w:val="clear" w:color="auto" w:fill="auto"/>
                  <w:noWrap/>
                  <w:vAlign w:val="center"/>
                </w:tcPr>
                <w:p w14:paraId="706FA92A">
                  <w:pPr>
                    <w:pStyle w:val="26"/>
                    <w:keepNext w:val="0"/>
                    <w:keepLines w:val="0"/>
                    <w:suppressLineNumbers w:val="0"/>
                    <w:spacing w:before="0" w:beforeAutospacing="0" w:after="0" w:afterAutospacing="0"/>
                    <w:ind w:left="0" w:right="0"/>
                    <w:rPr>
                      <w:rFonts w:hint="default"/>
                    </w:rPr>
                  </w:pPr>
                  <w:r>
                    <w:rPr>
                      <w:rFonts w:hint="default"/>
                    </w:rPr>
                    <w:t>无组织排放量</w:t>
                  </w:r>
                </w:p>
              </w:tc>
            </w:tr>
            <w:tr w14:paraId="63761D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Merge w:val="continue"/>
                  <w:tcBorders>
                    <w:tl2br w:val="nil"/>
                    <w:tr2bl w:val="nil"/>
                  </w:tcBorders>
                  <w:shd w:val="clear" w:color="auto" w:fill="auto"/>
                  <w:vAlign w:val="center"/>
                </w:tcPr>
                <w:p w14:paraId="085632B4">
                  <w:pPr>
                    <w:pStyle w:val="26"/>
                    <w:keepNext w:val="0"/>
                    <w:keepLines w:val="0"/>
                    <w:suppressLineNumbers w:val="0"/>
                    <w:spacing w:before="0" w:beforeAutospacing="0" w:after="0" w:afterAutospacing="0"/>
                    <w:ind w:left="0" w:right="0"/>
                    <w:rPr>
                      <w:rFonts w:hint="default"/>
                    </w:rPr>
                  </w:pPr>
                </w:p>
              </w:tc>
              <w:tc>
                <w:tcPr>
                  <w:tcW w:w="400" w:type="pct"/>
                  <w:vMerge w:val="continue"/>
                  <w:tcBorders>
                    <w:tl2br w:val="nil"/>
                    <w:tr2bl w:val="nil"/>
                  </w:tcBorders>
                  <w:shd w:val="clear" w:color="auto" w:fill="auto"/>
                  <w:vAlign w:val="center"/>
                </w:tcPr>
                <w:p w14:paraId="2149E251">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4AA74067">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5644BD9">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CB0ED73">
                  <w:pPr>
                    <w:pStyle w:val="26"/>
                    <w:keepNext w:val="0"/>
                    <w:keepLines w:val="0"/>
                    <w:suppressLineNumbers w:val="0"/>
                    <w:spacing w:before="0" w:beforeAutospacing="0" w:after="0" w:afterAutospacing="0"/>
                    <w:ind w:left="0" w:right="0"/>
                    <w:rPr>
                      <w:rFonts w:hint="default"/>
                    </w:rPr>
                  </w:pPr>
                </w:p>
              </w:tc>
              <w:tc>
                <w:tcPr>
                  <w:tcW w:w="290" w:type="pct"/>
                  <w:vMerge w:val="restart"/>
                  <w:tcBorders>
                    <w:tl2br w:val="nil"/>
                    <w:tr2bl w:val="nil"/>
                  </w:tcBorders>
                  <w:shd w:val="clear" w:color="auto" w:fill="auto"/>
                  <w:vAlign w:val="center"/>
                </w:tcPr>
                <w:p w14:paraId="03362E0B">
                  <w:pPr>
                    <w:pStyle w:val="26"/>
                    <w:keepNext w:val="0"/>
                    <w:keepLines w:val="0"/>
                    <w:suppressLineNumbers w:val="0"/>
                    <w:spacing w:before="0" w:beforeAutospacing="0" w:after="0" w:afterAutospacing="0"/>
                    <w:ind w:left="0" w:right="0"/>
                    <w:rPr>
                      <w:rFonts w:hint="default"/>
                    </w:rPr>
                  </w:pPr>
                  <w:r>
                    <w:rPr>
                      <w:rFonts w:hint="default"/>
                    </w:rPr>
                    <w:t>排放口编号</w:t>
                  </w:r>
                </w:p>
              </w:tc>
              <w:tc>
                <w:tcPr>
                  <w:tcW w:w="306" w:type="pct"/>
                  <w:vMerge w:val="restart"/>
                  <w:tcBorders>
                    <w:tl2br w:val="nil"/>
                    <w:tr2bl w:val="nil"/>
                  </w:tcBorders>
                  <w:shd w:val="clear" w:color="auto" w:fill="auto"/>
                  <w:vAlign w:val="center"/>
                </w:tcPr>
                <w:p w14:paraId="5E322050">
                  <w:pPr>
                    <w:pStyle w:val="26"/>
                    <w:keepNext w:val="0"/>
                    <w:keepLines w:val="0"/>
                    <w:suppressLineNumbers w:val="0"/>
                    <w:spacing w:before="0" w:beforeAutospacing="0" w:after="0" w:afterAutospacing="0"/>
                    <w:ind w:left="0" w:right="0"/>
                    <w:rPr>
                      <w:rFonts w:hint="default"/>
                    </w:rPr>
                  </w:pPr>
                  <w:r>
                    <w:rPr>
                      <w:rFonts w:hint="default"/>
                    </w:rPr>
                    <w:t>风量m</w:t>
                  </w:r>
                  <w:r>
                    <w:rPr>
                      <w:rFonts w:hint="default"/>
                      <w:vertAlign w:val="superscript"/>
                    </w:rPr>
                    <w:t>3</w:t>
                  </w:r>
                  <w:r>
                    <w:rPr>
                      <w:rFonts w:hint="default"/>
                    </w:rPr>
                    <w:t>/h</w:t>
                  </w:r>
                </w:p>
              </w:tc>
              <w:tc>
                <w:tcPr>
                  <w:tcW w:w="290" w:type="pct"/>
                  <w:vMerge w:val="restart"/>
                  <w:tcBorders>
                    <w:tl2br w:val="nil"/>
                    <w:tr2bl w:val="nil"/>
                  </w:tcBorders>
                  <w:shd w:val="clear" w:color="auto" w:fill="auto"/>
                  <w:vAlign w:val="center"/>
                </w:tcPr>
                <w:p w14:paraId="39476930">
                  <w:pPr>
                    <w:pStyle w:val="26"/>
                    <w:keepNext w:val="0"/>
                    <w:keepLines w:val="0"/>
                    <w:suppressLineNumbers w:val="0"/>
                    <w:spacing w:before="0" w:beforeAutospacing="0" w:after="0" w:afterAutospacing="0"/>
                    <w:ind w:left="0" w:right="0"/>
                    <w:rPr>
                      <w:rFonts w:hint="default"/>
                    </w:rPr>
                  </w:pPr>
                  <w:r>
                    <w:rPr>
                      <w:rFonts w:hint="default"/>
                    </w:rPr>
                    <w:t>产生量t/a</w:t>
                  </w:r>
                </w:p>
              </w:tc>
              <w:tc>
                <w:tcPr>
                  <w:tcW w:w="639" w:type="pct"/>
                  <w:gridSpan w:val="2"/>
                  <w:tcBorders>
                    <w:tl2br w:val="nil"/>
                    <w:tr2bl w:val="nil"/>
                  </w:tcBorders>
                  <w:shd w:val="clear" w:color="auto" w:fill="auto"/>
                  <w:vAlign w:val="center"/>
                </w:tcPr>
                <w:p w14:paraId="267ACA6F">
                  <w:pPr>
                    <w:pStyle w:val="26"/>
                    <w:keepNext w:val="0"/>
                    <w:keepLines w:val="0"/>
                    <w:suppressLineNumbers w:val="0"/>
                    <w:spacing w:before="0" w:beforeAutospacing="0" w:after="0" w:afterAutospacing="0"/>
                    <w:ind w:left="0" w:right="0"/>
                    <w:rPr>
                      <w:rFonts w:hint="default"/>
                    </w:rPr>
                  </w:pPr>
                  <w:r>
                    <w:rPr>
                      <w:rFonts w:hint="default"/>
                    </w:rPr>
                    <w:t>处理前</w:t>
                  </w:r>
                </w:p>
              </w:tc>
              <w:tc>
                <w:tcPr>
                  <w:tcW w:w="636" w:type="pct"/>
                  <w:gridSpan w:val="2"/>
                  <w:tcBorders>
                    <w:tl2br w:val="nil"/>
                    <w:tr2bl w:val="nil"/>
                  </w:tcBorders>
                  <w:shd w:val="clear" w:color="auto" w:fill="auto"/>
                  <w:vAlign w:val="center"/>
                </w:tcPr>
                <w:p w14:paraId="70359E68">
                  <w:pPr>
                    <w:pStyle w:val="26"/>
                    <w:keepNext w:val="0"/>
                    <w:keepLines w:val="0"/>
                    <w:suppressLineNumbers w:val="0"/>
                    <w:spacing w:before="0" w:beforeAutospacing="0" w:after="0" w:afterAutospacing="0"/>
                    <w:ind w:left="0" w:right="0"/>
                    <w:rPr>
                      <w:rFonts w:hint="default"/>
                    </w:rPr>
                  </w:pPr>
                  <w:r>
                    <w:rPr>
                      <w:rFonts w:hint="default"/>
                    </w:rPr>
                    <w:t>处理后</w:t>
                  </w:r>
                </w:p>
              </w:tc>
              <w:tc>
                <w:tcPr>
                  <w:tcW w:w="301" w:type="pct"/>
                  <w:vMerge w:val="restart"/>
                  <w:tcBorders>
                    <w:tl2br w:val="nil"/>
                    <w:tr2bl w:val="nil"/>
                  </w:tcBorders>
                  <w:shd w:val="clear" w:color="auto" w:fill="auto"/>
                  <w:vAlign w:val="center"/>
                </w:tcPr>
                <w:p w14:paraId="7BBE2468">
                  <w:pPr>
                    <w:pStyle w:val="26"/>
                    <w:keepNext w:val="0"/>
                    <w:keepLines w:val="0"/>
                    <w:suppressLineNumbers w:val="0"/>
                    <w:spacing w:before="0" w:beforeAutospacing="0" w:after="0" w:afterAutospacing="0"/>
                    <w:ind w:left="0" w:right="0"/>
                    <w:rPr>
                      <w:rFonts w:hint="default"/>
                    </w:rPr>
                  </w:pPr>
                  <w:r>
                    <w:rPr>
                      <w:rFonts w:hint="default"/>
                    </w:rPr>
                    <w:t>排放量t/a</w:t>
                  </w:r>
                </w:p>
              </w:tc>
              <w:tc>
                <w:tcPr>
                  <w:tcW w:w="269" w:type="pct"/>
                  <w:vMerge w:val="restart"/>
                  <w:tcBorders>
                    <w:tl2br w:val="nil"/>
                    <w:tr2bl w:val="nil"/>
                  </w:tcBorders>
                  <w:shd w:val="clear" w:color="auto" w:fill="auto"/>
                  <w:vAlign w:val="center"/>
                </w:tcPr>
                <w:p w14:paraId="598677A5">
                  <w:pPr>
                    <w:pStyle w:val="26"/>
                    <w:keepNext w:val="0"/>
                    <w:keepLines w:val="0"/>
                    <w:suppressLineNumbers w:val="0"/>
                    <w:spacing w:before="0" w:beforeAutospacing="0" w:after="0" w:afterAutospacing="0"/>
                    <w:ind w:left="0" w:right="0"/>
                    <w:rPr>
                      <w:rFonts w:hint="default"/>
                    </w:rPr>
                  </w:pPr>
                  <w:r>
                    <w:rPr>
                      <w:rFonts w:hint="default"/>
                    </w:rPr>
                    <w:t>排放速率kg/h</w:t>
                  </w:r>
                </w:p>
              </w:tc>
            </w:tr>
            <w:tr w14:paraId="52DDF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Merge w:val="continue"/>
                  <w:tcBorders>
                    <w:tl2br w:val="nil"/>
                    <w:tr2bl w:val="nil"/>
                  </w:tcBorders>
                  <w:shd w:val="clear" w:color="auto" w:fill="auto"/>
                  <w:vAlign w:val="center"/>
                </w:tcPr>
                <w:p w14:paraId="3C1F3690">
                  <w:pPr>
                    <w:pStyle w:val="26"/>
                    <w:keepNext w:val="0"/>
                    <w:keepLines w:val="0"/>
                    <w:suppressLineNumbers w:val="0"/>
                    <w:spacing w:before="0" w:beforeAutospacing="0" w:after="0" w:afterAutospacing="0"/>
                    <w:ind w:left="0" w:right="0"/>
                    <w:rPr>
                      <w:rFonts w:hint="default"/>
                    </w:rPr>
                  </w:pPr>
                </w:p>
              </w:tc>
              <w:tc>
                <w:tcPr>
                  <w:tcW w:w="400" w:type="pct"/>
                  <w:vMerge w:val="continue"/>
                  <w:tcBorders>
                    <w:tl2br w:val="nil"/>
                    <w:tr2bl w:val="nil"/>
                  </w:tcBorders>
                  <w:shd w:val="clear" w:color="auto" w:fill="auto"/>
                  <w:vAlign w:val="center"/>
                </w:tcPr>
                <w:p w14:paraId="7F7ECD0A">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48742FD2">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7656ECF8">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0858F4D0">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500E4E3">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1F744686">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4E350420">
                  <w:pPr>
                    <w:pStyle w:val="26"/>
                    <w:keepNext w:val="0"/>
                    <w:keepLines w:val="0"/>
                    <w:suppressLineNumbers w:val="0"/>
                    <w:spacing w:before="0" w:beforeAutospacing="0" w:after="0" w:afterAutospacing="0"/>
                    <w:ind w:left="0" w:right="0"/>
                    <w:rPr>
                      <w:rFonts w:hint="default"/>
                    </w:rPr>
                  </w:pPr>
                </w:p>
              </w:tc>
              <w:tc>
                <w:tcPr>
                  <w:tcW w:w="301" w:type="pct"/>
                  <w:tcBorders>
                    <w:tl2br w:val="nil"/>
                    <w:tr2bl w:val="nil"/>
                  </w:tcBorders>
                  <w:shd w:val="clear" w:color="auto" w:fill="auto"/>
                  <w:vAlign w:val="center"/>
                </w:tcPr>
                <w:p w14:paraId="59220EE3">
                  <w:pPr>
                    <w:pStyle w:val="26"/>
                    <w:keepNext w:val="0"/>
                    <w:keepLines w:val="0"/>
                    <w:suppressLineNumbers w:val="0"/>
                    <w:spacing w:before="0" w:beforeAutospacing="0" w:after="0" w:afterAutospacing="0"/>
                    <w:ind w:left="0" w:right="0"/>
                    <w:rPr>
                      <w:rFonts w:hint="default"/>
                    </w:rPr>
                  </w:pPr>
                  <w:r>
                    <w:rPr>
                      <w:rFonts w:hint="default"/>
                    </w:rPr>
                    <w:t>产生速率kg/h</w:t>
                  </w:r>
                </w:p>
              </w:tc>
              <w:tc>
                <w:tcPr>
                  <w:tcW w:w="338" w:type="pct"/>
                  <w:tcBorders>
                    <w:tl2br w:val="nil"/>
                    <w:tr2bl w:val="nil"/>
                  </w:tcBorders>
                  <w:shd w:val="clear" w:color="auto" w:fill="auto"/>
                  <w:vAlign w:val="center"/>
                </w:tcPr>
                <w:p w14:paraId="22FF7420">
                  <w:pPr>
                    <w:pStyle w:val="26"/>
                    <w:keepNext w:val="0"/>
                    <w:keepLines w:val="0"/>
                    <w:suppressLineNumbers w:val="0"/>
                    <w:spacing w:before="0" w:beforeAutospacing="0" w:after="0" w:afterAutospacing="0"/>
                    <w:ind w:left="0" w:right="0"/>
                    <w:rPr>
                      <w:rFonts w:hint="default"/>
                    </w:rPr>
                  </w:pPr>
                  <w:r>
                    <w:rPr>
                      <w:rFonts w:hint="default"/>
                    </w:rPr>
                    <w:t>产生浓度mg/m</w:t>
                  </w:r>
                  <w:r>
                    <w:rPr>
                      <w:rFonts w:hint="default"/>
                      <w:vertAlign w:val="superscript"/>
                    </w:rPr>
                    <w:t>3</w:t>
                  </w:r>
                </w:p>
              </w:tc>
              <w:tc>
                <w:tcPr>
                  <w:tcW w:w="331" w:type="pct"/>
                  <w:tcBorders>
                    <w:tl2br w:val="nil"/>
                    <w:tr2bl w:val="nil"/>
                  </w:tcBorders>
                  <w:shd w:val="clear" w:color="auto" w:fill="auto"/>
                  <w:vAlign w:val="center"/>
                </w:tcPr>
                <w:p w14:paraId="54C95ED4">
                  <w:pPr>
                    <w:pStyle w:val="26"/>
                    <w:keepNext w:val="0"/>
                    <w:keepLines w:val="0"/>
                    <w:suppressLineNumbers w:val="0"/>
                    <w:spacing w:before="0" w:beforeAutospacing="0" w:after="0" w:afterAutospacing="0"/>
                    <w:ind w:left="0" w:right="0"/>
                    <w:rPr>
                      <w:rFonts w:hint="default"/>
                    </w:rPr>
                  </w:pPr>
                  <w:r>
                    <w:rPr>
                      <w:rFonts w:hint="default"/>
                    </w:rPr>
                    <w:t>排放速率kg/h</w:t>
                  </w:r>
                </w:p>
              </w:tc>
              <w:tc>
                <w:tcPr>
                  <w:tcW w:w="305" w:type="pct"/>
                  <w:tcBorders>
                    <w:tl2br w:val="nil"/>
                    <w:tr2bl w:val="nil"/>
                  </w:tcBorders>
                  <w:shd w:val="clear" w:color="auto" w:fill="auto"/>
                  <w:vAlign w:val="center"/>
                </w:tcPr>
                <w:p w14:paraId="489B781F">
                  <w:pPr>
                    <w:pStyle w:val="26"/>
                    <w:keepNext w:val="0"/>
                    <w:keepLines w:val="0"/>
                    <w:suppressLineNumbers w:val="0"/>
                    <w:spacing w:before="0" w:beforeAutospacing="0" w:after="0" w:afterAutospacing="0"/>
                    <w:ind w:left="0" w:right="0"/>
                    <w:rPr>
                      <w:rFonts w:hint="default"/>
                    </w:rPr>
                  </w:pPr>
                  <w:r>
                    <w:rPr>
                      <w:rFonts w:hint="default"/>
                    </w:rPr>
                    <w:t>排放浓度mg/m</w:t>
                  </w:r>
                  <w:r>
                    <w:rPr>
                      <w:rFonts w:hint="default"/>
                      <w:vertAlign w:val="superscript"/>
                    </w:rPr>
                    <w:t>3</w:t>
                  </w:r>
                </w:p>
              </w:tc>
              <w:tc>
                <w:tcPr>
                  <w:tcW w:w="301" w:type="pct"/>
                  <w:vMerge w:val="continue"/>
                  <w:tcBorders>
                    <w:tl2br w:val="nil"/>
                    <w:tr2bl w:val="nil"/>
                  </w:tcBorders>
                  <w:shd w:val="clear" w:color="auto" w:fill="auto"/>
                  <w:vAlign w:val="center"/>
                </w:tcPr>
                <w:p w14:paraId="17C9F980">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vAlign w:val="center"/>
                </w:tcPr>
                <w:p w14:paraId="498654D2">
                  <w:pPr>
                    <w:pStyle w:val="26"/>
                    <w:keepNext w:val="0"/>
                    <w:keepLines w:val="0"/>
                    <w:suppressLineNumbers w:val="0"/>
                    <w:spacing w:before="0" w:beforeAutospacing="0" w:after="0" w:afterAutospacing="0"/>
                    <w:ind w:left="0" w:right="0"/>
                    <w:rPr>
                      <w:rFonts w:hint="default"/>
                    </w:rPr>
                  </w:pPr>
                </w:p>
              </w:tc>
            </w:tr>
            <w:tr w14:paraId="7AC47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restart"/>
                  <w:tcBorders>
                    <w:tl2br w:val="nil"/>
                    <w:tr2bl w:val="nil"/>
                  </w:tcBorders>
                  <w:shd w:val="clear" w:color="auto" w:fill="auto"/>
                  <w:vAlign w:val="center"/>
                </w:tcPr>
                <w:p w14:paraId="796FA5EE">
                  <w:pPr>
                    <w:pStyle w:val="26"/>
                    <w:keepNext w:val="0"/>
                    <w:keepLines w:val="0"/>
                    <w:suppressLineNumbers w:val="0"/>
                    <w:spacing w:before="0" w:beforeAutospacing="0" w:after="0" w:afterAutospacing="0"/>
                    <w:ind w:left="0" w:right="0"/>
                    <w:rPr>
                      <w:rFonts w:hint="default"/>
                    </w:rPr>
                  </w:pPr>
                  <w:r>
                    <w:rPr>
                      <w:rFonts w:hint="default"/>
                    </w:rPr>
                    <w:t>硫磺生产</w:t>
                  </w:r>
                </w:p>
              </w:tc>
              <w:tc>
                <w:tcPr>
                  <w:tcW w:w="616" w:type="pct"/>
                  <w:tcBorders>
                    <w:tl2br w:val="nil"/>
                    <w:tr2bl w:val="nil"/>
                  </w:tcBorders>
                  <w:shd w:val="clear" w:color="auto" w:fill="auto"/>
                  <w:vAlign w:val="center"/>
                </w:tcPr>
                <w:p w14:paraId="78580C45">
                  <w:pPr>
                    <w:pStyle w:val="26"/>
                    <w:keepNext w:val="0"/>
                    <w:keepLines w:val="0"/>
                    <w:suppressLineNumbers w:val="0"/>
                    <w:spacing w:before="0" w:beforeAutospacing="0" w:after="0" w:afterAutospacing="0"/>
                    <w:ind w:left="0" w:right="0"/>
                    <w:rPr>
                      <w:rFonts w:hint="default"/>
                    </w:rPr>
                  </w:pPr>
                  <w:r>
                    <w:rPr>
                      <w:rFonts w:hint="default"/>
                    </w:rPr>
                    <w:t>液硫池沉淀G</w:t>
                  </w:r>
                  <w:r>
                    <w:rPr>
                      <w:rFonts w:hint="default"/>
                      <w:vertAlign w:val="subscript"/>
                    </w:rPr>
                    <w:t>1-1</w:t>
                  </w:r>
                </w:p>
              </w:tc>
              <w:tc>
                <w:tcPr>
                  <w:tcW w:w="400" w:type="pct"/>
                  <w:vMerge w:val="restart"/>
                  <w:tcBorders>
                    <w:tl2br w:val="nil"/>
                    <w:tr2bl w:val="nil"/>
                  </w:tcBorders>
                  <w:shd w:val="clear" w:color="auto" w:fill="auto"/>
                  <w:vAlign w:val="center"/>
                </w:tcPr>
                <w:p w14:paraId="2E093BDB">
                  <w:pPr>
                    <w:pStyle w:val="26"/>
                    <w:keepNext w:val="0"/>
                    <w:keepLines w:val="0"/>
                    <w:suppressLineNumbers w:val="0"/>
                    <w:spacing w:before="0" w:beforeAutospacing="0" w:after="0" w:afterAutospacing="0"/>
                    <w:ind w:left="0" w:right="0"/>
                    <w:rPr>
                      <w:rFonts w:hint="default"/>
                    </w:rPr>
                  </w:pPr>
                  <w:r>
                    <w:rPr>
                      <w:rFonts w:hint="default"/>
                    </w:rPr>
                    <w:t>硫化氢</w:t>
                  </w:r>
                </w:p>
              </w:tc>
              <w:tc>
                <w:tcPr>
                  <w:tcW w:w="273" w:type="pct"/>
                  <w:vMerge w:val="restart"/>
                  <w:tcBorders>
                    <w:tl2br w:val="nil"/>
                    <w:tr2bl w:val="nil"/>
                  </w:tcBorders>
                  <w:shd w:val="clear" w:color="auto" w:fill="auto"/>
                  <w:vAlign w:val="center"/>
                </w:tcPr>
                <w:p w14:paraId="7D3E1DCB">
                  <w:pPr>
                    <w:pStyle w:val="26"/>
                    <w:keepNext w:val="0"/>
                    <w:keepLines w:val="0"/>
                    <w:suppressLineNumbers w:val="0"/>
                    <w:spacing w:before="0" w:beforeAutospacing="0" w:after="0" w:afterAutospacing="0"/>
                    <w:ind w:left="0" w:right="0"/>
                    <w:rPr>
                      <w:rFonts w:hint="default"/>
                    </w:rPr>
                  </w:pPr>
                  <w:r>
                    <w:rPr>
                      <w:rFonts w:hint="default"/>
                    </w:rPr>
                    <w:t>1.503</w:t>
                  </w:r>
                </w:p>
              </w:tc>
              <w:tc>
                <w:tcPr>
                  <w:tcW w:w="290" w:type="pct"/>
                  <w:vMerge w:val="restart"/>
                  <w:tcBorders>
                    <w:tl2br w:val="nil"/>
                    <w:tr2bl w:val="nil"/>
                  </w:tcBorders>
                  <w:shd w:val="clear" w:color="auto" w:fill="auto"/>
                  <w:vAlign w:val="center"/>
                </w:tcPr>
                <w:p w14:paraId="5DC8B5A5">
                  <w:pPr>
                    <w:pStyle w:val="26"/>
                    <w:keepNext w:val="0"/>
                    <w:keepLines w:val="0"/>
                    <w:suppressLineNumbers w:val="0"/>
                    <w:spacing w:before="0" w:beforeAutospacing="0" w:after="0" w:afterAutospacing="0"/>
                    <w:ind w:left="0" w:right="0"/>
                    <w:rPr>
                      <w:rFonts w:hint="default"/>
                    </w:rPr>
                  </w:pPr>
                  <w:r>
                    <w:rPr>
                      <w:rFonts w:hint="default"/>
                    </w:rPr>
                    <w:t>90%</w:t>
                  </w:r>
                </w:p>
              </w:tc>
              <w:tc>
                <w:tcPr>
                  <w:tcW w:w="290" w:type="pct"/>
                  <w:vMerge w:val="restart"/>
                  <w:tcBorders>
                    <w:tl2br w:val="nil"/>
                    <w:tr2bl w:val="nil"/>
                  </w:tcBorders>
                  <w:shd w:val="clear" w:color="auto" w:fill="auto"/>
                  <w:vAlign w:val="center"/>
                </w:tcPr>
                <w:p w14:paraId="08AB9136">
                  <w:pPr>
                    <w:pStyle w:val="26"/>
                    <w:keepNext w:val="0"/>
                    <w:keepLines w:val="0"/>
                    <w:suppressLineNumbers w:val="0"/>
                    <w:spacing w:before="0" w:beforeAutospacing="0" w:after="0" w:afterAutospacing="0"/>
                    <w:ind w:left="0" w:right="0"/>
                    <w:rPr>
                      <w:rFonts w:hint="default"/>
                    </w:rPr>
                  </w:pPr>
                  <w:r>
                    <w:rPr>
                      <w:rFonts w:hint="default"/>
                    </w:rPr>
                    <w:t>60%</w:t>
                  </w:r>
                </w:p>
              </w:tc>
              <w:tc>
                <w:tcPr>
                  <w:tcW w:w="290" w:type="pct"/>
                  <w:vMerge w:val="restart"/>
                  <w:tcBorders>
                    <w:tl2br w:val="nil"/>
                    <w:tr2bl w:val="nil"/>
                  </w:tcBorders>
                  <w:shd w:val="clear" w:color="auto" w:fill="auto"/>
                  <w:vAlign w:val="center"/>
                </w:tcPr>
                <w:p w14:paraId="55ED2D13">
                  <w:pPr>
                    <w:pStyle w:val="26"/>
                    <w:keepNext w:val="0"/>
                    <w:keepLines w:val="0"/>
                    <w:suppressLineNumbers w:val="0"/>
                    <w:spacing w:before="0" w:beforeAutospacing="0" w:after="0" w:afterAutospacing="0"/>
                    <w:ind w:left="0" w:right="0"/>
                    <w:rPr>
                      <w:rFonts w:hint="default"/>
                    </w:rPr>
                  </w:pPr>
                  <w:r>
                    <w:rPr>
                      <w:rFonts w:hint="default"/>
                    </w:rPr>
                    <w:t>DA001</w:t>
                  </w:r>
                </w:p>
              </w:tc>
              <w:tc>
                <w:tcPr>
                  <w:tcW w:w="306" w:type="pct"/>
                  <w:vMerge w:val="restart"/>
                  <w:tcBorders>
                    <w:tl2br w:val="nil"/>
                    <w:tr2bl w:val="nil"/>
                  </w:tcBorders>
                  <w:shd w:val="clear" w:color="auto" w:fill="auto"/>
                  <w:vAlign w:val="center"/>
                </w:tcPr>
                <w:p w14:paraId="275392F1">
                  <w:pPr>
                    <w:pStyle w:val="26"/>
                    <w:keepNext w:val="0"/>
                    <w:keepLines w:val="0"/>
                    <w:suppressLineNumbers w:val="0"/>
                    <w:spacing w:before="0" w:beforeAutospacing="0" w:after="0" w:afterAutospacing="0"/>
                    <w:ind w:left="0" w:right="0"/>
                    <w:rPr>
                      <w:rFonts w:hint="default"/>
                    </w:rPr>
                  </w:pPr>
                  <w:r>
                    <w:rPr>
                      <w:rFonts w:hint="default"/>
                    </w:rPr>
                    <w:t>14000</w:t>
                  </w:r>
                </w:p>
              </w:tc>
              <w:tc>
                <w:tcPr>
                  <w:tcW w:w="290" w:type="pct"/>
                  <w:vMerge w:val="restart"/>
                  <w:tcBorders>
                    <w:tl2br w:val="nil"/>
                    <w:tr2bl w:val="nil"/>
                  </w:tcBorders>
                  <w:shd w:val="clear" w:color="auto" w:fill="auto"/>
                  <w:vAlign w:val="center"/>
                </w:tcPr>
                <w:p w14:paraId="7C14A5DD">
                  <w:pPr>
                    <w:pStyle w:val="26"/>
                    <w:keepNext w:val="0"/>
                    <w:keepLines w:val="0"/>
                    <w:suppressLineNumbers w:val="0"/>
                    <w:spacing w:before="0" w:beforeAutospacing="0" w:after="0" w:afterAutospacing="0"/>
                    <w:ind w:left="0" w:right="0"/>
                    <w:rPr>
                      <w:rFonts w:hint="default"/>
                    </w:rPr>
                  </w:pPr>
                  <w:r>
                    <w:rPr>
                      <w:rFonts w:hint="default"/>
                    </w:rPr>
                    <w:t>1.353</w:t>
                  </w:r>
                </w:p>
              </w:tc>
              <w:tc>
                <w:tcPr>
                  <w:tcW w:w="301" w:type="pct"/>
                  <w:vMerge w:val="restart"/>
                  <w:tcBorders>
                    <w:tl2br w:val="nil"/>
                    <w:tr2bl w:val="nil"/>
                  </w:tcBorders>
                  <w:shd w:val="clear" w:color="auto" w:fill="auto"/>
                  <w:vAlign w:val="center"/>
                </w:tcPr>
                <w:p w14:paraId="79C1790B">
                  <w:pPr>
                    <w:pStyle w:val="26"/>
                    <w:keepNext w:val="0"/>
                    <w:keepLines w:val="0"/>
                    <w:suppressLineNumbers w:val="0"/>
                    <w:spacing w:before="0" w:beforeAutospacing="0" w:after="0" w:afterAutospacing="0"/>
                    <w:ind w:left="0" w:right="0"/>
                    <w:rPr>
                      <w:rFonts w:hint="default"/>
                    </w:rPr>
                  </w:pPr>
                  <w:r>
                    <w:rPr>
                      <w:rFonts w:hint="default"/>
                    </w:rPr>
                    <w:t>0.169</w:t>
                  </w:r>
                </w:p>
              </w:tc>
              <w:tc>
                <w:tcPr>
                  <w:tcW w:w="338" w:type="pct"/>
                  <w:vMerge w:val="restart"/>
                  <w:tcBorders>
                    <w:tl2br w:val="nil"/>
                    <w:tr2bl w:val="nil"/>
                  </w:tcBorders>
                  <w:shd w:val="clear" w:color="auto" w:fill="auto"/>
                  <w:vAlign w:val="center"/>
                </w:tcPr>
                <w:p w14:paraId="661522D4">
                  <w:pPr>
                    <w:pStyle w:val="26"/>
                    <w:keepNext w:val="0"/>
                    <w:keepLines w:val="0"/>
                    <w:suppressLineNumbers w:val="0"/>
                    <w:spacing w:before="0" w:beforeAutospacing="0" w:after="0" w:afterAutospacing="0"/>
                    <w:ind w:left="0" w:right="0"/>
                    <w:rPr>
                      <w:rFonts w:hint="default"/>
                    </w:rPr>
                  </w:pPr>
                  <w:r>
                    <w:rPr>
                      <w:rFonts w:hint="default"/>
                    </w:rPr>
                    <w:t>12</w:t>
                  </w:r>
                </w:p>
              </w:tc>
              <w:tc>
                <w:tcPr>
                  <w:tcW w:w="331" w:type="pct"/>
                  <w:vMerge w:val="restart"/>
                  <w:tcBorders>
                    <w:tl2br w:val="nil"/>
                    <w:tr2bl w:val="nil"/>
                  </w:tcBorders>
                  <w:shd w:val="clear" w:color="auto" w:fill="auto"/>
                  <w:vAlign w:val="center"/>
                </w:tcPr>
                <w:p w14:paraId="5D24C320">
                  <w:pPr>
                    <w:pStyle w:val="26"/>
                    <w:keepNext w:val="0"/>
                    <w:keepLines w:val="0"/>
                    <w:suppressLineNumbers w:val="0"/>
                    <w:spacing w:before="0" w:beforeAutospacing="0" w:after="0" w:afterAutospacing="0"/>
                    <w:ind w:left="0" w:right="0"/>
                    <w:rPr>
                      <w:rFonts w:hint="default"/>
                    </w:rPr>
                  </w:pPr>
                  <w:r>
                    <w:rPr>
                      <w:rFonts w:hint="default"/>
                    </w:rPr>
                    <w:t>0.068</w:t>
                  </w:r>
                </w:p>
              </w:tc>
              <w:tc>
                <w:tcPr>
                  <w:tcW w:w="305" w:type="pct"/>
                  <w:vMerge w:val="restart"/>
                  <w:tcBorders>
                    <w:tl2br w:val="nil"/>
                    <w:tr2bl w:val="nil"/>
                  </w:tcBorders>
                  <w:shd w:val="clear" w:color="auto" w:fill="auto"/>
                  <w:vAlign w:val="center"/>
                </w:tcPr>
                <w:p w14:paraId="556F484A">
                  <w:pPr>
                    <w:pStyle w:val="26"/>
                    <w:keepNext w:val="0"/>
                    <w:keepLines w:val="0"/>
                    <w:suppressLineNumbers w:val="0"/>
                    <w:spacing w:before="0" w:beforeAutospacing="0" w:after="0" w:afterAutospacing="0"/>
                    <w:ind w:left="0" w:right="0"/>
                    <w:rPr>
                      <w:rFonts w:hint="default"/>
                    </w:rPr>
                  </w:pPr>
                  <w:r>
                    <w:rPr>
                      <w:rFonts w:hint="default"/>
                    </w:rPr>
                    <w:t>5</w:t>
                  </w:r>
                </w:p>
              </w:tc>
              <w:tc>
                <w:tcPr>
                  <w:tcW w:w="301" w:type="pct"/>
                  <w:vMerge w:val="restart"/>
                  <w:tcBorders>
                    <w:tl2br w:val="nil"/>
                    <w:tr2bl w:val="nil"/>
                  </w:tcBorders>
                  <w:shd w:val="clear" w:color="auto" w:fill="auto"/>
                  <w:noWrap/>
                  <w:vAlign w:val="center"/>
                </w:tcPr>
                <w:p w14:paraId="0155F316">
                  <w:pPr>
                    <w:pStyle w:val="26"/>
                    <w:keepNext w:val="0"/>
                    <w:keepLines w:val="0"/>
                    <w:suppressLineNumbers w:val="0"/>
                    <w:spacing w:before="0" w:beforeAutospacing="0" w:after="0" w:afterAutospacing="0"/>
                    <w:ind w:left="0" w:right="0"/>
                    <w:rPr>
                      <w:rFonts w:hint="default"/>
                    </w:rPr>
                  </w:pPr>
                  <w:r>
                    <w:rPr>
                      <w:rFonts w:hint="default"/>
                    </w:rPr>
                    <w:t>0.150</w:t>
                  </w:r>
                </w:p>
              </w:tc>
              <w:tc>
                <w:tcPr>
                  <w:tcW w:w="269" w:type="pct"/>
                  <w:vMerge w:val="restart"/>
                  <w:tcBorders>
                    <w:tl2br w:val="nil"/>
                    <w:tr2bl w:val="nil"/>
                  </w:tcBorders>
                  <w:shd w:val="clear" w:color="auto" w:fill="auto"/>
                  <w:noWrap/>
                  <w:vAlign w:val="center"/>
                </w:tcPr>
                <w:p w14:paraId="0C38FD21">
                  <w:pPr>
                    <w:pStyle w:val="26"/>
                    <w:keepNext w:val="0"/>
                    <w:keepLines w:val="0"/>
                    <w:suppressLineNumbers w:val="0"/>
                    <w:spacing w:before="0" w:beforeAutospacing="0" w:after="0" w:afterAutospacing="0"/>
                    <w:ind w:left="0" w:right="0"/>
                    <w:rPr>
                      <w:rFonts w:hint="default"/>
                    </w:rPr>
                  </w:pPr>
                  <w:r>
                    <w:rPr>
                      <w:rFonts w:hint="default"/>
                    </w:rPr>
                    <w:t>0.019</w:t>
                  </w:r>
                </w:p>
              </w:tc>
            </w:tr>
            <w:tr w14:paraId="6A6BB2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tl2br w:val="nil"/>
                    <w:tr2bl w:val="nil"/>
                  </w:tcBorders>
                  <w:shd w:val="clear" w:color="auto" w:fill="auto"/>
                  <w:vAlign w:val="center"/>
                </w:tcPr>
                <w:p w14:paraId="4A6190FF">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3ACD3B07">
                  <w:pPr>
                    <w:pStyle w:val="26"/>
                    <w:keepNext w:val="0"/>
                    <w:keepLines w:val="0"/>
                    <w:suppressLineNumbers w:val="0"/>
                    <w:spacing w:before="0" w:beforeAutospacing="0" w:after="0" w:afterAutospacing="0"/>
                    <w:ind w:left="0" w:right="0"/>
                    <w:rPr>
                      <w:rFonts w:hint="default"/>
                    </w:rPr>
                  </w:pPr>
                  <w:r>
                    <w:rPr>
                      <w:rFonts w:hint="default"/>
                    </w:rPr>
                    <w:t>提纯G</w:t>
                  </w:r>
                  <w:r>
                    <w:rPr>
                      <w:rFonts w:hint="default"/>
                      <w:vertAlign w:val="subscript"/>
                    </w:rPr>
                    <w:t>1-2</w:t>
                  </w:r>
                </w:p>
              </w:tc>
              <w:tc>
                <w:tcPr>
                  <w:tcW w:w="400" w:type="pct"/>
                  <w:vMerge w:val="continue"/>
                  <w:tcBorders>
                    <w:tl2br w:val="nil"/>
                    <w:tr2bl w:val="nil"/>
                  </w:tcBorders>
                  <w:shd w:val="clear" w:color="auto" w:fill="auto"/>
                  <w:vAlign w:val="center"/>
                </w:tcPr>
                <w:p w14:paraId="0F9135D8">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3A8F800B">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4C25514">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14D62847">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6266AA69">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27C57F61">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246A0299">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vAlign w:val="center"/>
                </w:tcPr>
                <w:p w14:paraId="1CD92455">
                  <w:pPr>
                    <w:pStyle w:val="26"/>
                    <w:keepNext w:val="0"/>
                    <w:keepLines w:val="0"/>
                    <w:suppressLineNumbers w:val="0"/>
                    <w:spacing w:before="0" w:beforeAutospacing="0" w:after="0" w:afterAutospacing="0"/>
                    <w:ind w:left="0" w:right="0"/>
                    <w:rPr>
                      <w:rFonts w:hint="default"/>
                    </w:rPr>
                  </w:pPr>
                </w:p>
              </w:tc>
              <w:tc>
                <w:tcPr>
                  <w:tcW w:w="338" w:type="pct"/>
                  <w:vMerge w:val="continue"/>
                  <w:tcBorders>
                    <w:tl2br w:val="nil"/>
                    <w:tr2bl w:val="nil"/>
                  </w:tcBorders>
                  <w:shd w:val="clear" w:color="auto" w:fill="auto"/>
                  <w:vAlign w:val="center"/>
                </w:tcPr>
                <w:p w14:paraId="7EA76C4D">
                  <w:pPr>
                    <w:pStyle w:val="26"/>
                    <w:keepNext w:val="0"/>
                    <w:keepLines w:val="0"/>
                    <w:suppressLineNumbers w:val="0"/>
                    <w:spacing w:before="0" w:beforeAutospacing="0" w:after="0" w:afterAutospacing="0"/>
                    <w:ind w:left="0" w:right="0"/>
                    <w:rPr>
                      <w:rFonts w:hint="default"/>
                    </w:rPr>
                  </w:pPr>
                </w:p>
              </w:tc>
              <w:tc>
                <w:tcPr>
                  <w:tcW w:w="331" w:type="pct"/>
                  <w:vMerge w:val="continue"/>
                  <w:tcBorders>
                    <w:tl2br w:val="nil"/>
                    <w:tr2bl w:val="nil"/>
                  </w:tcBorders>
                  <w:shd w:val="clear" w:color="auto" w:fill="auto"/>
                  <w:vAlign w:val="center"/>
                </w:tcPr>
                <w:p w14:paraId="211AF5CD">
                  <w:pPr>
                    <w:pStyle w:val="26"/>
                    <w:keepNext w:val="0"/>
                    <w:keepLines w:val="0"/>
                    <w:suppressLineNumbers w:val="0"/>
                    <w:spacing w:before="0" w:beforeAutospacing="0" w:after="0" w:afterAutospacing="0"/>
                    <w:ind w:left="0" w:right="0"/>
                    <w:rPr>
                      <w:rFonts w:hint="default"/>
                    </w:rPr>
                  </w:pPr>
                </w:p>
              </w:tc>
              <w:tc>
                <w:tcPr>
                  <w:tcW w:w="305" w:type="pct"/>
                  <w:vMerge w:val="continue"/>
                  <w:tcBorders>
                    <w:tl2br w:val="nil"/>
                    <w:tr2bl w:val="nil"/>
                  </w:tcBorders>
                  <w:shd w:val="clear" w:color="auto" w:fill="auto"/>
                  <w:vAlign w:val="center"/>
                </w:tcPr>
                <w:p w14:paraId="1307CEDD">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noWrap/>
                  <w:vAlign w:val="center"/>
                </w:tcPr>
                <w:p w14:paraId="2CA928A1">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noWrap/>
                  <w:vAlign w:val="center"/>
                </w:tcPr>
                <w:p w14:paraId="47E1AFDA">
                  <w:pPr>
                    <w:pStyle w:val="26"/>
                    <w:keepNext w:val="0"/>
                    <w:keepLines w:val="0"/>
                    <w:suppressLineNumbers w:val="0"/>
                    <w:spacing w:before="0" w:beforeAutospacing="0" w:after="0" w:afterAutospacing="0"/>
                    <w:ind w:left="0" w:right="0"/>
                    <w:rPr>
                      <w:rFonts w:hint="default"/>
                    </w:rPr>
                  </w:pPr>
                </w:p>
              </w:tc>
            </w:tr>
            <w:tr w14:paraId="6DD92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tl2br w:val="nil"/>
                    <w:tr2bl w:val="nil"/>
                  </w:tcBorders>
                  <w:shd w:val="clear" w:color="auto" w:fill="auto"/>
                  <w:vAlign w:val="center"/>
                </w:tcPr>
                <w:p w14:paraId="0C1AC880">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29A9A0F4">
                  <w:pPr>
                    <w:pStyle w:val="26"/>
                    <w:keepNext w:val="0"/>
                    <w:keepLines w:val="0"/>
                    <w:suppressLineNumbers w:val="0"/>
                    <w:spacing w:before="0" w:beforeAutospacing="0" w:after="0" w:afterAutospacing="0"/>
                    <w:ind w:left="0" w:right="0"/>
                    <w:rPr>
                      <w:rFonts w:hint="default"/>
                    </w:rPr>
                  </w:pPr>
                  <w:r>
                    <w:rPr>
                      <w:rFonts w:hint="default"/>
                    </w:rPr>
                    <w:t>滚筒造粒G</w:t>
                  </w:r>
                  <w:r>
                    <w:rPr>
                      <w:rFonts w:hint="default"/>
                      <w:vertAlign w:val="subscript"/>
                    </w:rPr>
                    <w:t>1-3</w:t>
                  </w:r>
                </w:p>
              </w:tc>
              <w:tc>
                <w:tcPr>
                  <w:tcW w:w="400" w:type="pct"/>
                  <w:vMerge w:val="continue"/>
                  <w:tcBorders>
                    <w:tl2br w:val="nil"/>
                    <w:tr2bl w:val="nil"/>
                  </w:tcBorders>
                  <w:shd w:val="clear" w:color="auto" w:fill="auto"/>
                  <w:vAlign w:val="center"/>
                </w:tcPr>
                <w:p w14:paraId="0E34C6F7">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7A3BDAD3">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5FC8BA12">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208D3DCD">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4A36CDD1">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05D3346D">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DF47448">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vAlign w:val="center"/>
                </w:tcPr>
                <w:p w14:paraId="13800D28">
                  <w:pPr>
                    <w:pStyle w:val="26"/>
                    <w:keepNext w:val="0"/>
                    <w:keepLines w:val="0"/>
                    <w:suppressLineNumbers w:val="0"/>
                    <w:spacing w:before="0" w:beforeAutospacing="0" w:after="0" w:afterAutospacing="0"/>
                    <w:ind w:left="0" w:right="0"/>
                    <w:rPr>
                      <w:rFonts w:hint="default"/>
                    </w:rPr>
                  </w:pPr>
                </w:p>
              </w:tc>
              <w:tc>
                <w:tcPr>
                  <w:tcW w:w="338" w:type="pct"/>
                  <w:vMerge w:val="continue"/>
                  <w:tcBorders>
                    <w:tl2br w:val="nil"/>
                    <w:tr2bl w:val="nil"/>
                  </w:tcBorders>
                  <w:shd w:val="clear" w:color="auto" w:fill="auto"/>
                  <w:vAlign w:val="center"/>
                </w:tcPr>
                <w:p w14:paraId="3C4EBA45">
                  <w:pPr>
                    <w:pStyle w:val="26"/>
                    <w:keepNext w:val="0"/>
                    <w:keepLines w:val="0"/>
                    <w:suppressLineNumbers w:val="0"/>
                    <w:spacing w:before="0" w:beforeAutospacing="0" w:after="0" w:afterAutospacing="0"/>
                    <w:ind w:left="0" w:right="0"/>
                    <w:rPr>
                      <w:rFonts w:hint="default"/>
                    </w:rPr>
                  </w:pPr>
                </w:p>
              </w:tc>
              <w:tc>
                <w:tcPr>
                  <w:tcW w:w="331" w:type="pct"/>
                  <w:vMerge w:val="continue"/>
                  <w:tcBorders>
                    <w:tl2br w:val="nil"/>
                    <w:tr2bl w:val="nil"/>
                  </w:tcBorders>
                  <w:shd w:val="clear" w:color="auto" w:fill="auto"/>
                  <w:vAlign w:val="center"/>
                </w:tcPr>
                <w:p w14:paraId="21A5CF2D">
                  <w:pPr>
                    <w:pStyle w:val="26"/>
                    <w:keepNext w:val="0"/>
                    <w:keepLines w:val="0"/>
                    <w:suppressLineNumbers w:val="0"/>
                    <w:spacing w:before="0" w:beforeAutospacing="0" w:after="0" w:afterAutospacing="0"/>
                    <w:ind w:left="0" w:right="0"/>
                    <w:rPr>
                      <w:rFonts w:hint="default"/>
                    </w:rPr>
                  </w:pPr>
                </w:p>
              </w:tc>
              <w:tc>
                <w:tcPr>
                  <w:tcW w:w="305" w:type="pct"/>
                  <w:vMerge w:val="continue"/>
                  <w:tcBorders>
                    <w:tl2br w:val="nil"/>
                    <w:tr2bl w:val="nil"/>
                  </w:tcBorders>
                  <w:shd w:val="clear" w:color="auto" w:fill="auto"/>
                  <w:vAlign w:val="center"/>
                </w:tcPr>
                <w:p w14:paraId="3671729B">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noWrap/>
                  <w:vAlign w:val="center"/>
                </w:tcPr>
                <w:p w14:paraId="5DF69991">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noWrap/>
                  <w:vAlign w:val="center"/>
                </w:tcPr>
                <w:p w14:paraId="7763589E">
                  <w:pPr>
                    <w:pStyle w:val="26"/>
                    <w:keepNext w:val="0"/>
                    <w:keepLines w:val="0"/>
                    <w:suppressLineNumbers w:val="0"/>
                    <w:spacing w:before="0" w:beforeAutospacing="0" w:after="0" w:afterAutospacing="0"/>
                    <w:ind w:left="0" w:right="0"/>
                    <w:rPr>
                      <w:rFonts w:hint="default"/>
                    </w:rPr>
                  </w:pPr>
                </w:p>
              </w:tc>
            </w:tr>
            <w:tr w14:paraId="6C3D90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tl2br w:val="nil"/>
                    <w:tr2bl w:val="nil"/>
                  </w:tcBorders>
                  <w:shd w:val="clear" w:color="auto" w:fill="auto"/>
                  <w:vAlign w:val="center"/>
                </w:tcPr>
                <w:p w14:paraId="101853C9">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7C2793AB">
                  <w:pPr>
                    <w:pStyle w:val="26"/>
                    <w:keepNext w:val="0"/>
                    <w:keepLines w:val="0"/>
                    <w:suppressLineNumbers w:val="0"/>
                    <w:spacing w:before="0" w:beforeAutospacing="0" w:after="0" w:afterAutospacing="0"/>
                    <w:ind w:left="0" w:right="0"/>
                    <w:rPr>
                      <w:rFonts w:hint="default"/>
                    </w:rPr>
                  </w:pPr>
                  <w:r>
                    <w:rPr>
                      <w:rFonts w:hint="default"/>
                    </w:rPr>
                    <w:t>刮片G</w:t>
                  </w:r>
                  <w:r>
                    <w:rPr>
                      <w:rFonts w:hint="default"/>
                      <w:vertAlign w:val="subscript"/>
                    </w:rPr>
                    <w:t>1-4</w:t>
                  </w:r>
                </w:p>
              </w:tc>
              <w:tc>
                <w:tcPr>
                  <w:tcW w:w="400" w:type="pct"/>
                  <w:vMerge w:val="continue"/>
                  <w:tcBorders>
                    <w:tl2br w:val="nil"/>
                    <w:tr2bl w:val="nil"/>
                  </w:tcBorders>
                  <w:shd w:val="clear" w:color="auto" w:fill="auto"/>
                  <w:vAlign w:val="center"/>
                </w:tcPr>
                <w:p w14:paraId="57933FCA">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50089ECE">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0F139EEB">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2D0C672A">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0ECAA97B">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09146AF7">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76A05304">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vAlign w:val="center"/>
                </w:tcPr>
                <w:p w14:paraId="6EB24B54">
                  <w:pPr>
                    <w:pStyle w:val="26"/>
                    <w:keepNext w:val="0"/>
                    <w:keepLines w:val="0"/>
                    <w:suppressLineNumbers w:val="0"/>
                    <w:spacing w:before="0" w:beforeAutospacing="0" w:after="0" w:afterAutospacing="0"/>
                    <w:ind w:left="0" w:right="0"/>
                    <w:rPr>
                      <w:rFonts w:hint="default"/>
                    </w:rPr>
                  </w:pPr>
                </w:p>
              </w:tc>
              <w:tc>
                <w:tcPr>
                  <w:tcW w:w="338" w:type="pct"/>
                  <w:vMerge w:val="continue"/>
                  <w:tcBorders>
                    <w:tl2br w:val="nil"/>
                    <w:tr2bl w:val="nil"/>
                  </w:tcBorders>
                  <w:shd w:val="clear" w:color="auto" w:fill="auto"/>
                  <w:vAlign w:val="center"/>
                </w:tcPr>
                <w:p w14:paraId="3306F168">
                  <w:pPr>
                    <w:pStyle w:val="26"/>
                    <w:keepNext w:val="0"/>
                    <w:keepLines w:val="0"/>
                    <w:suppressLineNumbers w:val="0"/>
                    <w:spacing w:before="0" w:beforeAutospacing="0" w:after="0" w:afterAutospacing="0"/>
                    <w:ind w:left="0" w:right="0"/>
                    <w:rPr>
                      <w:rFonts w:hint="default"/>
                    </w:rPr>
                  </w:pPr>
                </w:p>
              </w:tc>
              <w:tc>
                <w:tcPr>
                  <w:tcW w:w="331" w:type="pct"/>
                  <w:vMerge w:val="continue"/>
                  <w:tcBorders>
                    <w:tl2br w:val="nil"/>
                    <w:tr2bl w:val="nil"/>
                  </w:tcBorders>
                  <w:shd w:val="clear" w:color="auto" w:fill="auto"/>
                  <w:vAlign w:val="center"/>
                </w:tcPr>
                <w:p w14:paraId="27EA7641">
                  <w:pPr>
                    <w:pStyle w:val="26"/>
                    <w:keepNext w:val="0"/>
                    <w:keepLines w:val="0"/>
                    <w:suppressLineNumbers w:val="0"/>
                    <w:spacing w:before="0" w:beforeAutospacing="0" w:after="0" w:afterAutospacing="0"/>
                    <w:ind w:left="0" w:right="0"/>
                    <w:rPr>
                      <w:rFonts w:hint="default"/>
                    </w:rPr>
                  </w:pPr>
                </w:p>
              </w:tc>
              <w:tc>
                <w:tcPr>
                  <w:tcW w:w="305" w:type="pct"/>
                  <w:vMerge w:val="continue"/>
                  <w:tcBorders>
                    <w:tl2br w:val="nil"/>
                    <w:tr2bl w:val="nil"/>
                  </w:tcBorders>
                  <w:shd w:val="clear" w:color="auto" w:fill="auto"/>
                  <w:vAlign w:val="center"/>
                </w:tcPr>
                <w:p w14:paraId="1CB4B77E">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noWrap/>
                  <w:vAlign w:val="center"/>
                </w:tcPr>
                <w:p w14:paraId="7D15BEC1">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noWrap/>
                  <w:vAlign w:val="center"/>
                </w:tcPr>
                <w:p w14:paraId="1D58A49B">
                  <w:pPr>
                    <w:pStyle w:val="26"/>
                    <w:keepNext w:val="0"/>
                    <w:keepLines w:val="0"/>
                    <w:suppressLineNumbers w:val="0"/>
                    <w:spacing w:before="0" w:beforeAutospacing="0" w:after="0" w:afterAutospacing="0"/>
                    <w:ind w:left="0" w:right="0"/>
                    <w:rPr>
                      <w:rFonts w:hint="default"/>
                    </w:rPr>
                  </w:pPr>
                </w:p>
              </w:tc>
            </w:tr>
            <w:tr w14:paraId="150881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00" w:type="pct"/>
                  <w:vMerge w:val="continue"/>
                  <w:tcBorders>
                    <w:tl2br w:val="nil"/>
                    <w:tr2bl w:val="nil"/>
                  </w:tcBorders>
                  <w:shd w:val="clear" w:color="auto" w:fill="auto"/>
                  <w:vAlign w:val="center"/>
                </w:tcPr>
                <w:p w14:paraId="5817091A">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23CAAB63">
                  <w:pPr>
                    <w:pStyle w:val="26"/>
                    <w:keepNext w:val="0"/>
                    <w:keepLines w:val="0"/>
                    <w:suppressLineNumbers w:val="0"/>
                    <w:spacing w:before="0" w:beforeAutospacing="0" w:after="0" w:afterAutospacing="0"/>
                    <w:ind w:left="0" w:right="0"/>
                    <w:rPr>
                      <w:rFonts w:hint="default"/>
                    </w:rPr>
                  </w:pPr>
                  <w:r>
                    <w:rPr>
                      <w:rFonts w:hint="default"/>
                    </w:rPr>
                    <w:t>湿法造粒G</w:t>
                  </w:r>
                  <w:r>
                    <w:rPr>
                      <w:rFonts w:hint="default"/>
                      <w:vertAlign w:val="subscript"/>
                    </w:rPr>
                    <w:t>1-5</w:t>
                  </w:r>
                </w:p>
              </w:tc>
              <w:tc>
                <w:tcPr>
                  <w:tcW w:w="400" w:type="pct"/>
                  <w:vMerge w:val="continue"/>
                  <w:tcBorders>
                    <w:tl2br w:val="nil"/>
                    <w:tr2bl w:val="nil"/>
                  </w:tcBorders>
                  <w:shd w:val="clear" w:color="auto" w:fill="auto"/>
                  <w:vAlign w:val="center"/>
                </w:tcPr>
                <w:p w14:paraId="0B074F18">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26BAC25D">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0A58339A">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6AA27E43">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4F595470">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3892F414">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BECABE7">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vAlign w:val="center"/>
                </w:tcPr>
                <w:p w14:paraId="4FE7B4A6">
                  <w:pPr>
                    <w:pStyle w:val="26"/>
                    <w:keepNext w:val="0"/>
                    <w:keepLines w:val="0"/>
                    <w:suppressLineNumbers w:val="0"/>
                    <w:spacing w:before="0" w:beforeAutospacing="0" w:after="0" w:afterAutospacing="0"/>
                    <w:ind w:left="0" w:right="0"/>
                    <w:rPr>
                      <w:rFonts w:hint="default"/>
                    </w:rPr>
                  </w:pPr>
                </w:p>
              </w:tc>
              <w:tc>
                <w:tcPr>
                  <w:tcW w:w="338" w:type="pct"/>
                  <w:vMerge w:val="continue"/>
                  <w:tcBorders>
                    <w:tl2br w:val="nil"/>
                    <w:tr2bl w:val="nil"/>
                  </w:tcBorders>
                  <w:shd w:val="clear" w:color="auto" w:fill="auto"/>
                  <w:vAlign w:val="center"/>
                </w:tcPr>
                <w:p w14:paraId="2F7D9900">
                  <w:pPr>
                    <w:pStyle w:val="26"/>
                    <w:keepNext w:val="0"/>
                    <w:keepLines w:val="0"/>
                    <w:suppressLineNumbers w:val="0"/>
                    <w:spacing w:before="0" w:beforeAutospacing="0" w:after="0" w:afterAutospacing="0"/>
                    <w:ind w:left="0" w:right="0"/>
                    <w:rPr>
                      <w:rFonts w:hint="default"/>
                    </w:rPr>
                  </w:pPr>
                </w:p>
              </w:tc>
              <w:tc>
                <w:tcPr>
                  <w:tcW w:w="331" w:type="pct"/>
                  <w:vMerge w:val="continue"/>
                  <w:tcBorders>
                    <w:tl2br w:val="nil"/>
                    <w:tr2bl w:val="nil"/>
                  </w:tcBorders>
                  <w:shd w:val="clear" w:color="auto" w:fill="auto"/>
                  <w:vAlign w:val="center"/>
                </w:tcPr>
                <w:p w14:paraId="2028F0ED">
                  <w:pPr>
                    <w:pStyle w:val="26"/>
                    <w:keepNext w:val="0"/>
                    <w:keepLines w:val="0"/>
                    <w:suppressLineNumbers w:val="0"/>
                    <w:spacing w:before="0" w:beforeAutospacing="0" w:after="0" w:afterAutospacing="0"/>
                    <w:ind w:left="0" w:right="0"/>
                    <w:rPr>
                      <w:rFonts w:hint="default"/>
                    </w:rPr>
                  </w:pPr>
                </w:p>
              </w:tc>
              <w:tc>
                <w:tcPr>
                  <w:tcW w:w="305" w:type="pct"/>
                  <w:vMerge w:val="continue"/>
                  <w:tcBorders>
                    <w:tl2br w:val="nil"/>
                    <w:tr2bl w:val="nil"/>
                  </w:tcBorders>
                  <w:shd w:val="clear" w:color="auto" w:fill="auto"/>
                  <w:vAlign w:val="center"/>
                </w:tcPr>
                <w:p w14:paraId="6496E4C8">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noWrap/>
                  <w:vAlign w:val="center"/>
                </w:tcPr>
                <w:p w14:paraId="38F5679D">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noWrap/>
                  <w:vAlign w:val="center"/>
                </w:tcPr>
                <w:p w14:paraId="42C4ECD6">
                  <w:pPr>
                    <w:pStyle w:val="26"/>
                    <w:keepNext w:val="0"/>
                    <w:keepLines w:val="0"/>
                    <w:suppressLineNumbers w:val="0"/>
                    <w:spacing w:before="0" w:beforeAutospacing="0" w:after="0" w:afterAutospacing="0"/>
                    <w:ind w:left="0" w:right="0"/>
                    <w:rPr>
                      <w:rFonts w:hint="default"/>
                    </w:rPr>
                  </w:pPr>
                </w:p>
              </w:tc>
            </w:tr>
            <w:tr w14:paraId="18711C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00" w:type="pct"/>
                  <w:vMerge w:val="continue"/>
                  <w:tcBorders>
                    <w:tl2br w:val="nil"/>
                    <w:tr2bl w:val="nil"/>
                  </w:tcBorders>
                  <w:shd w:val="clear" w:color="auto" w:fill="auto"/>
                  <w:vAlign w:val="center"/>
                </w:tcPr>
                <w:p w14:paraId="7E97C7E6">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505E7466">
                  <w:pPr>
                    <w:pStyle w:val="26"/>
                    <w:keepNext w:val="0"/>
                    <w:keepLines w:val="0"/>
                    <w:suppressLineNumbers w:val="0"/>
                    <w:spacing w:before="0" w:beforeAutospacing="0" w:after="0" w:afterAutospacing="0"/>
                    <w:ind w:left="0" w:right="0"/>
                    <w:rPr>
                      <w:rFonts w:hint="default"/>
                    </w:rPr>
                  </w:pPr>
                  <w:r>
                    <w:rPr>
                      <w:rFonts w:hint="default"/>
                    </w:rPr>
                    <w:t>滚筒造粒G</w:t>
                  </w:r>
                  <w:r>
                    <w:rPr>
                      <w:rFonts w:hint="default"/>
                      <w:vertAlign w:val="subscript"/>
                    </w:rPr>
                    <w:t>1-3</w:t>
                  </w:r>
                </w:p>
              </w:tc>
              <w:tc>
                <w:tcPr>
                  <w:tcW w:w="400" w:type="pct"/>
                  <w:vMerge w:val="restart"/>
                  <w:tcBorders>
                    <w:tl2br w:val="nil"/>
                    <w:tr2bl w:val="nil"/>
                  </w:tcBorders>
                  <w:shd w:val="clear" w:color="auto" w:fill="auto"/>
                  <w:vAlign w:val="center"/>
                </w:tcPr>
                <w:p w14:paraId="75C7F1BA">
                  <w:pPr>
                    <w:pStyle w:val="26"/>
                    <w:keepNext w:val="0"/>
                    <w:keepLines w:val="0"/>
                    <w:suppressLineNumbers w:val="0"/>
                    <w:spacing w:before="0" w:beforeAutospacing="0" w:after="0" w:afterAutospacing="0"/>
                    <w:ind w:left="0" w:right="0"/>
                    <w:rPr>
                      <w:rFonts w:hint="default"/>
                    </w:rPr>
                  </w:pPr>
                  <w:r>
                    <w:rPr>
                      <w:rFonts w:hint="default"/>
                    </w:rPr>
                    <w:t>颗粒物</w:t>
                  </w:r>
                </w:p>
              </w:tc>
              <w:tc>
                <w:tcPr>
                  <w:tcW w:w="273" w:type="pct"/>
                  <w:vMerge w:val="restart"/>
                  <w:tcBorders>
                    <w:tl2br w:val="nil"/>
                    <w:tr2bl w:val="nil"/>
                  </w:tcBorders>
                  <w:shd w:val="clear" w:color="auto" w:fill="auto"/>
                  <w:vAlign w:val="center"/>
                </w:tcPr>
                <w:p w14:paraId="441528AD">
                  <w:pPr>
                    <w:pStyle w:val="26"/>
                    <w:keepNext w:val="0"/>
                    <w:keepLines w:val="0"/>
                    <w:suppressLineNumbers w:val="0"/>
                    <w:spacing w:before="0" w:beforeAutospacing="0" w:after="0" w:afterAutospacing="0"/>
                    <w:ind w:left="0" w:right="0"/>
                    <w:rPr>
                      <w:rFonts w:hint="default"/>
                    </w:rPr>
                  </w:pPr>
                  <w:r>
                    <w:rPr>
                      <w:rFonts w:hint="default"/>
                    </w:rPr>
                    <w:t>16.8</w:t>
                  </w:r>
                </w:p>
              </w:tc>
              <w:tc>
                <w:tcPr>
                  <w:tcW w:w="290" w:type="pct"/>
                  <w:vMerge w:val="restart"/>
                  <w:tcBorders>
                    <w:tl2br w:val="nil"/>
                    <w:tr2bl w:val="nil"/>
                  </w:tcBorders>
                  <w:shd w:val="clear" w:color="auto" w:fill="auto"/>
                  <w:vAlign w:val="center"/>
                </w:tcPr>
                <w:p w14:paraId="623978E2">
                  <w:pPr>
                    <w:pStyle w:val="26"/>
                    <w:keepNext w:val="0"/>
                    <w:keepLines w:val="0"/>
                    <w:suppressLineNumbers w:val="0"/>
                    <w:spacing w:before="0" w:beforeAutospacing="0" w:after="0" w:afterAutospacing="0"/>
                    <w:ind w:left="0" w:right="0"/>
                    <w:rPr>
                      <w:rFonts w:hint="default"/>
                    </w:rPr>
                  </w:pPr>
                  <w:r>
                    <w:rPr>
                      <w:rFonts w:hint="default"/>
                    </w:rPr>
                    <w:t>90%</w:t>
                  </w:r>
                </w:p>
              </w:tc>
              <w:tc>
                <w:tcPr>
                  <w:tcW w:w="290" w:type="pct"/>
                  <w:vMerge w:val="restart"/>
                  <w:tcBorders>
                    <w:tl2br w:val="nil"/>
                    <w:tr2bl w:val="nil"/>
                  </w:tcBorders>
                  <w:shd w:val="clear" w:color="auto" w:fill="auto"/>
                  <w:vAlign w:val="center"/>
                </w:tcPr>
                <w:p w14:paraId="083765C7">
                  <w:pPr>
                    <w:pStyle w:val="26"/>
                    <w:keepNext w:val="0"/>
                    <w:keepLines w:val="0"/>
                    <w:suppressLineNumbers w:val="0"/>
                    <w:spacing w:before="0" w:beforeAutospacing="0" w:after="0" w:afterAutospacing="0"/>
                    <w:ind w:left="0" w:right="0"/>
                    <w:rPr>
                      <w:rFonts w:hint="default"/>
                    </w:rPr>
                  </w:pPr>
                  <w:r>
                    <w:rPr>
                      <w:rFonts w:hint="default"/>
                    </w:rPr>
                    <w:t>90%</w:t>
                  </w:r>
                </w:p>
              </w:tc>
              <w:tc>
                <w:tcPr>
                  <w:tcW w:w="290" w:type="pct"/>
                  <w:vMerge w:val="continue"/>
                  <w:tcBorders>
                    <w:tl2br w:val="nil"/>
                    <w:tr2bl w:val="nil"/>
                  </w:tcBorders>
                  <w:shd w:val="clear" w:color="auto" w:fill="auto"/>
                  <w:vAlign w:val="center"/>
                </w:tcPr>
                <w:p w14:paraId="1EA1DD9C">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3BAFF1D3">
                  <w:pPr>
                    <w:pStyle w:val="26"/>
                    <w:keepNext w:val="0"/>
                    <w:keepLines w:val="0"/>
                    <w:suppressLineNumbers w:val="0"/>
                    <w:spacing w:before="0" w:beforeAutospacing="0" w:after="0" w:afterAutospacing="0"/>
                    <w:ind w:left="0" w:right="0"/>
                    <w:rPr>
                      <w:rFonts w:hint="default"/>
                    </w:rPr>
                  </w:pPr>
                </w:p>
              </w:tc>
              <w:tc>
                <w:tcPr>
                  <w:tcW w:w="290" w:type="pct"/>
                  <w:vMerge w:val="restart"/>
                  <w:tcBorders>
                    <w:tl2br w:val="nil"/>
                    <w:tr2bl w:val="nil"/>
                  </w:tcBorders>
                  <w:shd w:val="clear" w:color="auto" w:fill="auto"/>
                  <w:vAlign w:val="center"/>
                </w:tcPr>
                <w:p w14:paraId="5AEDD4B5">
                  <w:pPr>
                    <w:pStyle w:val="26"/>
                    <w:keepNext w:val="0"/>
                    <w:keepLines w:val="0"/>
                    <w:suppressLineNumbers w:val="0"/>
                    <w:spacing w:before="0" w:beforeAutospacing="0" w:after="0" w:afterAutospacing="0"/>
                    <w:ind w:left="0" w:right="0"/>
                    <w:rPr>
                      <w:rFonts w:hint="default"/>
                    </w:rPr>
                  </w:pPr>
                  <w:r>
                    <w:rPr>
                      <w:rFonts w:hint="default"/>
                    </w:rPr>
                    <w:t>15.12</w:t>
                  </w:r>
                </w:p>
              </w:tc>
              <w:tc>
                <w:tcPr>
                  <w:tcW w:w="301" w:type="pct"/>
                  <w:vMerge w:val="restart"/>
                  <w:tcBorders>
                    <w:tl2br w:val="nil"/>
                    <w:tr2bl w:val="nil"/>
                  </w:tcBorders>
                  <w:shd w:val="clear" w:color="auto" w:fill="auto"/>
                  <w:vAlign w:val="center"/>
                </w:tcPr>
                <w:p w14:paraId="0C55D981">
                  <w:pPr>
                    <w:pStyle w:val="26"/>
                    <w:keepNext w:val="0"/>
                    <w:keepLines w:val="0"/>
                    <w:suppressLineNumbers w:val="0"/>
                    <w:spacing w:before="0" w:beforeAutospacing="0" w:after="0" w:afterAutospacing="0"/>
                    <w:ind w:left="0" w:right="0"/>
                    <w:rPr>
                      <w:rFonts w:hint="default"/>
                    </w:rPr>
                  </w:pPr>
                  <w:r>
                    <w:rPr>
                      <w:rFonts w:hint="default"/>
                    </w:rPr>
                    <w:t>1.89</w:t>
                  </w:r>
                </w:p>
              </w:tc>
              <w:tc>
                <w:tcPr>
                  <w:tcW w:w="338" w:type="pct"/>
                  <w:vMerge w:val="restart"/>
                  <w:tcBorders>
                    <w:tl2br w:val="nil"/>
                    <w:tr2bl w:val="nil"/>
                  </w:tcBorders>
                  <w:shd w:val="clear" w:color="auto" w:fill="auto"/>
                  <w:vAlign w:val="center"/>
                </w:tcPr>
                <w:p w14:paraId="5B7D3788">
                  <w:pPr>
                    <w:pStyle w:val="26"/>
                    <w:keepNext w:val="0"/>
                    <w:keepLines w:val="0"/>
                    <w:suppressLineNumbers w:val="0"/>
                    <w:spacing w:before="0" w:beforeAutospacing="0" w:after="0" w:afterAutospacing="0"/>
                    <w:ind w:left="0" w:right="0"/>
                    <w:rPr>
                      <w:rFonts w:hint="default"/>
                    </w:rPr>
                  </w:pPr>
                  <w:r>
                    <w:rPr>
                      <w:rFonts w:hint="default"/>
                    </w:rPr>
                    <w:t>135</w:t>
                  </w:r>
                </w:p>
              </w:tc>
              <w:tc>
                <w:tcPr>
                  <w:tcW w:w="331" w:type="pct"/>
                  <w:vMerge w:val="restart"/>
                  <w:tcBorders>
                    <w:tl2br w:val="nil"/>
                    <w:tr2bl w:val="nil"/>
                  </w:tcBorders>
                  <w:shd w:val="clear" w:color="auto" w:fill="auto"/>
                  <w:vAlign w:val="center"/>
                </w:tcPr>
                <w:p w14:paraId="219EBD00">
                  <w:pPr>
                    <w:pStyle w:val="26"/>
                    <w:keepNext w:val="0"/>
                    <w:keepLines w:val="0"/>
                    <w:suppressLineNumbers w:val="0"/>
                    <w:spacing w:before="0" w:beforeAutospacing="0" w:after="0" w:afterAutospacing="0"/>
                    <w:ind w:left="0" w:right="0"/>
                    <w:rPr>
                      <w:rFonts w:hint="default"/>
                    </w:rPr>
                  </w:pPr>
                  <w:r>
                    <w:rPr>
                      <w:rFonts w:hint="default"/>
                    </w:rPr>
                    <w:t>0.189</w:t>
                  </w:r>
                </w:p>
              </w:tc>
              <w:tc>
                <w:tcPr>
                  <w:tcW w:w="305" w:type="pct"/>
                  <w:vMerge w:val="restart"/>
                  <w:tcBorders>
                    <w:tl2br w:val="nil"/>
                    <w:tr2bl w:val="nil"/>
                  </w:tcBorders>
                  <w:shd w:val="clear" w:color="auto" w:fill="auto"/>
                  <w:vAlign w:val="center"/>
                </w:tcPr>
                <w:p w14:paraId="5F139372">
                  <w:pPr>
                    <w:pStyle w:val="26"/>
                    <w:keepNext w:val="0"/>
                    <w:keepLines w:val="0"/>
                    <w:suppressLineNumbers w:val="0"/>
                    <w:spacing w:before="0" w:beforeAutospacing="0" w:after="0" w:afterAutospacing="0"/>
                    <w:ind w:left="0" w:right="0"/>
                    <w:rPr>
                      <w:rFonts w:hint="default"/>
                    </w:rPr>
                  </w:pPr>
                  <w:r>
                    <w:rPr>
                      <w:rFonts w:hint="default"/>
                    </w:rPr>
                    <w:t>14</w:t>
                  </w:r>
                </w:p>
              </w:tc>
              <w:tc>
                <w:tcPr>
                  <w:tcW w:w="301" w:type="pct"/>
                  <w:vMerge w:val="restart"/>
                  <w:tcBorders>
                    <w:tl2br w:val="nil"/>
                    <w:tr2bl w:val="nil"/>
                  </w:tcBorders>
                  <w:shd w:val="clear" w:color="auto" w:fill="auto"/>
                  <w:noWrap/>
                  <w:vAlign w:val="center"/>
                </w:tcPr>
                <w:p w14:paraId="6C2B58AA">
                  <w:pPr>
                    <w:pStyle w:val="26"/>
                    <w:keepNext w:val="0"/>
                    <w:keepLines w:val="0"/>
                    <w:suppressLineNumbers w:val="0"/>
                    <w:spacing w:before="0" w:beforeAutospacing="0" w:after="0" w:afterAutospacing="0"/>
                    <w:ind w:left="0" w:right="0"/>
                    <w:rPr>
                      <w:rFonts w:hint="default"/>
                    </w:rPr>
                  </w:pPr>
                  <w:r>
                    <w:rPr>
                      <w:rFonts w:hint="default"/>
                    </w:rPr>
                    <w:t>1.68</w:t>
                  </w:r>
                </w:p>
              </w:tc>
              <w:tc>
                <w:tcPr>
                  <w:tcW w:w="269" w:type="pct"/>
                  <w:vMerge w:val="restart"/>
                  <w:tcBorders>
                    <w:tl2br w:val="nil"/>
                    <w:tr2bl w:val="nil"/>
                  </w:tcBorders>
                  <w:shd w:val="clear" w:color="auto" w:fill="auto"/>
                  <w:noWrap/>
                  <w:vAlign w:val="center"/>
                </w:tcPr>
                <w:p w14:paraId="2F046B6C">
                  <w:pPr>
                    <w:pStyle w:val="26"/>
                    <w:keepNext w:val="0"/>
                    <w:keepLines w:val="0"/>
                    <w:suppressLineNumbers w:val="0"/>
                    <w:spacing w:before="0" w:beforeAutospacing="0" w:after="0" w:afterAutospacing="0"/>
                    <w:ind w:left="0" w:right="0"/>
                    <w:rPr>
                      <w:rFonts w:hint="default"/>
                    </w:rPr>
                  </w:pPr>
                  <w:r>
                    <w:rPr>
                      <w:rFonts w:hint="default"/>
                    </w:rPr>
                    <w:t>0.21</w:t>
                  </w:r>
                </w:p>
              </w:tc>
            </w:tr>
            <w:tr w14:paraId="775B2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tl2br w:val="nil"/>
                    <w:tr2bl w:val="nil"/>
                  </w:tcBorders>
                  <w:shd w:val="clear" w:color="auto" w:fill="auto"/>
                  <w:vAlign w:val="center"/>
                </w:tcPr>
                <w:p w14:paraId="55AF40C5">
                  <w:pPr>
                    <w:pStyle w:val="26"/>
                    <w:keepNext w:val="0"/>
                    <w:keepLines w:val="0"/>
                    <w:suppressLineNumbers w:val="0"/>
                    <w:spacing w:before="0" w:beforeAutospacing="0" w:after="0" w:afterAutospacing="0"/>
                    <w:ind w:left="0" w:right="0"/>
                    <w:rPr>
                      <w:rFonts w:hint="default"/>
                    </w:rPr>
                  </w:pPr>
                </w:p>
              </w:tc>
              <w:tc>
                <w:tcPr>
                  <w:tcW w:w="616" w:type="pct"/>
                  <w:tcBorders>
                    <w:tl2br w:val="nil"/>
                    <w:tr2bl w:val="nil"/>
                  </w:tcBorders>
                  <w:shd w:val="clear" w:color="auto" w:fill="auto"/>
                  <w:vAlign w:val="center"/>
                </w:tcPr>
                <w:p w14:paraId="5FFB6AB6">
                  <w:pPr>
                    <w:pStyle w:val="26"/>
                    <w:keepNext w:val="0"/>
                    <w:keepLines w:val="0"/>
                    <w:suppressLineNumbers w:val="0"/>
                    <w:spacing w:before="0" w:beforeAutospacing="0" w:after="0" w:afterAutospacing="0"/>
                    <w:ind w:left="0" w:right="0"/>
                    <w:rPr>
                      <w:rFonts w:hint="default"/>
                    </w:rPr>
                  </w:pPr>
                  <w:r>
                    <w:rPr>
                      <w:rFonts w:hint="default"/>
                    </w:rPr>
                    <w:t>刮片G</w:t>
                  </w:r>
                  <w:r>
                    <w:rPr>
                      <w:rFonts w:hint="default"/>
                      <w:vertAlign w:val="subscript"/>
                    </w:rPr>
                    <w:t>1-4</w:t>
                  </w:r>
                </w:p>
              </w:tc>
              <w:tc>
                <w:tcPr>
                  <w:tcW w:w="400" w:type="pct"/>
                  <w:vMerge w:val="continue"/>
                  <w:tcBorders>
                    <w:tl2br w:val="nil"/>
                    <w:tr2bl w:val="nil"/>
                  </w:tcBorders>
                  <w:shd w:val="clear" w:color="auto" w:fill="auto"/>
                  <w:vAlign w:val="center"/>
                </w:tcPr>
                <w:p w14:paraId="6D917209">
                  <w:pPr>
                    <w:pStyle w:val="26"/>
                    <w:keepNext w:val="0"/>
                    <w:keepLines w:val="0"/>
                    <w:suppressLineNumbers w:val="0"/>
                    <w:spacing w:before="0" w:beforeAutospacing="0" w:after="0" w:afterAutospacing="0"/>
                    <w:ind w:left="0" w:right="0"/>
                    <w:rPr>
                      <w:rFonts w:hint="default"/>
                    </w:rPr>
                  </w:pPr>
                </w:p>
              </w:tc>
              <w:tc>
                <w:tcPr>
                  <w:tcW w:w="273" w:type="pct"/>
                  <w:vMerge w:val="continue"/>
                  <w:tcBorders>
                    <w:tl2br w:val="nil"/>
                    <w:tr2bl w:val="nil"/>
                  </w:tcBorders>
                  <w:shd w:val="clear" w:color="auto" w:fill="auto"/>
                  <w:vAlign w:val="center"/>
                </w:tcPr>
                <w:p w14:paraId="4A4C06FC">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20DC10F0">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1B66F61A">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3AFA12AF">
                  <w:pPr>
                    <w:pStyle w:val="26"/>
                    <w:keepNext w:val="0"/>
                    <w:keepLines w:val="0"/>
                    <w:suppressLineNumbers w:val="0"/>
                    <w:spacing w:before="0" w:beforeAutospacing="0" w:after="0" w:afterAutospacing="0"/>
                    <w:ind w:left="0" w:right="0"/>
                    <w:rPr>
                      <w:rFonts w:hint="default"/>
                    </w:rPr>
                  </w:pPr>
                </w:p>
              </w:tc>
              <w:tc>
                <w:tcPr>
                  <w:tcW w:w="306" w:type="pct"/>
                  <w:vMerge w:val="continue"/>
                  <w:tcBorders>
                    <w:tl2br w:val="nil"/>
                    <w:tr2bl w:val="nil"/>
                  </w:tcBorders>
                  <w:shd w:val="clear" w:color="auto" w:fill="auto"/>
                  <w:vAlign w:val="center"/>
                </w:tcPr>
                <w:p w14:paraId="1BBAC75F">
                  <w:pPr>
                    <w:pStyle w:val="26"/>
                    <w:keepNext w:val="0"/>
                    <w:keepLines w:val="0"/>
                    <w:suppressLineNumbers w:val="0"/>
                    <w:spacing w:before="0" w:beforeAutospacing="0" w:after="0" w:afterAutospacing="0"/>
                    <w:ind w:left="0" w:right="0"/>
                    <w:rPr>
                      <w:rFonts w:hint="default"/>
                    </w:rPr>
                  </w:pPr>
                </w:p>
              </w:tc>
              <w:tc>
                <w:tcPr>
                  <w:tcW w:w="290" w:type="pct"/>
                  <w:vMerge w:val="continue"/>
                  <w:tcBorders>
                    <w:tl2br w:val="nil"/>
                    <w:tr2bl w:val="nil"/>
                  </w:tcBorders>
                  <w:shd w:val="clear" w:color="auto" w:fill="auto"/>
                  <w:vAlign w:val="center"/>
                </w:tcPr>
                <w:p w14:paraId="0850BFA6">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vAlign w:val="center"/>
                </w:tcPr>
                <w:p w14:paraId="0F5D2BF0">
                  <w:pPr>
                    <w:pStyle w:val="26"/>
                    <w:keepNext w:val="0"/>
                    <w:keepLines w:val="0"/>
                    <w:suppressLineNumbers w:val="0"/>
                    <w:spacing w:before="0" w:beforeAutospacing="0" w:after="0" w:afterAutospacing="0"/>
                    <w:ind w:left="0" w:right="0"/>
                    <w:rPr>
                      <w:rFonts w:hint="default"/>
                    </w:rPr>
                  </w:pPr>
                </w:p>
              </w:tc>
              <w:tc>
                <w:tcPr>
                  <w:tcW w:w="338" w:type="pct"/>
                  <w:vMerge w:val="continue"/>
                  <w:tcBorders>
                    <w:tl2br w:val="nil"/>
                    <w:tr2bl w:val="nil"/>
                  </w:tcBorders>
                  <w:shd w:val="clear" w:color="auto" w:fill="auto"/>
                  <w:vAlign w:val="center"/>
                </w:tcPr>
                <w:p w14:paraId="5B3D9DBA">
                  <w:pPr>
                    <w:pStyle w:val="26"/>
                    <w:keepNext w:val="0"/>
                    <w:keepLines w:val="0"/>
                    <w:suppressLineNumbers w:val="0"/>
                    <w:spacing w:before="0" w:beforeAutospacing="0" w:after="0" w:afterAutospacing="0"/>
                    <w:ind w:left="0" w:right="0"/>
                    <w:rPr>
                      <w:rFonts w:hint="default"/>
                    </w:rPr>
                  </w:pPr>
                </w:p>
              </w:tc>
              <w:tc>
                <w:tcPr>
                  <w:tcW w:w="331" w:type="pct"/>
                  <w:vMerge w:val="continue"/>
                  <w:tcBorders>
                    <w:tl2br w:val="nil"/>
                    <w:tr2bl w:val="nil"/>
                  </w:tcBorders>
                  <w:shd w:val="clear" w:color="auto" w:fill="auto"/>
                  <w:vAlign w:val="center"/>
                </w:tcPr>
                <w:p w14:paraId="5F5F3BB4">
                  <w:pPr>
                    <w:pStyle w:val="26"/>
                    <w:keepNext w:val="0"/>
                    <w:keepLines w:val="0"/>
                    <w:suppressLineNumbers w:val="0"/>
                    <w:spacing w:before="0" w:beforeAutospacing="0" w:after="0" w:afterAutospacing="0"/>
                    <w:ind w:left="0" w:right="0"/>
                    <w:rPr>
                      <w:rFonts w:hint="default"/>
                    </w:rPr>
                  </w:pPr>
                </w:p>
              </w:tc>
              <w:tc>
                <w:tcPr>
                  <w:tcW w:w="305" w:type="pct"/>
                  <w:vMerge w:val="continue"/>
                  <w:tcBorders>
                    <w:tl2br w:val="nil"/>
                    <w:tr2bl w:val="nil"/>
                  </w:tcBorders>
                  <w:shd w:val="clear" w:color="auto" w:fill="auto"/>
                  <w:vAlign w:val="center"/>
                </w:tcPr>
                <w:p w14:paraId="0A5B0E35">
                  <w:pPr>
                    <w:pStyle w:val="26"/>
                    <w:keepNext w:val="0"/>
                    <w:keepLines w:val="0"/>
                    <w:suppressLineNumbers w:val="0"/>
                    <w:spacing w:before="0" w:beforeAutospacing="0" w:after="0" w:afterAutospacing="0"/>
                    <w:ind w:left="0" w:right="0"/>
                    <w:rPr>
                      <w:rFonts w:hint="default"/>
                    </w:rPr>
                  </w:pPr>
                </w:p>
              </w:tc>
              <w:tc>
                <w:tcPr>
                  <w:tcW w:w="301" w:type="pct"/>
                  <w:vMerge w:val="continue"/>
                  <w:tcBorders>
                    <w:tl2br w:val="nil"/>
                    <w:tr2bl w:val="nil"/>
                  </w:tcBorders>
                  <w:shd w:val="clear" w:color="auto" w:fill="auto"/>
                  <w:noWrap/>
                  <w:vAlign w:val="center"/>
                </w:tcPr>
                <w:p w14:paraId="7004D9A6">
                  <w:pPr>
                    <w:pStyle w:val="26"/>
                    <w:keepNext w:val="0"/>
                    <w:keepLines w:val="0"/>
                    <w:suppressLineNumbers w:val="0"/>
                    <w:spacing w:before="0" w:beforeAutospacing="0" w:after="0" w:afterAutospacing="0"/>
                    <w:ind w:left="0" w:right="0"/>
                    <w:rPr>
                      <w:rFonts w:hint="default"/>
                    </w:rPr>
                  </w:pPr>
                </w:p>
              </w:tc>
              <w:tc>
                <w:tcPr>
                  <w:tcW w:w="269" w:type="pct"/>
                  <w:vMerge w:val="continue"/>
                  <w:tcBorders>
                    <w:tl2br w:val="nil"/>
                    <w:tr2bl w:val="nil"/>
                  </w:tcBorders>
                  <w:shd w:val="clear" w:color="auto" w:fill="auto"/>
                  <w:noWrap/>
                  <w:vAlign w:val="center"/>
                </w:tcPr>
                <w:p w14:paraId="169DFA84">
                  <w:pPr>
                    <w:pStyle w:val="26"/>
                    <w:keepNext w:val="0"/>
                    <w:keepLines w:val="0"/>
                    <w:suppressLineNumbers w:val="0"/>
                    <w:spacing w:before="0" w:beforeAutospacing="0" w:after="0" w:afterAutospacing="0"/>
                    <w:ind w:left="0" w:right="0"/>
                    <w:rPr>
                      <w:rFonts w:hint="default"/>
                    </w:rPr>
                  </w:pPr>
                </w:p>
              </w:tc>
            </w:tr>
            <w:tr w14:paraId="0679C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tl2br w:val="nil"/>
                    <w:tr2bl w:val="nil"/>
                  </w:tcBorders>
                  <w:shd w:val="clear" w:color="auto" w:fill="auto"/>
                  <w:noWrap/>
                  <w:vAlign w:val="center"/>
                </w:tcPr>
                <w:p w14:paraId="494A6E01">
                  <w:pPr>
                    <w:pStyle w:val="26"/>
                    <w:keepNext w:val="0"/>
                    <w:keepLines w:val="0"/>
                    <w:suppressLineNumbers w:val="0"/>
                    <w:spacing w:before="0" w:beforeAutospacing="0" w:after="0" w:afterAutospacing="0"/>
                    <w:ind w:left="0" w:right="0"/>
                    <w:rPr>
                      <w:rFonts w:hint="default"/>
                    </w:rPr>
                  </w:pPr>
                  <w:bookmarkStart w:id="110" w:name="_Hlk202718849"/>
                </w:p>
              </w:tc>
              <w:tc>
                <w:tcPr>
                  <w:tcW w:w="616" w:type="pct"/>
                  <w:tcBorders>
                    <w:tl2br w:val="nil"/>
                    <w:tr2bl w:val="nil"/>
                  </w:tcBorders>
                  <w:shd w:val="clear" w:color="auto" w:fill="auto"/>
                  <w:vAlign w:val="center"/>
                </w:tcPr>
                <w:p w14:paraId="1D37D85B">
                  <w:pPr>
                    <w:pStyle w:val="26"/>
                    <w:keepNext w:val="0"/>
                    <w:keepLines w:val="0"/>
                    <w:suppressLineNumbers w:val="0"/>
                    <w:spacing w:before="0" w:beforeAutospacing="0" w:after="0" w:afterAutospacing="0"/>
                    <w:ind w:left="0" w:right="0"/>
                    <w:rPr>
                      <w:rFonts w:hint="default"/>
                    </w:rPr>
                  </w:pPr>
                  <w:r>
                    <w:rPr>
                      <w:rFonts w:hint="default"/>
                    </w:rPr>
                    <w:t>包装G</w:t>
                  </w:r>
                  <w:r>
                    <w:rPr>
                      <w:rFonts w:hint="default"/>
                      <w:vertAlign w:val="subscript"/>
                    </w:rPr>
                    <w:t>1-6</w:t>
                  </w:r>
                  <w:r>
                    <w:rPr>
                      <w:rFonts w:hint="default"/>
                    </w:rPr>
                    <w:t>、G</w:t>
                  </w:r>
                  <w:r>
                    <w:rPr>
                      <w:rFonts w:hint="default"/>
                      <w:vertAlign w:val="subscript"/>
                    </w:rPr>
                    <w:t>1-7</w:t>
                  </w:r>
                </w:p>
              </w:tc>
              <w:tc>
                <w:tcPr>
                  <w:tcW w:w="400" w:type="pct"/>
                  <w:tcBorders>
                    <w:tl2br w:val="nil"/>
                    <w:tr2bl w:val="nil"/>
                  </w:tcBorders>
                  <w:shd w:val="clear" w:color="auto" w:fill="auto"/>
                  <w:vAlign w:val="center"/>
                </w:tcPr>
                <w:p w14:paraId="428B922A">
                  <w:pPr>
                    <w:pStyle w:val="26"/>
                    <w:keepNext w:val="0"/>
                    <w:keepLines w:val="0"/>
                    <w:suppressLineNumbers w:val="0"/>
                    <w:spacing w:before="0" w:beforeAutospacing="0" w:after="0" w:afterAutospacing="0"/>
                    <w:ind w:left="0" w:right="0"/>
                    <w:rPr>
                      <w:rFonts w:hint="default"/>
                    </w:rPr>
                  </w:pPr>
                  <w:r>
                    <w:rPr>
                      <w:rFonts w:hint="default"/>
                    </w:rPr>
                    <w:t>颗粒物</w:t>
                  </w:r>
                </w:p>
              </w:tc>
              <w:tc>
                <w:tcPr>
                  <w:tcW w:w="273" w:type="pct"/>
                  <w:tcBorders>
                    <w:tl2br w:val="nil"/>
                    <w:tr2bl w:val="nil"/>
                  </w:tcBorders>
                  <w:shd w:val="clear" w:color="auto" w:fill="auto"/>
                  <w:noWrap/>
                  <w:vAlign w:val="center"/>
                </w:tcPr>
                <w:p w14:paraId="37F77CCD">
                  <w:pPr>
                    <w:pStyle w:val="26"/>
                    <w:keepNext w:val="0"/>
                    <w:keepLines w:val="0"/>
                    <w:suppressLineNumbers w:val="0"/>
                    <w:spacing w:before="0" w:beforeAutospacing="0" w:after="0" w:afterAutospacing="0"/>
                    <w:ind w:left="0" w:right="0"/>
                    <w:rPr>
                      <w:rFonts w:hint="default"/>
                    </w:rPr>
                  </w:pPr>
                  <w:r>
                    <w:rPr>
                      <w:rFonts w:hint="default"/>
                    </w:rPr>
                    <w:t>0.25</w:t>
                  </w:r>
                </w:p>
              </w:tc>
              <w:tc>
                <w:tcPr>
                  <w:tcW w:w="290" w:type="pct"/>
                  <w:tcBorders>
                    <w:tl2br w:val="nil"/>
                    <w:tr2bl w:val="nil"/>
                  </w:tcBorders>
                  <w:shd w:val="clear" w:color="auto" w:fill="auto"/>
                  <w:noWrap/>
                  <w:vAlign w:val="center"/>
                </w:tcPr>
                <w:p w14:paraId="414503D4">
                  <w:pPr>
                    <w:pStyle w:val="26"/>
                    <w:keepNext w:val="0"/>
                    <w:keepLines w:val="0"/>
                    <w:suppressLineNumbers w:val="0"/>
                    <w:spacing w:before="0" w:beforeAutospacing="0" w:after="0" w:afterAutospacing="0"/>
                    <w:ind w:left="0" w:right="0"/>
                    <w:rPr>
                      <w:rFonts w:hint="default"/>
                    </w:rPr>
                  </w:pPr>
                  <w:r>
                    <w:rPr>
                      <w:rFonts w:hint="default"/>
                    </w:rPr>
                    <w:t>/</w:t>
                  </w:r>
                </w:p>
              </w:tc>
              <w:tc>
                <w:tcPr>
                  <w:tcW w:w="290" w:type="pct"/>
                  <w:tcBorders>
                    <w:tl2br w:val="nil"/>
                    <w:tr2bl w:val="nil"/>
                  </w:tcBorders>
                  <w:shd w:val="clear" w:color="auto" w:fill="auto"/>
                  <w:noWrap/>
                  <w:vAlign w:val="center"/>
                </w:tcPr>
                <w:p w14:paraId="1E22E3B9">
                  <w:pPr>
                    <w:pStyle w:val="26"/>
                    <w:keepNext w:val="0"/>
                    <w:keepLines w:val="0"/>
                    <w:suppressLineNumbers w:val="0"/>
                    <w:spacing w:before="0" w:beforeAutospacing="0" w:after="0" w:afterAutospacing="0"/>
                    <w:ind w:left="0" w:right="0"/>
                    <w:rPr>
                      <w:rFonts w:hint="default"/>
                    </w:rPr>
                  </w:pPr>
                  <w:r>
                    <w:rPr>
                      <w:rFonts w:hint="default"/>
                    </w:rPr>
                    <w:t>/</w:t>
                  </w:r>
                </w:p>
              </w:tc>
              <w:tc>
                <w:tcPr>
                  <w:tcW w:w="290" w:type="pct"/>
                  <w:tcBorders>
                    <w:tl2br w:val="nil"/>
                    <w:tr2bl w:val="nil"/>
                  </w:tcBorders>
                  <w:shd w:val="clear" w:color="auto" w:fill="auto"/>
                  <w:noWrap/>
                  <w:vAlign w:val="center"/>
                </w:tcPr>
                <w:p w14:paraId="03E94617">
                  <w:pPr>
                    <w:pStyle w:val="26"/>
                    <w:keepNext w:val="0"/>
                    <w:keepLines w:val="0"/>
                    <w:suppressLineNumbers w:val="0"/>
                    <w:spacing w:before="0" w:beforeAutospacing="0" w:after="0" w:afterAutospacing="0"/>
                    <w:ind w:left="0" w:right="0"/>
                    <w:rPr>
                      <w:rFonts w:hint="default"/>
                    </w:rPr>
                  </w:pPr>
                  <w:r>
                    <w:rPr>
                      <w:rFonts w:hint="default"/>
                    </w:rPr>
                    <w:t>/</w:t>
                  </w:r>
                </w:p>
              </w:tc>
              <w:tc>
                <w:tcPr>
                  <w:tcW w:w="306" w:type="pct"/>
                  <w:tcBorders>
                    <w:tl2br w:val="nil"/>
                    <w:tr2bl w:val="nil"/>
                  </w:tcBorders>
                  <w:shd w:val="clear" w:color="auto" w:fill="auto"/>
                  <w:noWrap/>
                  <w:vAlign w:val="center"/>
                </w:tcPr>
                <w:p w14:paraId="061FD5AA">
                  <w:pPr>
                    <w:pStyle w:val="26"/>
                    <w:keepNext w:val="0"/>
                    <w:keepLines w:val="0"/>
                    <w:suppressLineNumbers w:val="0"/>
                    <w:spacing w:before="0" w:beforeAutospacing="0" w:after="0" w:afterAutospacing="0"/>
                    <w:ind w:left="0" w:right="0"/>
                    <w:rPr>
                      <w:rFonts w:hint="default"/>
                    </w:rPr>
                  </w:pPr>
                  <w:r>
                    <w:rPr>
                      <w:rFonts w:hint="default"/>
                    </w:rPr>
                    <w:t>/</w:t>
                  </w:r>
                </w:p>
              </w:tc>
              <w:tc>
                <w:tcPr>
                  <w:tcW w:w="290" w:type="pct"/>
                  <w:tcBorders>
                    <w:tl2br w:val="nil"/>
                    <w:tr2bl w:val="nil"/>
                  </w:tcBorders>
                  <w:shd w:val="clear" w:color="auto" w:fill="auto"/>
                  <w:noWrap/>
                  <w:vAlign w:val="center"/>
                </w:tcPr>
                <w:p w14:paraId="29107082">
                  <w:pPr>
                    <w:pStyle w:val="26"/>
                    <w:keepNext w:val="0"/>
                    <w:keepLines w:val="0"/>
                    <w:suppressLineNumbers w:val="0"/>
                    <w:spacing w:before="0" w:beforeAutospacing="0" w:after="0" w:afterAutospacing="0"/>
                    <w:ind w:left="0" w:right="0"/>
                    <w:rPr>
                      <w:rFonts w:hint="default"/>
                    </w:rPr>
                  </w:pPr>
                  <w:r>
                    <w:rPr>
                      <w:rFonts w:hint="default"/>
                    </w:rPr>
                    <w:t>/</w:t>
                  </w:r>
                </w:p>
              </w:tc>
              <w:tc>
                <w:tcPr>
                  <w:tcW w:w="301" w:type="pct"/>
                  <w:tcBorders>
                    <w:tl2br w:val="nil"/>
                    <w:tr2bl w:val="nil"/>
                  </w:tcBorders>
                  <w:shd w:val="clear" w:color="auto" w:fill="auto"/>
                  <w:noWrap/>
                  <w:vAlign w:val="center"/>
                </w:tcPr>
                <w:p w14:paraId="5C00F9C6">
                  <w:pPr>
                    <w:pStyle w:val="26"/>
                    <w:keepNext w:val="0"/>
                    <w:keepLines w:val="0"/>
                    <w:suppressLineNumbers w:val="0"/>
                    <w:spacing w:before="0" w:beforeAutospacing="0" w:after="0" w:afterAutospacing="0"/>
                    <w:ind w:left="0" w:right="0"/>
                    <w:rPr>
                      <w:rFonts w:hint="default"/>
                    </w:rPr>
                  </w:pPr>
                  <w:r>
                    <w:rPr>
                      <w:rFonts w:hint="default"/>
                    </w:rPr>
                    <w:t>/</w:t>
                  </w:r>
                </w:p>
              </w:tc>
              <w:tc>
                <w:tcPr>
                  <w:tcW w:w="338" w:type="pct"/>
                  <w:tcBorders>
                    <w:tl2br w:val="nil"/>
                    <w:tr2bl w:val="nil"/>
                  </w:tcBorders>
                  <w:shd w:val="clear" w:color="auto" w:fill="auto"/>
                  <w:noWrap/>
                  <w:vAlign w:val="center"/>
                </w:tcPr>
                <w:p w14:paraId="3ADA7668">
                  <w:pPr>
                    <w:pStyle w:val="26"/>
                    <w:keepNext w:val="0"/>
                    <w:keepLines w:val="0"/>
                    <w:suppressLineNumbers w:val="0"/>
                    <w:spacing w:before="0" w:beforeAutospacing="0" w:after="0" w:afterAutospacing="0"/>
                    <w:ind w:left="0" w:right="0"/>
                    <w:rPr>
                      <w:rFonts w:hint="default"/>
                    </w:rPr>
                  </w:pPr>
                  <w:r>
                    <w:rPr>
                      <w:rFonts w:hint="default"/>
                    </w:rPr>
                    <w:t>/</w:t>
                  </w:r>
                </w:p>
              </w:tc>
              <w:tc>
                <w:tcPr>
                  <w:tcW w:w="331" w:type="pct"/>
                  <w:tcBorders>
                    <w:tl2br w:val="nil"/>
                    <w:tr2bl w:val="nil"/>
                  </w:tcBorders>
                  <w:shd w:val="clear" w:color="auto" w:fill="auto"/>
                  <w:noWrap/>
                  <w:vAlign w:val="center"/>
                </w:tcPr>
                <w:p w14:paraId="1BFD7B48">
                  <w:pPr>
                    <w:pStyle w:val="26"/>
                    <w:keepNext w:val="0"/>
                    <w:keepLines w:val="0"/>
                    <w:suppressLineNumbers w:val="0"/>
                    <w:spacing w:before="0" w:beforeAutospacing="0" w:after="0" w:afterAutospacing="0"/>
                    <w:ind w:left="0" w:right="0"/>
                    <w:rPr>
                      <w:rFonts w:hint="default"/>
                    </w:rPr>
                  </w:pPr>
                  <w:r>
                    <w:rPr>
                      <w:rFonts w:hint="default"/>
                    </w:rPr>
                    <w:t>/</w:t>
                  </w:r>
                </w:p>
              </w:tc>
              <w:tc>
                <w:tcPr>
                  <w:tcW w:w="305" w:type="pct"/>
                  <w:tcBorders>
                    <w:tl2br w:val="nil"/>
                    <w:tr2bl w:val="nil"/>
                  </w:tcBorders>
                  <w:shd w:val="clear" w:color="auto" w:fill="auto"/>
                  <w:noWrap/>
                  <w:vAlign w:val="center"/>
                </w:tcPr>
                <w:p w14:paraId="4FC0B08D">
                  <w:pPr>
                    <w:pStyle w:val="26"/>
                    <w:keepNext w:val="0"/>
                    <w:keepLines w:val="0"/>
                    <w:suppressLineNumbers w:val="0"/>
                    <w:spacing w:before="0" w:beforeAutospacing="0" w:after="0" w:afterAutospacing="0"/>
                    <w:ind w:left="0" w:right="0"/>
                    <w:rPr>
                      <w:rFonts w:hint="default"/>
                    </w:rPr>
                  </w:pPr>
                  <w:r>
                    <w:rPr>
                      <w:rFonts w:hint="default"/>
                    </w:rPr>
                    <w:t>/</w:t>
                  </w:r>
                </w:p>
              </w:tc>
              <w:tc>
                <w:tcPr>
                  <w:tcW w:w="301" w:type="pct"/>
                  <w:tcBorders>
                    <w:tl2br w:val="nil"/>
                    <w:tr2bl w:val="nil"/>
                  </w:tcBorders>
                  <w:shd w:val="clear" w:color="auto" w:fill="auto"/>
                  <w:noWrap/>
                  <w:vAlign w:val="center"/>
                </w:tcPr>
                <w:p w14:paraId="0642A4E5">
                  <w:pPr>
                    <w:pStyle w:val="26"/>
                    <w:keepNext w:val="0"/>
                    <w:keepLines w:val="0"/>
                    <w:suppressLineNumbers w:val="0"/>
                    <w:spacing w:before="0" w:beforeAutospacing="0" w:after="0" w:afterAutospacing="0"/>
                    <w:ind w:left="0" w:right="0"/>
                    <w:rPr>
                      <w:rFonts w:hint="default"/>
                    </w:rPr>
                  </w:pPr>
                  <w:r>
                    <w:rPr>
                      <w:rFonts w:hint="default"/>
                    </w:rPr>
                    <w:t>0.25</w:t>
                  </w:r>
                </w:p>
              </w:tc>
              <w:tc>
                <w:tcPr>
                  <w:tcW w:w="269" w:type="pct"/>
                  <w:tcBorders>
                    <w:tl2br w:val="nil"/>
                    <w:tr2bl w:val="nil"/>
                  </w:tcBorders>
                  <w:shd w:val="clear" w:color="auto" w:fill="auto"/>
                  <w:noWrap/>
                  <w:vAlign w:val="center"/>
                </w:tcPr>
                <w:p w14:paraId="1FD4E142">
                  <w:pPr>
                    <w:pStyle w:val="26"/>
                    <w:keepNext w:val="0"/>
                    <w:keepLines w:val="0"/>
                    <w:suppressLineNumbers w:val="0"/>
                    <w:spacing w:before="0" w:beforeAutospacing="0" w:after="0" w:afterAutospacing="0"/>
                    <w:ind w:left="0" w:right="0"/>
                    <w:rPr>
                      <w:rFonts w:hint="default"/>
                    </w:rPr>
                  </w:pPr>
                  <w:r>
                    <w:rPr>
                      <w:rFonts w:hint="default"/>
                    </w:rPr>
                    <w:t>0.031</w:t>
                  </w:r>
                </w:p>
              </w:tc>
            </w:tr>
            <w:bookmarkEnd w:id="110"/>
            <w:tr w14:paraId="54311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tcBorders>
                    <w:bottom w:val="single" w:color="000000" w:sz="4" w:space="0"/>
                    <w:tl2br w:val="nil"/>
                    <w:tr2bl w:val="nil"/>
                  </w:tcBorders>
                  <w:shd w:val="clear" w:color="auto" w:fill="auto"/>
                  <w:noWrap/>
                  <w:vAlign w:val="center"/>
                </w:tcPr>
                <w:p w14:paraId="7CC5D295">
                  <w:pPr>
                    <w:pStyle w:val="26"/>
                    <w:keepNext w:val="0"/>
                    <w:keepLines w:val="0"/>
                    <w:suppressLineNumbers w:val="0"/>
                    <w:spacing w:before="0" w:beforeAutospacing="0" w:after="0" w:afterAutospacing="0"/>
                    <w:ind w:left="0" w:right="0"/>
                    <w:rPr>
                      <w:rFonts w:hint="default"/>
                    </w:rPr>
                  </w:pPr>
                  <w:r>
                    <w:rPr>
                      <w:rFonts w:hint="default"/>
                    </w:rPr>
                    <w:t>食堂油烟</w:t>
                  </w:r>
                </w:p>
              </w:tc>
              <w:tc>
                <w:tcPr>
                  <w:tcW w:w="400" w:type="pct"/>
                  <w:tcBorders>
                    <w:tl2br w:val="nil"/>
                    <w:tr2bl w:val="nil"/>
                  </w:tcBorders>
                  <w:shd w:val="clear" w:color="auto" w:fill="auto"/>
                  <w:noWrap/>
                  <w:vAlign w:val="center"/>
                </w:tcPr>
                <w:p w14:paraId="0F71E5CB">
                  <w:pPr>
                    <w:pStyle w:val="26"/>
                    <w:keepNext w:val="0"/>
                    <w:keepLines w:val="0"/>
                    <w:suppressLineNumbers w:val="0"/>
                    <w:spacing w:before="0" w:beforeAutospacing="0" w:after="0" w:afterAutospacing="0"/>
                    <w:ind w:left="0" w:right="0"/>
                    <w:rPr>
                      <w:rFonts w:hint="default"/>
                    </w:rPr>
                  </w:pPr>
                  <w:r>
                    <w:rPr>
                      <w:rFonts w:hint="default"/>
                    </w:rPr>
                    <w:t>油烟</w:t>
                  </w:r>
                </w:p>
              </w:tc>
              <w:tc>
                <w:tcPr>
                  <w:tcW w:w="273" w:type="pct"/>
                  <w:tcBorders>
                    <w:tl2br w:val="nil"/>
                    <w:tr2bl w:val="nil"/>
                  </w:tcBorders>
                  <w:shd w:val="clear" w:color="auto" w:fill="auto"/>
                  <w:noWrap/>
                  <w:vAlign w:val="center"/>
                </w:tcPr>
                <w:p w14:paraId="2CB382AB">
                  <w:pPr>
                    <w:pStyle w:val="26"/>
                    <w:keepNext w:val="0"/>
                    <w:keepLines w:val="0"/>
                    <w:suppressLineNumbers w:val="0"/>
                    <w:spacing w:before="0" w:beforeAutospacing="0" w:after="0" w:afterAutospacing="0"/>
                    <w:ind w:left="0" w:right="0"/>
                    <w:rPr>
                      <w:rFonts w:hint="default"/>
                    </w:rPr>
                  </w:pPr>
                  <w:r>
                    <w:rPr>
                      <w:rFonts w:hint="default"/>
                    </w:rPr>
                    <w:t>0.006</w:t>
                  </w:r>
                </w:p>
              </w:tc>
              <w:tc>
                <w:tcPr>
                  <w:tcW w:w="290" w:type="pct"/>
                  <w:tcBorders>
                    <w:tl2br w:val="nil"/>
                    <w:tr2bl w:val="nil"/>
                  </w:tcBorders>
                  <w:shd w:val="clear" w:color="auto" w:fill="auto"/>
                  <w:noWrap/>
                  <w:vAlign w:val="center"/>
                </w:tcPr>
                <w:p w14:paraId="440FB7B2">
                  <w:pPr>
                    <w:pStyle w:val="26"/>
                    <w:keepNext w:val="0"/>
                    <w:keepLines w:val="0"/>
                    <w:suppressLineNumbers w:val="0"/>
                    <w:spacing w:before="0" w:beforeAutospacing="0" w:after="0" w:afterAutospacing="0"/>
                    <w:ind w:left="0" w:right="0"/>
                    <w:rPr>
                      <w:rFonts w:hint="default"/>
                    </w:rPr>
                  </w:pPr>
                  <w:r>
                    <w:rPr>
                      <w:rFonts w:hint="default"/>
                    </w:rPr>
                    <w:t>90%</w:t>
                  </w:r>
                </w:p>
              </w:tc>
              <w:tc>
                <w:tcPr>
                  <w:tcW w:w="290" w:type="pct"/>
                  <w:tcBorders>
                    <w:tl2br w:val="nil"/>
                    <w:tr2bl w:val="nil"/>
                  </w:tcBorders>
                  <w:shd w:val="clear" w:color="auto" w:fill="auto"/>
                  <w:noWrap/>
                  <w:vAlign w:val="center"/>
                </w:tcPr>
                <w:p w14:paraId="4AC688A1">
                  <w:pPr>
                    <w:pStyle w:val="26"/>
                    <w:keepNext w:val="0"/>
                    <w:keepLines w:val="0"/>
                    <w:suppressLineNumbers w:val="0"/>
                    <w:spacing w:before="0" w:beforeAutospacing="0" w:after="0" w:afterAutospacing="0"/>
                    <w:ind w:left="0" w:right="0"/>
                    <w:rPr>
                      <w:rFonts w:hint="default"/>
                    </w:rPr>
                  </w:pPr>
                  <w:r>
                    <w:rPr>
                      <w:rFonts w:hint="default"/>
                    </w:rPr>
                    <w:t>75%</w:t>
                  </w:r>
                </w:p>
              </w:tc>
              <w:tc>
                <w:tcPr>
                  <w:tcW w:w="290" w:type="pct"/>
                  <w:tcBorders>
                    <w:tl2br w:val="nil"/>
                    <w:tr2bl w:val="nil"/>
                  </w:tcBorders>
                  <w:shd w:val="clear" w:color="auto" w:fill="auto"/>
                  <w:noWrap/>
                  <w:vAlign w:val="center"/>
                </w:tcPr>
                <w:p w14:paraId="4AF3D322">
                  <w:pPr>
                    <w:pStyle w:val="26"/>
                    <w:keepNext w:val="0"/>
                    <w:keepLines w:val="0"/>
                    <w:suppressLineNumbers w:val="0"/>
                    <w:spacing w:before="0" w:beforeAutospacing="0" w:after="0" w:afterAutospacing="0"/>
                    <w:ind w:left="0" w:right="0"/>
                    <w:rPr>
                      <w:rFonts w:hint="default"/>
                    </w:rPr>
                  </w:pPr>
                  <w:r>
                    <w:rPr>
                      <w:rFonts w:hint="default"/>
                    </w:rPr>
                    <w:t>DA002</w:t>
                  </w:r>
                </w:p>
              </w:tc>
              <w:tc>
                <w:tcPr>
                  <w:tcW w:w="306" w:type="pct"/>
                  <w:tcBorders>
                    <w:tl2br w:val="nil"/>
                    <w:tr2bl w:val="nil"/>
                  </w:tcBorders>
                  <w:shd w:val="clear" w:color="auto" w:fill="auto"/>
                  <w:noWrap/>
                  <w:vAlign w:val="center"/>
                </w:tcPr>
                <w:p w14:paraId="5BFDC775">
                  <w:pPr>
                    <w:pStyle w:val="26"/>
                    <w:keepNext w:val="0"/>
                    <w:keepLines w:val="0"/>
                    <w:suppressLineNumbers w:val="0"/>
                    <w:spacing w:before="0" w:beforeAutospacing="0" w:after="0" w:afterAutospacing="0"/>
                    <w:ind w:left="0" w:right="0"/>
                    <w:rPr>
                      <w:rFonts w:hint="default"/>
                    </w:rPr>
                  </w:pPr>
                  <w:r>
                    <w:rPr>
                      <w:rFonts w:hint="default"/>
                    </w:rPr>
                    <w:t>2500</w:t>
                  </w:r>
                </w:p>
              </w:tc>
              <w:tc>
                <w:tcPr>
                  <w:tcW w:w="290" w:type="pct"/>
                  <w:tcBorders>
                    <w:tl2br w:val="nil"/>
                    <w:tr2bl w:val="nil"/>
                  </w:tcBorders>
                  <w:shd w:val="clear" w:color="auto" w:fill="auto"/>
                  <w:noWrap/>
                  <w:vAlign w:val="center"/>
                </w:tcPr>
                <w:p w14:paraId="589B800A">
                  <w:pPr>
                    <w:pStyle w:val="26"/>
                    <w:keepNext w:val="0"/>
                    <w:keepLines w:val="0"/>
                    <w:suppressLineNumbers w:val="0"/>
                    <w:spacing w:before="0" w:beforeAutospacing="0" w:after="0" w:afterAutospacing="0"/>
                    <w:ind w:left="0" w:right="0"/>
                    <w:rPr>
                      <w:rFonts w:hint="default"/>
                    </w:rPr>
                  </w:pPr>
                  <w:r>
                    <w:rPr>
                      <w:rFonts w:hint="default"/>
                    </w:rPr>
                    <w:t>0.0054</w:t>
                  </w:r>
                </w:p>
              </w:tc>
              <w:tc>
                <w:tcPr>
                  <w:tcW w:w="301" w:type="pct"/>
                  <w:tcBorders>
                    <w:tl2br w:val="nil"/>
                    <w:tr2bl w:val="nil"/>
                  </w:tcBorders>
                  <w:shd w:val="clear" w:color="auto" w:fill="auto"/>
                  <w:noWrap/>
                  <w:vAlign w:val="center"/>
                </w:tcPr>
                <w:p w14:paraId="4C1F516B">
                  <w:pPr>
                    <w:pStyle w:val="26"/>
                    <w:keepNext w:val="0"/>
                    <w:keepLines w:val="0"/>
                    <w:suppressLineNumbers w:val="0"/>
                    <w:spacing w:before="0" w:beforeAutospacing="0" w:after="0" w:afterAutospacing="0"/>
                    <w:ind w:left="0" w:right="0"/>
                    <w:rPr>
                      <w:rFonts w:hint="default"/>
                    </w:rPr>
                  </w:pPr>
                  <w:r>
                    <w:rPr>
                      <w:rFonts w:hint="default"/>
                    </w:rPr>
                    <w:t>0.004</w:t>
                  </w:r>
                </w:p>
              </w:tc>
              <w:tc>
                <w:tcPr>
                  <w:tcW w:w="338" w:type="pct"/>
                  <w:tcBorders>
                    <w:tl2br w:val="nil"/>
                    <w:tr2bl w:val="nil"/>
                  </w:tcBorders>
                  <w:shd w:val="clear" w:color="auto" w:fill="auto"/>
                  <w:noWrap/>
                  <w:vAlign w:val="center"/>
                </w:tcPr>
                <w:p w14:paraId="69B6E8AA">
                  <w:pPr>
                    <w:pStyle w:val="26"/>
                    <w:keepNext w:val="0"/>
                    <w:keepLines w:val="0"/>
                    <w:suppressLineNumbers w:val="0"/>
                    <w:spacing w:before="0" w:beforeAutospacing="0" w:after="0" w:afterAutospacing="0"/>
                    <w:ind w:left="0" w:right="0"/>
                    <w:rPr>
                      <w:rFonts w:hint="default"/>
                    </w:rPr>
                  </w:pPr>
                  <w:r>
                    <w:rPr>
                      <w:rFonts w:hint="default"/>
                    </w:rPr>
                    <w:t>1.6</w:t>
                  </w:r>
                </w:p>
              </w:tc>
              <w:tc>
                <w:tcPr>
                  <w:tcW w:w="331" w:type="pct"/>
                  <w:tcBorders>
                    <w:tl2br w:val="nil"/>
                    <w:tr2bl w:val="nil"/>
                  </w:tcBorders>
                  <w:shd w:val="clear" w:color="auto" w:fill="auto"/>
                  <w:noWrap/>
                  <w:vAlign w:val="center"/>
                </w:tcPr>
                <w:p w14:paraId="5879A744">
                  <w:pPr>
                    <w:pStyle w:val="26"/>
                    <w:keepNext w:val="0"/>
                    <w:keepLines w:val="0"/>
                    <w:suppressLineNumbers w:val="0"/>
                    <w:spacing w:before="0" w:beforeAutospacing="0" w:after="0" w:afterAutospacing="0"/>
                    <w:ind w:left="0" w:right="0"/>
                    <w:rPr>
                      <w:rFonts w:hint="default"/>
                    </w:rPr>
                  </w:pPr>
                  <w:r>
                    <w:rPr>
                      <w:rFonts w:hint="default"/>
                    </w:rPr>
                    <w:t>0.001</w:t>
                  </w:r>
                </w:p>
              </w:tc>
              <w:tc>
                <w:tcPr>
                  <w:tcW w:w="305" w:type="pct"/>
                  <w:tcBorders>
                    <w:tl2br w:val="nil"/>
                    <w:tr2bl w:val="nil"/>
                  </w:tcBorders>
                  <w:shd w:val="clear" w:color="auto" w:fill="auto"/>
                  <w:noWrap/>
                  <w:vAlign w:val="center"/>
                </w:tcPr>
                <w:p w14:paraId="5FF5E800">
                  <w:pPr>
                    <w:pStyle w:val="26"/>
                    <w:keepNext w:val="0"/>
                    <w:keepLines w:val="0"/>
                    <w:suppressLineNumbers w:val="0"/>
                    <w:spacing w:before="0" w:beforeAutospacing="0" w:after="0" w:afterAutospacing="0"/>
                    <w:ind w:left="0" w:right="0"/>
                    <w:rPr>
                      <w:rFonts w:hint="default"/>
                    </w:rPr>
                  </w:pPr>
                  <w:r>
                    <w:rPr>
                      <w:rFonts w:hint="default"/>
                    </w:rPr>
                    <w:t>0.4</w:t>
                  </w:r>
                </w:p>
              </w:tc>
              <w:tc>
                <w:tcPr>
                  <w:tcW w:w="301" w:type="pct"/>
                  <w:tcBorders>
                    <w:tl2br w:val="nil"/>
                    <w:tr2bl w:val="nil"/>
                  </w:tcBorders>
                  <w:shd w:val="clear" w:color="auto" w:fill="auto"/>
                  <w:noWrap/>
                  <w:vAlign w:val="center"/>
                </w:tcPr>
                <w:p w14:paraId="2096BE21">
                  <w:pPr>
                    <w:pStyle w:val="26"/>
                    <w:keepNext w:val="0"/>
                    <w:keepLines w:val="0"/>
                    <w:suppressLineNumbers w:val="0"/>
                    <w:spacing w:before="0" w:beforeAutospacing="0" w:after="0" w:afterAutospacing="0"/>
                    <w:ind w:left="0" w:right="0"/>
                    <w:rPr>
                      <w:rFonts w:hint="default"/>
                    </w:rPr>
                  </w:pPr>
                </w:p>
              </w:tc>
              <w:tc>
                <w:tcPr>
                  <w:tcW w:w="269" w:type="pct"/>
                  <w:tcBorders>
                    <w:tl2br w:val="nil"/>
                    <w:tr2bl w:val="nil"/>
                  </w:tcBorders>
                  <w:shd w:val="clear" w:color="auto" w:fill="auto"/>
                  <w:noWrap/>
                  <w:vAlign w:val="center"/>
                </w:tcPr>
                <w:p w14:paraId="2B850041">
                  <w:pPr>
                    <w:pStyle w:val="26"/>
                    <w:keepNext w:val="0"/>
                    <w:keepLines w:val="0"/>
                    <w:suppressLineNumbers w:val="0"/>
                    <w:spacing w:before="0" w:beforeAutospacing="0" w:after="0" w:afterAutospacing="0"/>
                    <w:ind w:left="0" w:right="0"/>
                    <w:rPr>
                      <w:rFonts w:hint="default"/>
                    </w:rPr>
                  </w:pPr>
                </w:p>
              </w:tc>
            </w:tr>
            <w:tr w14:paraId="1926B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restart"/>
                  <w:tcBorders>
                    <w:top w:val="single" w:color="000000" w:sz="4" w:space="0"/>
                    <w:right w:val="single" w:color="000000" w:sz="4" w:space="0"/>
                    <w:tl2br w:val="nil"/>
                    <w:tr2bl w:val="nil"/>
                  </w:tcBorders>
                  <w:shd w:val="clear" w:color="auto" w:fill="auto"/>
                  <w:noWrap/>
                  <w:vAlign w:val="center"/>
                </w:tcPr>
                <w:p w14:paraId="2903C968">
                  <w:pPr>
                    <w:pStyle w:val="26"/>
                    <w:keepNext w:val="0"/>
                    <w:keepLines w:val="0"/>
                    <w:suppressLineNumbers w:val="0"/>
                    <w:spacing w:before="0" w:beforeAutospacing="0" w:after="0" w:afterAutospacing="0"/>
                    <w:ind w:left="0" w:right="0"/>
                    <w:rPr>
                      <w:rFonts w:hint="default"/>
                    </w:rPr>
                  </w:pPr>
                  <w:r>
                    <w:rPr>
                      <w:rFonts w:hint="default"/>
                    </w:rPr>
                    <w:t>柴油撬装站</w:t>
                  </w:r>
                </w:p>
              </w:tc>
              <w:tc>
                <w:tcPr>
                  <w:tcW w:w="616" w:type="pct"/>
                  <w:tcBorders>
                    <w:top w:val="single" w:color="000000" w:sz="4" w:space="0"/>
                    <w:left w:val="single" w:color="000000" w:sz="4" w:space="0"/>
                    <w:bottom w:val="single" w:color="000000" w:sz="4" w:space="0"/>
                    <w:tl2br w:val="nil"/>
                    <w:tr2bl w:val="nil"/>
                  </w:tcBorders>
                  <w:shd w:val="clear" w:color="auto" w:fill="auto"/>
                  <w:vAlign w:val="center"/>
                </w:tcPr>
                <w:p w14:paraId="19FBA4F8">
                  <w:pPr>
                    <w:pStyle w:val="26"/>
                    <w:keepNext w:val="0"/>
                    <w:keepLines w:val="0"/>
                    <w:suppressLineNumbers w:val="0"/>
                    <w:spacing w:before="0" w:beforeAutospacing="0" w:after="0" w:afterAutospacing="0"/>
                    <w:ind w:left="0" w:right="0"/>
                    <w:rPr>
                      <w:rFonts w:hint="default"/>
                    </w:rPr>
                  </w:pPr>
                  <w:r>
                    <w:rPr>
                      <w:rFonts w:hint="default"/>
                    </w:rPr>
                    <w:t>油罐大呼吸废气</w:t>
                  </w:r>
                </w:p>
              </w:tc>
              <w:tc>
                <w:tcPr>
                  <w:tcW w:w="400" w:type="pct"/>
                  <w:tcBorders>
                    <w:tl2br w:val="nil"/>
                    <w:tr2bl w:val="nil"/>
                  </w:tcBorders>
                  <w:shd w:val="clear" w:color="auto" w:fill="auto"/>
                  <w:noWrap/>
                  <w:vAlign w:val="center"/>
                </w:tcPr>
                <w:p w14:paraId="3CFC3341">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273" w:type="pct"/>
                  <w:tcBorders>
                    <w:tl2br w:val="nil"/>
                    <w:tr2bl w:val="nil"/>
                  </w:tcBorders>
                  <w:shd w:val="clear" w:color="auto" w:fill="auto"/>
                  <w:noWrap/>
                  <w:vAlign w:val="center"/>
                </w:tcPr>
                <w:p w14:paraId="3B6FBB46">
                  <w:pPr>
                    <w:pStyle w:val="28"/>
                    <w:keepNext w:val="0"/>
                    <w:keepLines w:val="0"/>
                    <w:suppressLineNumbers w:val="0"/>
                    <w:spacing w:before="0" w:beforeAutospacing="0" w:after="0" w:afterAutospacing="0"/>
                    <w:ind w:left="0" w:right="0"/>
                    <w:rPr>
                      <w:rFonts w:hint="default"/>
                      <w:color w:val="auto"/>
                    </w:rPr>
                  </w:pPr>
                  <w:r>
                    <w:rPr>
                      <w:rFonts w:hint="default"/>
                      <w:color w:val="auto"/>
                    </w:rPr>
                    <w:t>0.25</w:t>
                  </w:r>
                </w:p>
              </w:tc>
              <w:tc>
                <w:tcPr>
                  <w:tcW w:w="290" w:type="pct"/>
                  <w:tcBorders>
                    <w:tl2br w:val="nil"/>
                    <w:tr2bl w:val="nil"/>
                  </w:tcBorders>
                  <w:shd w:val="clear" w:color="auto" w:fill="auto"/>
                  <w:noWrap/>
                  <w:vAlign w:val="center"/>
                </w:tcPr>
                <w:p w14:paraId="09BAE45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3567A9F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78434CE5">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6" w:type="pct"/>
                  <w:tcBorders>
                    <w:tl2br w:val="nil"/>
                    <w:tr2bl w:val="nil"/>
                  </w:tcBorders>
                  <w:shd w:val="clear" w:color="auto" w:fill="auto"/>
                  <w:noWrap/>
                  <w:vAlign w:val="center"/>
                </w:tcPr>
                <w:p w14:paraId="3CEC2CDE">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56F62E8E">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3D28B6F7">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8" w:type="pct"/>
                  <w:tcBorders>
                    <w:tl2br w:val="nil"/>
                    <w:tr2bl w:val="nil"/>
                  </w:tcBorders>
                  <w:shd w:val="clear" w:color="auto" w:fill="auto"/>
                  <w:noWrap/>
                  <w:vAlign w:val="center"/>
                </w:tcPr>
                <w:p w14:paraId="242DA42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1" w:type="pct"/>
                  <w:tcBorders>
                    <w:tl2br w:val="nil"/>
                    <w:tr2bl w:val="nil"/>
                  </w:tcBorders>
                  <w:shd w:val="clear" w:color="auto" w:fill="auto"/>
                  <w:noWrap/>
                  <w:vAlign w:val="center"/>
                </w:tcPr>
                <w:p w14:paraId="30A2248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5" w:type="pct"/>
                  <w:tcBorders>
                    <w:tl2br w:val="nil"/>
                    <w:tr2bl w:val="nil"/>
                  </w:tcBorders>
                  <w:shd w:val="clear" w:color="auto" w:fill="auto"/>
                  <w:noWrap/>
                  <w:vAlign w:val="center"/>
                </w:tcPr>
                <w:p w14:paraId="7733E4C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5A133E99">
                  <w:pPr>
                    <w:pStyle w:val="28"/>
                    <w:keepNext w:val="0"/>
                    <w:keepLines w:val="0"/>
                    <w:suppressLineNumbers w:val="0"/>
                    <w:spacing w:before="0" w:beforeAutospacing="0" w:after="0" w:afterAutospacing="0"/>
                    <w:ind w:left="0" w:right="0"/>
                    <w:rPr>
                      <w:rFonts w:hint="default"/>
                      <w:color w:val="auto"/>
                    </w:rPr>
                  </w:pPr>
                  <w:r>
                    <w:rPr>
                      <w:rFonts w:hint="default"/>
                      <w:color w:val="auto"/>
                    </w:rPr>
                    <w:t>0.25</w:t>
                  </w:r>
                </w:p>
              </w:tc>
              <w:tc>
                <w:tcPr>
                  <w:tcW w:w="269" w:type="pct"/>
                  <w:tcBorders>
                    <w:tl2br w:val="nil"/>
                    <w:tr2bl w:val="nil"/>
                  </w:tcBorders>
                  <w:shd w:val="clear" w:color="auto" w:fill="auto"/>
                  <w:noWrap/>
                  <w:vAlign w:val="center"/>
                </w:tcPr>
                <w:p w14:paraId="17EED504">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r>
            <w:tr w14:paraId="3061BD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right w:val="single" w:color="000000" w:sz="4" w:space="0"/>
                    <w:tl2br w:val="nil"/>
                    <w:tr2bl w:val="nil"/>
                  </w:tcBorders>
                  <w:shd w:val="clear" w:color="auto" w:fill="auto"/>
                  <w:noWrap/>
                  <w:vAlign w:val="center"/>
                </w:tcPr>
                <w:p w14:paraId="42E342C1">
                  <w:pPr>
                    <w:pStyle w:val="26"/>
                    <w:keepNext w:val="0"/>
                    <w:keepLines w:val="0"/>
                    <w:suppressLineNumbers w:val="0"/>
                    <w:spacing w:before="0" w:beforeAutospacing="0" w:after="0" w:afterAutospacing="0"/>
                    <w:ind w:left="0" w:right="0"/>
                    <w:rPr>
                      <w:rFonts w:hint="default"/>
                    </w:rPr>
                  </w:pPr>
                </w:p>
              </w:tc>
              <w:tc>
                <w:tcPr>
                  <w:tcW w:w="616" w:type="pct"/>
                  <w:tcBorders>
                    <w:top w:val="single" w:color="000000" w:sz="4" w:space="0"/>
                    <w:left w:val="single" w:color="000000" w:sz="4" w:space="0"/>
                    <w:bottom w:val="single" w:color="000000" w:sz="4" w:space="0"/>
                    <w:tl2br w:val="nil"/>
                    <w:tr2bl w:val="nil"/>
                  </w:tcBorders>
                  <w:shd w:val="clear" w:color="auto" w:fill="auto"/>
                  <w:vAlign w:val="center"/>
                </w:tcPr>
                <w:p w14:paraId="4F4F0CA2">
                  <w:pPr>
                    <w:pStyle w:val="26"/>
                    <w:keepNext w:val="0"/>
                    <w:keepLines w:val="0"/>
                    <w:suppressLineNumbers w:val="0"/>
                    <w:spacing w:before="0" w:beforeAutospacing="0" w:after="0" w:afterAutospacing="0"/>
                    <w:ind w:left="0" w:right="0"/>
                    <w:rPr>
                      <w:rFonts w:hint="default"/>
                    </w:rPr>
                  </w:pPr>
                  <w:r>
                    <w:rPr>
                      <w:rFonts w:hint="default"/>
                    </w:rPr>
                    <w:t>油罐小呼吸废气</w:t>
                  </w:r>
                </w:p>
              </w:tc>
              <w:tc>
                <w:tcPr>
                  <w:tcW w:w="400" w:type="pct"/>
                  <w:tcBorders>
                    <w:tl2br w:val="nil"/>
                    <w:tr2bl w:val="nil"/>
                  </w:tcBorders>
                  <w:shd w:val="clear" w:color="auto" w:fill="auto"/>
                  <w:noWrap/>
                  <w:vAlign w:val="center"/>
                </w:tcPr>
                <w:p w14:paraId="7CDECA89">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273" w:type="pct"/>
                  <w:tcBorders>
                    <w:tl2br w:val="nil"/>
                    <w:tr2bl w:val="nil"/>
                  </w:tcBorders>
                  <w:shd w:val="clear" w:color="auto" w:fill="auto"/>
                  <w:noWrap/>
                  <w:vAlign w:val="center"/>
                </w:tcPr>
                <w:p w14:paraId="0C87EE85">
                  <w:pPr>
                    <w:pStyle w:val="28"/>
                    <w:keepNext w:val="0"/>
                    <w:keepLines w:val="0"/>
                    <w:suppressLineNumbers w:val="0"/>
                    <w:spacing w:before="0" w:beforeAutospacing="0" w:after="0" w:afterAutospacing="0"/>
                    <w:ind w:left="0" w:right="0"/>
                    <w:rPr>
                      <w:rFonts w:hint="default"/>
                      <w:color w:val="auto"/>
                    </w:rPr>
                  </w:pPr>
                  <w:r>
                    <w:rPr>
                      <w:rFonts w:hint="default"/>
                      <w:color w:val="auto"/>
                    </w:rPr>
                    <w:t>0.05</w:t>
                  </w:r>
                </w:p>
              </w:tc>
              <w:tc>
                <w:tcPr>
                  <w:tcW w:w="290" w:type="pct"/>
                  <w:tcBorders>
                    <w:tl2br w:val="nil"/>
                    <w:tr2bl w:val="nil"/>
                  </w:tcBorders>
                  <w:shd w:val="clear" w:color="auto" w:fill="auto"/>
                  <w:noWrap/>
                  <w:vAlign w:val="center"/>
                </w:tcPr>
                <w:p w14:paraId="55AF1E9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065A42E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3839AD3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6" w:type="pct"/>
                  <w:tcBorders>
                    <w:tl2br w:val="nil"/>
                    <w:tr2bl w:val="nil"/>
                  </w:tcBorders>
                  <w:shd w:val="clear" w:color="auto" w:fill="auto"/>
                  <w:noWrap/>
                  <w:vAlign w:val="center"/>
                </w:tcPr>
                <w:p w14:paraId="1084CCB7">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3AF0D4A4">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52ED283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8" w:type="pct"/>
                  <w:tcBorders>
                    <w:tl2br w:val="nil"/>
                    <w:tr2bl w:val="nil"/>
                  </w:tcBorders>
                  <w:shd w:val="clear" w:color="auto" w:fill="auto"/>
                  <w:noWrap/>
                  <w:vAlign w:val="center"/>
                </w:tcPr>
                <w:p w14:paraId="30842010">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1" w:type="pct"/>
                  <w:tcBorders>
                    <w:tl2br w:val="nil"/>
                    <w:tr2bl w:val="nil"/>
                  </w:tcBorders>
                  <w:shd w:val="clear" w:color="auto" w:fill="auto"/>
                  <w:noWrap/>
                  <w:vAlign w:val="center"/>
                </w:tcPr>
                <w:p w14:paraId="7CD1D7AB">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5" w:type="pct"/>
                  <w:tcBorders>
                    <w:tl2br w:val="nil"/>
                    <w:tr2bl w:val="nil"/>
                  </w:tcBorders>
                  <w:shd w:val="clear" w:color="auto" w:fill="auto"/>
                  <w:noWrap/>
                  <w:vAlign w:val="center"/>
                </w:tcPr>
                <w:p w14:paraId="726247A5">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13002047">
                  <w:pPr>
                    <w:pStyle w:val="28"/>
                    <w:keepNext w:val="0"/>
                    <w:keepLines w:val="0"/>
                    <w:suppressLineNumbers w:val="0"/>
                    <w:spacing w:before="0" w:beforeAutospacing="0" w:after="0" w:afterAutospacing="0"/>
                    <w:ind w:left="0" w:right="0"/>
                    <w:rPr>
                      <w:rFonts w:hint="default"/>
                      <w:color w:val="auto"/>
                    </w:rPr>
                  </w:pPr>
                  <w:r>
                    <w:rPr>
                      <w:rFonts w:hint="default"/>
                      <w:color w:val="auto"/>
                    </w:rPr>
                    <w:t>0.05</w:t>
                  </w:r>
                </w:p>
              </w:tc>
              <w:tc>
                <w:tcPr>
                  <w:tcW w:w="269" w:type="pct"/>
                  <w:tcBorders>
                    <w:tl2br w:val="nil"/>
                    <w:tr2bl w:val="nil"/>
                  </w:tcBorders>
                  <w:shd w:val="clear" w:color="auto" w:fill="auto"/>
                  <w:noWrap/>
                  <w:vAlign w:val="center"/>
                </w:tcPr>
                <w:p w14:paraId="0917228C">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r>
            <w:tr w14:paraId="72BE5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0" w:type="pct"/>
                  <w:vMerge w:val="continue"/>
                  <w:tcBorders>
                    <w:bottom w:val="single" w:color="000000" w:sz="4" w:space="0"/>
                    <w:right w:val="single" w:color="000000" w:sz="4" w:space="0"/>
                    <w:tl2br w:val="nil"/>
                    <w:tr2bl w:val="nil"/>
                  </w:tcBorders>
                  <w:shd w:val="clear" w:color="auto" w:fill="auto"/>
                  <w:noWrap/>
                  <w:vAlign w:val="center"/>
                </w:tcPr>
                <w:p w14:paraId="196FEBC7">
                  <w:pPr>
                    <w:pStyle w:val="26"/>
                    <w:keepNext w:val="0"/>
                    <w:keepLines w:val="0"/>
                    <w:suppressLineNumbers w:val="0"/>
                    <w:spacing w:before="0" w:beforeAutospacing="0" w:after="0" w:afterAutospacing="0"/>
                    <w:ind w:left="0" w:right="0"/>
                    <w:rPr>
                      <w:rFonts w:hint="default"/>
                    </w:rPr>
                  </w:pPr>
                </w:p>
              </w:tc>
              <w:tc>
                <w:tcPr>
                  <w:tcW w:w="616" w:type="pct"/>
                  <w:tcBorders>
                    <w:top w:val="single" w:color="000000" w:sz="4" w:space="0"/>
                    <w:left w:val="single" w:color="000000" w:sz="4" w:space="0"/>
                    <w:bottom w:val="single" w:color="000000" w:sz="4" w:space="0"/>
                    <w:tl2br w:val="nil"/>
                    <w:tr2bl w:val="nil"/>
                  </w:tcBorders>
                  <w:shd w:val="clear" w:color="auto" w:fill="auto"/>
                  <w:vAlign w:val="center"/>
                </w:tcPr>
                <w:p w14:paraId="47EF92A7">
                  <w:pPr>
                    <w:pStyle w:val="26"/>
                    <w:keepNext w:val="0"/>
                    <w:keepLines w:val="0"/>
                    <w:suppressLineNumbers w:val="0"/>
                    <w:spacing w:before="0" w:beforeAutospacing="0" w:after="0" w:afterAutospacing="0"/>
                    <w:ind w:left="0" w:right="0"/>
                    <w:rPr>
                      <w:rFonts w:hint="default"/>
                    </w:rPr>
                  </w:pPr>
                  <w:r>
                    <w:rPr>
                      <w:rFonts w:hint="default"/>
                    </w:rPr>
                    <w:t>加油枪废气</w:t>
                  </w:r>
                </w:p>
              </w:tc>
              <w:tc>
                <w:tcPr>
                  <w:tcW w:w="400" w:type="pct"/>
                  <w:tcBorders>
                    <w:tl2br w:val="nil"/>
                    <w:tr2bl w:val="nil"/>
                  </w:tcBorders>
                  <w:shd w:val="clear" w:color="auto" w:fill="auto"/>
                  <w:noWrap/>
                  <w:vAlign w:val="center"/>
                </w:tcPr>
                <w:p w14:paraId="0C262151">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273" w:type="pct"/>
                  <w:tcBorders>
                    <w:tl2br w:val="nil"/>
                    <w:tr2bl w:val="nil"/>
                  </w:tcBorders>
                  <w:shd w:val="clear" w:color="auto" w:fill="auto"/>
                  <w:noWrap/>
                  <w:vAlign w:val="center"/>
                </w:tcPr>
                <w:p w14:paraId="01597CD5">
                  <w:pPr>
                    <w:pStyle w:val="28"/>
                    <w:keepNext w:val="0"/>
                    <w:keepLines w:val="0"/>
                    <w:suppressLineNumbers w:val="0"/>
                    <w:spacing w:before="0" w:beforeAutospacing="0" w:after="0" w:afterAutospacing="0"/>
                    <w:ind w:left="0" w:right="0"/>
                    <w:rPr>
                      <w:rFonts w:hint="default"/>
                      <w:color w:val="auto"/>
                    </w:rPr>
                  </w:pPr>
                  <w:r>
                    <w:rPr>
                      <w:rFonts w:hint="default"/>
                      <w:color w:val="auto"/>
                    </w:rPr>
                    <w:t>0.45</w:t>
                  </w:r>
                </w:p>
              </w:tc>
              <w:tc>
                <w:tcPr>
                  <w:tcW w:w="290" w:type="pct"/>
                  <w:tcBorders>
                    <w:tl2br w:val="nil"/>
                    <w:tr2bl w:val="nil"/>
                  </w:tcBorders>
                  <w:shd w:val="clear" w:color="auto" w:fill="auto"/>
                  <w:noWrap/>
                  <w:vAlign w:val="center"/>
                </w:tcPr>
                <w:p w14:paraId="7F9EC506">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43EE7419">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76C2783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6" w:type="pct"/>
                  <w:tcBorders>
                    <w:tl2br w:val="nil"/>
                    <w:tr2bl w:val="nil"/>
                  </w:tcBorders>
                  <w:shd w:val="clear" w:color="auto" w:fill="auto"/>
                  <w:noWrap/>
                  <w:vAlign w:val="center"/>
                </w:tcPr>
                <w:p w14:paraId="08D8CDC4">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290" w:type="pct"/>
                  <w:tcBorders>
                    <w:tl2br w:val="nil"/>
                    <w:tr2bl w:val="nil"/>
                  </w:tcBorders>
                  <w:shd w:val="clear" w:color="auto" w:fill="auto"/>
                  <w:noWrap/>
                  <w:vAlign w:val="center"/>
                </w:tcPr>
                <w:p w14:paraId="646DD761">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2534978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8" w:type="pct"/>
                  <w:tcBorders>
                    <w:tl2br w:val="nil"/>
                    <w:tr2bl w:val="nil"/>
                  </w:tcBorders>
                  <w:shd w:val="clear" w:color="auto" w:fill="auto"/>
                  <w:noWrap/>
                  <w:vAlign w:val="center"/>
                </w:tcPr>
                <w:p w14:paraId="41ADF88F">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31" w:type="pct"/>
                  <w:tcBorders>
                    <w:tl2br w:val="nil"/>
                    <w:tr2bl w:val="nil"/>
                  </w:tcBorders>
                  <w:shd w:val="clear" w:color="auto" w:fill="auto"/>
                  <w:noWrap/>
                  <w:vAlign w:val="center"/>
                </w:tcPr>
                <w:p w14:paraId="7036BF0A">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5" w:type="pct"/>
                  <w:tcBorders>
                    <w:tl2br w:val="nil"/>
                    <w:tr2bl w:val="nil"/>
                  </w:tcBorders>
                  <w:shd w:val="clear" w:color="auto" w:fill="auto"/>
                  <w:noWrap/>
                  <w:vAlign w:val="center"/>
                </w:tcPr>
                <w:p w14:paraId="482D331F">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301" w:type="pct"/>
                  <w:tcBorders>
                    <w:tl2br w:val="nil"/>
                    <w:tr2bl w:val="nil"/>
                  </w:tcBorders>
                  <w:shd w:val="clear" w:color="auto" w:fill="auto"/>
                  <w:noWrap/>
                  <w:vAlign w:val="center"/>
                </w:tcPr>
                <w:p w14:paraId="0AFDA54E">
                  <w:pPr>
                    <w:pStyle w:val="28"/>
                    <w:keepNext w:val="0"/>
                    <w:keepLines w:val="0"/>
                    <w:suppressLineNumbers w:val="0"/>
                    <w:spacing w:before="0" w:beforeAutospacing="0" w:after="0" w:afterAutospacing="0"/>
                    <w:ind w:left="0" w:right="0"/>
                    <w:rPr>
                      <w:rFonts w:hint="default"/>
                      <w:color w:val="auto"/>
                    </w:rPr>
                  </w:pPr>
                  <w:r>
                    <w:rPr>
                      <w:rFonts w:hint="default"/>
                      <w:color w:val="auto"/>
                    </w:rPr>
                    <w:t>0.45</w:t>
                  </w:r>
                </w:p>
              </w:tc>
              <w:tc>
                <w:tcPr>
                  <w:tcW w:w="269" w:type="pct"/>
                  <w:tcBorders>
                    <w:tl2br w:val="nil"/>
                    <w:tr2bl w:val="nil"/>
                  </w:tcBorders>
                  <w:shd w:val="clear" w:color="auto" w:fill="auto"/>
                  <w:noWrap/>
                  <w:vAlign w:val="center"/>
                </w:tcPr>
                <w:p w14:paraId="381B0BF3">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r>
            <w:tr w14:paraId="03B59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Merge w:val="restart"/>
                  <w:tcBorders>
                    <w:top w:val="single" w:color="000000" w:sz="4" w:space="0"/>
                    <w:tl2br w:val="nil"/>
                    <w:tr2bl w:val="nil"/>
                  </w:tcBorders>
                  <w:shd w:val="clear" w:color="auto" w:fill="auto"/>
                  <w:noWrap/>
                  <w:vAlign w:val="center"/>
                </w:tcPr>
                <w:p w14:paraId="5FE712F0">
                  <w:pPr>
                    <w:pStyle w:val="26"/>
                    <w:keepNext w:val="0"/>
                    <w:keepLines w:val="0"/>
                    <w:suppressLineNumbers w:val="0"/>
                    <w:spacing w:before="0" w:beforeAutospacing="0" w:after="0" w:afterAutospacing="0"/>
                    <w:ind w:left="0" w:right="0"/>
                    <w:rPr>
                      <w:rFonts w:hint="default"/>
                    </w:rPr>
                  </w:pPr>
                  <w:r>
                    <w:rPr>
                      <w:rFonts w:hint="default"/>
                    </w:rPr>
                    <w:t>硫磺生产线产生量小计</w:t>
                  </w:r>
                </w:p>
              </w:tc>
              <w:tc>
                <w:tcPr>
                  <w:tcW w:w="400" w:type="pct"/>
                  <w:tcBorders>
                    <w:tl2br w:val="nil"/>
                    <w:tr2bl w:val="nil"/>
                  </w:tcBorders>
                  <w:shd w:val="clear" w:color="auto" w:fill="auto"/>
                  <w:noWrap/>
                  <w:vAlign w:val="center"/>
                </w:tcPr>
                <w:p w14:paraId="5D096C9F">
                  <w:pPr>
                    <w:pStyle w:val="26"/>
                    <w:keepNext w:val="0"/>
                    <w:keepLines w:val="0"/>
                    <w:suppressLineNumbers w:val="0"/>
                    <w:spacing w:before="0" w:beforeAutospacing="0" w:after="0" w:afterAutospacing="0"/>
                    <w:ind w:left="0" w:right="0"/>
                    <w:rPr>
                      <w:rFonts w:hint="default"/>
                    </w:rPr>
                  </w:pPr>
                  <w:r>
                    <w:rPr>
                      <w:rFonts w:hint="default"/>
                    </w:rPr>
                    <w:t>颗粒物</w:t>
                  </w:r>
                </w:p>
              </w:tc>
              <w:tc>
                <w:tcPr>
                  <w:tcW w:w="273" w:type="pct"/>
                  <w:tcBorders>
                    <w:tl2br w:val="nil"/>
                    <w:tr2bl w:val="nil"/>
                  </w:tcBorders>
                  <w:shd w:val="clear" w:color="auto" w:fill="auto"/>
                  <w:noWrap/>
                  <w:vAlign w:val="center"/>
                </w:tcPr>
                <w:p w14:paraId="66898A73">
                  <w:pPr>
                    <w:pStyle w:val="26"/>
                    <w:keepNext w:val="0"/>
                    <w:keepLines w:val="0"/>
                    <w:suppressLineNumbers w:val="0"/>
                    <w:spacing w:before="0" w:beforeAutospacing="0" w:after="0" w:afterAutospacing="0"/>
                    <w:ind w:left="0" w:right="0"/>
                    <w:rPr>
                      <w:rFonts w:hint="default"/>
                    </w:rPr>
                  </w:pPr>
                  <w:r>
                    <w:rPr>
                      <w:rFonts w:hint="default"/>
                    </w:rPr>
                    <w:t>17.05</w:t>
                  </w:r>
                </w:p>
              </w:tc>
              <w:tc>
                <w:tcPr>
                  <w:tcW w:w="3312" w:type="pct"/>
                  <w:gridSpan w:val="11"/>
                  <w:tcBorders>
                    <w:tl2br w:val="nil"/>
                    <w:tr2bl w:val="nil"/>
                  </w:tcBorders>
                  <w:shd w:val="clear" w:color="auto" w:fill="auto"/>
                  <w:noWrap/>
                  <w:vAlign w:val="center"/>
                </w:tcPr>
                <w:p w14:paraId="33368364">
                  <w:pPr>
                    <w:pStyle w:val="26"/>
                    <w:keepNext w:val="0"/>
                    <w:keepLines w:val="0"/>
                    <w:suppressLineNumbers w:val="0"/>
                    <w:spacing w:before="0" w:beforeAutospacing="0" w:after="0" w:afterAutospacing="0"/>
                    <w:ind w:left="0" w:right="0"/>
                    <w:rPr>
                      <w:rFonts w:hint="default"/>
                    </w:rPr>
                  </w:pPr>
                  <w:r>
                    <w:rPr>
                      <w:rFonts w:hint="default"/>
                    </w:rPr>
                    <w:t>/</w:t>
                  </w:r>
                </w:p>
              </w:tc>
            </w:tr>
            <w:tr w14:paraId="72FA90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Merge w:val="continue"/>
                  <w:tcBorders>
                    <w:tl2br w:val="nil"/>
                    <w:tr2bl w:val="nil"/>
                  </w:tcBorders>
                  <w:shd w:val="clear" w:color="auto" w:fill="auto"/>
                  <w:noWrap/>
                  <w:vAlign w:val="center"/>
                </w:tcPr>
                <w:p w14:paraId="4735497E">
                  <w:pPr>
                    <w:pStyle w:val="26"/>
                    <w:keepNext w:val="0"/>
                    <w:keepLines w:val="0"/>
                    <w:suppressLineNumbers w:val="0"/>
                    <w:spacing w:before="0" w:beforeAutospacing="0" w:after="0" w:afterAutospacing="0"/>
                    <w:ind w:left="0" w:right="0"/>
                    <w:rPr>
                      <w:rFonts w:hint="default"/>
                    </w:rPr>
                  </w:pPr>
                </w:p>
              </w:tc>
              <w:tc>
                <w:tcPr>
                  <w:tcW w:w="400" w:type="pct"/>
                  <w:tcBorders>
                    <w:tl2br w:val="nil"/>
                    <w:tr2bl w:val="nil"/>
                  </w:tcBorders>
                  <w:shd w:val="clear" w:color="auto" w:fill="auto"/>
                  <w:noWrap/>
                  <w:vAlign w:val="center"/>
                </w:tcPr>
                <w:p w14:paraId="7B266EA6">
                  <w:pPr>
                    <w:pStyle w:val="26"/>
                    <w:keepNext w:val="0"/>
                    <w:keepLines w:val="0"/>
                    <w:suppressLineNumbers w:val="0"/>
                    <w:spacing w:before="0" w:beforeAutospacing="0" w:after="0" w:afterAutospacing="0"/>
                    <w:ind w:left="0" w:right="0"/>
                    <w:rPr>
                      <w:rFonts w:hint="default"/>
                    </w:rPr>
                  </w:pPr>
                  <w:r>
                    <w:rPr>
                      <w:rFonts w:hint="default"/>
                    </w:rPr>
                    <w:t>硫化氢</w:t>
                  </w:r>
                </w:p>
              </w:tc>
              <w:tc>
                <w:tcPr>
                  <w:tcW w:w="273" w:type="pct"/>
                  <w:tcBorders>
                    <w:tl2br w:val="nil"/>
                    <w:tr2bl w:val="nil"/>
                  </w:tcBorders>
                  <w:shd w:val="clear" w:color="auto" w:fill="auto"/>
                  <w:noWrap/>
                  <w:vAlign w:val="center"/>
                </w:tcPr>
                <w:p w14:paraId="3E92CC1A">
                  <w:pPr>
                    <w:pStyle w:val="26"/>
                    <w:keepNext w:val="0"/>
                    <w:keepLines w:val="0"/>
                    <w:suppressLineNumbers w:val="0"/>
                    <w:spacing w:before="0" w:beforeAutospacing="0" w:after="0" w:afterAutospacing="0"/>
                    <w:ind w:left="0" w:right="0"/>
                    <w:rPr>
                      <w:rFonts w:hint="default"/>
                    </w:rPr>
                  </w:pPr>
                  <w:r>
                    <w:rPr>
                      <w:rFonts w:hint="default"/>
                    </w:rPr>
                    <w:t>1.503</w:t>
                  </w:r>
                </w:p>
              </w:tc>
              <w:tc>
                <w:tcPr>
                  <w:tcW w:w="3312" w:type="pct"/>
                  <w:gridSpan w:val="11"/>
                  <w:tcBorders>
                    <w:tl2br w:val="nil"/>
                    <w:tr2bl w:val="nil"/>
                  </w:tcBorders>
                  <w:shd w:val="clear" w:color="auto" w:fill="auto"/>
                  <w:noWrap/>
                  <w:vAlign w:val="center"/>
                </w:tcPr>
                <w:p w14:paraId="0F8FC8EB">
                  <w:pPr>
                    <w:pStyle w:val="26"/>
                    <w:keepNext w:val="0"/>
                    <w:keepLines w:val="0"/>
                    <w:suppressLineNumbers w:val="0"/>
                    <w:spacing w:before="0" w:beforeAutospacing="0" w:after="0" w:afterAutospacing="0"/>
                    <w:ind w:left="0" w:right="0"/>
                    <w:rPr>
                      <w:rFonts w:hint="default"/>
                    </w:rPr>
                  </w:pPr>
                  <w:r>
                    <w:rPr>
                      <w:rFonts w:hint="default"/>
                    </w:rPr>
                    <w:t>/</w:t>
                  </w:r>
                </w:p>
              </w:tc>
            </w:tr>
            <w:tr w14:paraId="5BC8F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tcBorders>
                    <w:tl2br w:val="nil"/>
                    <w:tr2bl w:val="nil"/>
                  </w:tcBorders>
                  <w:shd w:val="clear" w:color="auto" w:fill="auto"/>
                  <w:noWrap/>
                  <w:vAlign w:val="center"/>
                </w:tcPr>
                <w:p w14:paraId="68F4C486">
                  <w:pPr>
                    <w:pStyle w:val="26"/>
                    <w:keepNext w:val="0"/>
                    <w:keepLines w:val="0"/>
                    <w:suppressLineNumbers w:val="0"/>
                    <w:spacing w:before="0" w:beforeAutospacing="0" w:after="0" w:afterAutospacing="0"/>
                    <w:ind w:left="0" w:right="0"/>
                    <w:rPr>
                      <w:rFonts w:hint="default"/>
                    </w:rPr>
                  </w:pPr>
                  <w:r>
                    <w:rPr>
                      <w:rFonts w:hint="default"/>
                    </w:rPr>
                    <w:t>柴油撬装站产生量小计</w:t>
                  </w:r>
                </w:p>
              </w:tc>
              <w:tc>
                <w:tcPr>
                  <w:tcW w:w="400" w:type="pct"/>
                  <w:tcBorders>
                    <w:tl2br w:val="nil"/>
                    <w:tr2bl w:val="nil"/>
                  </w:tcBorders>
                  <w:shd w:val="clear" w:color="auto" w:fill="auto"/>
                  <w:noWrap/>
                  <w:vAlign w:val="center"/>
                </w:tcPr>
                <w:p w14:paraId="066BA39C">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273" w:type="pct"/>
                  <w:tcBorders>
                    <w:tl2br w:val="nil"/>
                    <w:tr2bl w:val="nil"/>
                  </w:tcBorders>
                  <w:shd w:val="clear" w:color="auto" w:fill="auto"/>
                  <w:noWrap/>
                  <w:vAlign w:val="center"/>
                </w:tcPr>
                <w:p w14:paraId="088BC267">
                  <w:pPr>
                    <w:pStyle w:val="26"/>
                    <w:keepNext w:val="0"/>
                    <w:keepLines w:val="0"/>
                    <w:suppressLineNumbers w:val="0"/>
                    <w:spacing w:before="0" w:beforeAutospacing="0" w:after="0" w:afterAutospacing="0"/>
                    <w:ind w:left="0" w:right="0"/>
                    <w:rPr>
                      <w:rFonts w:hint="default"/>
                    </w:rPr>
                  </w:pPr>
                  <w:r>
                    <w:rPr>
                      <w:rFonts w:hint="default"/>
                    </w:rPr>
                    <w:t>0.75</w:t>
                  </w:r>
                </w:p>
              </w:tc>
              <w:tc>
                <w:tcPr>
                  <w:tcW w:w="3312" w:type="pct"/>
                  <w:gridSpan w:val="11"/>
                  <w:tcBorders>
                    <w:tl2br w:val="nil"/>
                    <w:tr2bl w:val="nil"/>
                  </w:tcBorders>
                  <w:shd w:val="clear" w:color="auto" w:fill="auto"/>
                  <w:noWrap/>
                  <w:vAlign w:val="center"/>
                </w:tcPr>
                <w:p w14:paraId="449378D0">
                  <w:pPr>
                    <w:pStyle w:val="26"/>
                    <w:keepNext w:val="0"/>
                    <w:keepLines w:val="0"/>
                    <w:suppressLineNumbers w:val="0"/>
                    <w:spacing w:before="0" w:beforeAutospacing="0" w:after="0" w:afterAutospacing="0"/>
                    <w:ind w:left="0" w:right="0"/>
                    <w:rPr>
                      <w:rFonts w:hint="default"/>
                    </w:rPr>
                  </w:pPr>
                  <w:r>
                    <w:rPr>
                      <w:rFonts w:hint="default"/>
                    </w:rPr>
                    <w:t>/</w:t>
                  </w:r>
                </w:p>
              </w:tc>
            </w:tr>
          </w:tbl>
          <w:p w14:paraId="100CAF4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本项目有组织废气排放统计及达标情况分析如下：</w:t>
            </w:r>
          </w:p>
          <w:p w14:paraId="6F7170FC">
            <w:pPr>
              <w:keepNext w:val="0"/>
              <w:keepLines w:val="0"/>
              <w:suppressLineNumbers w:val="0"/>
              <w:spacing w:before="0" w:beforeAutospacing="0" w:after="0" w:afterAutospacing="0"/>
              <w:ind w:left="0" w:right="0" w:firstLine="480"/>
              <w:rPr>
                <w:rFonts w:hint="default" w:cs="Times New Roman"/>
                <w:color w:val="auto"/>
              </w:rPr>
            </w:pPr>
          </w:p>
          <w:p w14:paraId="461589EB">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本项目大气污染物有组织排放核算及达标分析</w:t>
            </w:r>
          </w:p>
          <w:tbl>
            <w:tblPr>
              <w:tblStyle w:val="18"/>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1881"/>
              <w:gridCol w:w="900"/>
              <w:gridCol w:w="1620"/>
              <w:gridCol w:w="1484"/>
              <w:gridCol w:w="1604"/>
              <w:gridCol w:w="2018"/>
              <w:gridCol w:w="1656"/>
              <w:gridCol w:w="1021"/>
            </w:tblGrid>
            <w:tr w14:paraId="0C55E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4" w:type="pct"/>
                  <w:vMerge w:val="restart"/>
                  <w:tcBorders>
                    <w:tl2br w:val="nil"/>
                    <w:tr2bl w:val="nil"/>
                  </w:tcBorders>
                  <w:shd w:val="clear" w:color="auto" w:fill="auto"/>
                  <w:vAlign w:val="center"/>
                </w:tcPr>
                <w:p w14:paraId="71F46AD7">
                  <w:pPr>
                    <w:pStyle w:val="26"/>
                    <w:keepNext w:val="0"/>
                    <w:keepLines w:val="0"/>
                    <w:suppressLineNumbers w:val="0"/>
                    <w:spacing w:before="0" w:beforeAutospacing="0" w:after="0" w:afterAutospacing="0"/>
                    <w:ind w:left="0" w:right="0"/>
                    <w:rPr>
                      <w:rFonts w:hint="default"/>
                    </w:rPr>
                  </w:pPr>
                  <w:r>
                    <w:rPr>
                      <w:rFonts w:hint="default"/>
                    </w:rPr>
                    <w:t>序号</w:t>
                  </w:r>
                </w:p>
              </w:tc>
              <w:tc>
                <w:tcPr>
                  <w:tcW w:w="719" w:type="pct"/>
                  <w:vMerge w:val="restart"/>
                  <w:tcBorders>
                    <w:tl2br w:val="nil"/>
                    <w:tr2bl w:val="nil"/>
                  </w:tcBorders>
                  <w:shd w:val="clear" w:color="auto" w:fill="auto"/>
                  <w:vAlign w:val="center"/>
                </w:tcPr>
                <w:p w14:paraId="13596041">
                  <w:pPr>
                    <w:pStyle w:val="26"/>
                    <w:keepNext w:val="0"/>
                    <w:keepLines w:val="0"/>
                    <w:suppressLineNumbers w:val="0"/>
                    <w:spacing w:before="0" w:beforeAutospacing="0" w:after="0" w:afterAutospacing="0"/>
                    <w:ind w:left="0" w:right="0"/>
                    <w:rPr>
                      <w:rFonts w:hint="default"/>
                    </w:rPr>
                  </w:pPr>
                  <w:r>
                    <w:rPr>
                      <w:rFonts w:hint="default"/>
                    </w:rPr>
                    <w:t>排放口编号</w:t>
                  </w:r>
                </w:p>
              </w:tc>
              <w:tc>
                <w:tcPr>
                  <w:tcW w:w="344" w:type="pct"/>
                  <w:vMerge w:val="restart"/>
                  <w:tcBorders>
                    <w:tl2br w:val="nil"/>
                    <w:tr2bl w:val="nil"/>
                  </w:tcBorders>
                  <w:shd w:val="clear" w:color="auto" w:fill="auto"/>
                  <w:vAlign w:val="center"/>
                </w:tcPr>
                <w:p w14:paraId="4C8B7F6D">
                  <w:pPr>
                    <w:pStyle w:val="26"/>
                    <w:keepNext w:val="0"/>
                    <w:keepLines w:val="0"/>
                    <w:suppressLineNumbers w:val="0"/>
                    <w:spacing w:before="0" w:beforeAutospacing="0" w:after="0" w:afterAutospacing="0"/>
                    <w:ind w:left="0" w:right="0"/>
                    <w:rPr>
                      <w:rFonts w:hint="default"/>
                    </w:rPr>
                  </w:pPr>
                  <w:r>
                    <w:rPr>
                      <w:rFonts w:hint="default"/>
                    </w:rPr>
                    <w:t>污染物</w:t>
                  </w:r>
                </w:p>
              </w:tc>
              <w:tc>
                <w:tcPr>
                  <w:tcW w:w="619" w:type="pct"/>
                  <w:tcBorders>
                    <w:tl2br w:val="nil"/>
                    <w:tr2bl w:val="nil"/>
                  </w:tcBorders>
                  <w:shd w:val="clear" w:color="auto" w:fill="auto"/>
                  <w:vAlign w:val="center"/>
                </w:tcPr>
                <w:p w14:paraId="491041D7">
                  <w:pPr>
                    <w:pStyle w:val="26"/>
                    <w:keepNext w:val="0"/>
                    <w:keepLines w:val="0"/>
                    <w:suppressLineNumbers w:val="0"/>
                    <w:spacing w:before="0" w:beforeAutospacing="0" w:after="0" w:afterAutospacing="0"/>
                    <w:ind w:left="0" w:right="0"/>
                    <w:rPr>
                      <w:rFonts w:hint="default"/>
                    </w:rPr>
                  </w:pPr>
                  <w:r>
                    <w:rPr>
                      <w:rFonts w:hint="default"/>
                    </w:rPr>
                    <w:t>核算排放浓度</w:t>
                  </w:r>
                </w:p>
              </w:tc>
              <w:tc>
                <w:tcPr>
                  <w:tcW w:w="567" w:type="pct"/>
                  <w:tcBorders>
                    <w:tl2br w:val="nil"/>
                    <w:tr2bl w:val="nil"/>
                  </w:tcBorders>
                  <w:shd w:val="clear" w:color="auto" w:fill="auto"/>
                  <w:vAlign w:val="center"/>
                </w:tcPr>
                <w:p w14:paraId="432F2B63">
                  <w:pPr>
                    <w:pStyle w:val="26"/>
                    <w:keepNext w:val="0"/>
                    <w:keepLines w:val="0"/>
                    <w:suppressLineNumbers w:val="0"/>
                    <w:spacing w:before="0" w:beforeAutospacing="0" w:after="0" w:afterAutospacing="0"/>
                    <w:ind w:left="0" w:right="0"/>
                    <w:rPr>
                      <w:rFonts w:hint="default"/>
                    </w:rPr>
                  </w:pPr>
                  <w:r>
                    <w:rPr>
                      <w:rFonts w:hint="default"/>
                    </w:rPr>
                    <w:t>核算排放速率</w:t>
                  </w:r>
                </w:p>
              </w:tc>
              <w:tc>
                <w:tcPr>
                  <w:tcW w:w="613" w:type="pct"/>
                  <w:tcBorders>
                    <w:tl2br w:val="nil"/>
                    <w:tr2bl w:val="nil"/>
                  </w:tcBorders>
                  <w:shd w:val="clear" w:color="auto" w:fill="auto"/>
                  <w:vAlign w:val="center"/>
                </w:tcPr>
                <w:p w14:paraId="6AB76350">
                  <w:pPr>
                    <w:pStyle w:val="26"/>
                    <w:keepNext w:val="0"/>
                    <w:keepLines w:val="0"/>
                    <w:suppressLineNumbers w:val="0"/>
                    <w:spacing w:before="0" w:beforeAutospacing="0" w:after="0" w:afterAutospacing="0"/>
                    <w:ind w:left="0" w:right="0"/>
                    <w:rPr>
                      <w:rFonts w:hint="default"/>
                    </w:rPr>
                  </w:pPr>
                  <w:r>
                    <w:rPr>
                      <w:rFonts w:hint="default"/>
                    </w:rPr>
                    <w:t>核算年排放量</w:t>
                  </w:r>
                </w:p>
              </w:tc>
              <w:tc>
                <w:tcPr>
                  <w:tcW w:w="1404" w:type="pct"/>
                  <w:gridSpan w:val="2"/>
                  <w:tcBorders>
                    <w:tl2br w:val="nil"/>
                    <w:tr2bl w:val="nil"/>
                  </w:tcBorders>
                  <w:shd w:val="clear" w:color="auto" w:fill="auto"/>
                  <w:vAlign w:val="center"/>
                </w:tcPr>
                <w:p w14:paraId="53F4779A">
                  <w:pPr>
                    <w:pStyle w:val="26"/>
                    <w:keepNext w:val="0"/>
                    <w:keepLines w:val="0"/>
                    <w:suppressLineNumbers w:val="0"/>
                    <w:spacing w:before="0" w:beforeAutospacing="0" w:after="0" w:afterAutospacing="0"/>
                    <w:ind w:left="0" w:right="0"/>
                    <w:rPr>
                      <w:rFonts w:hint="default"/>
                    </w:rPr>
                  </w:pPr>
                  <w:r>
                    <w:rPr>
                      <w:rFonts w:hint="default"/>
                    </w:rPr>
                    <w:t>排放标准</w:t>
                  </w:r>
                </w:p>
              </w:tc>
              <w:tc>
                <w:tcPr>
                  <w:tcW w:w="390" w:type="pct"/>
                  <w:vMerge w:val="restart"/>
                  <w:tcBorders>
                    <w:tl2br w:val="nil"/>
                    <w:tr2bl w:val="nil"/>
                  </w:tcBorders>
                  <w:shd w:val="clear" w:color="auto" w:fill="auto"/>
                  <w:vAlign w:val="center"/>
                </w:tcPr>
                <w:p w14:paraId="0FCEB90F">
                  <w:pPr>
                    <w:pStyle w:val="26"/>
                    <w:keepNext w:val="0"/>
                    <w:keepLines w:val="0"/>
                    <w:suppressLineNumbers w:val="0"/>
                    <w:spacing w:before="0" w:beforeAutospacing="0" w:after="0" w:afterAutospacing="0"/>
                    <w:ind w:left="0" w:right="0"/>
                    <w:rPr>
                      <w:rFonts w:hint="default"/>
                    </w:rPr>
                  </w:pPr>
                  <w:r>
                    <w:rPr>
                      <w:rFonts w:hint="default"/>
                    </w:rPr>
                    <w:t>达标分析</w:t>
                  </w:r>
                </w:p>
              </w:tc>
            </w:tr>
            <w:tr w14:paraId="1BE37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4" w:type="pct"/>
                  <w:vMerge w:val="continue"/>
                  <w:tcBorders>
                    <w:tl2br w:val="nil"/>
                    <w:tr2bl w:val="nil"/>
                  </w:tcBorders>
                  <w:shd w:val="clear" w:color="auto" w:fill="auto"/>
                  <w:vAlign w:val="center"/>
                </w:tcPr>
                <w:p w14:paraId="51F8F536">
                  <w:pPr>
                    <w:pStyle w:val="26"/>
                    <w:keepNext w:val="0"/>
                    <w:keepLines w:val="0"/>
                    <w:suppressLineNumbers w:val="0"/>
                    <w:spacing w:before="0" w:beforeAutospacing="0" w:after="0" w:afterAutospacing="0"/>
                    <w:ind w:left="0" w:right="0"/>
                    <w:rPr>
                      <w:rFonts w:hint="default"/>
                    </w:rPr>
                  </w:pPr>
                </w:p>
              </w:tc>
              <w:tc>
                <w:tcPr>
                  <w:tcW w:w="719" w:type="pct"/>
                  <w:vMerge w:val="continue"/>
                  <w:tcBorders>
                    <w:tl2br w:val="nil"/>
                    <w:tr2bl w:val="nil"/>
                  </w:tcBorders>
                  <w:shd w:val="clear" w:color="auto" w:fill="auto"/>
                  <w:vAlign w:val="center"/>
                </w:tcPr>
                <w:p w14:paraId="506D180C">
                  <w:pPr>
                    <w:pStyle w:val="26"/>
                    <w:keepNext w:val="0"/>
                    <w:keepLines w:val="0"/>
                    <w:suppressLineNumbers w:val="0"/>
                    <w:spacing w:before="0" w:beforeAutospacing="0" w:after="0" w:afterAutospacing="0"/>
                    <w:ind w:left="0" w:right="0"/>
                    <w:rPr>
                      <w:rFonts w:hint="default"/>
                    </w:rPr>
                  </w:pPr>
                </w:p>
              </w:tc>
              <w:tc>
                <w:tcPr>
                  <w:tcW w:w="344" w:type="pct"/>
                  <w:vMerge w:val="continue"/>
                  <w:tcBorders>
                    <w:tl2br w:val="nil"/>
                    <w:tr2bl w:val="nil"/>
                  </w:tcBorders>
                  <w:shd w:val="clear" w:color="auto" w:fill="auto"/>
                  <w:vAlign w:val="center"/>
                </w:tcPr>
                <w:p w14:paraId="2A26742D">
                  <w:pPr>
                    <w:pStyle w:val="26"/>
                    <w:keepNext w:val="0"/>
                    <w:keepLines w:val="0"/>
                    <w:suppressLineNumbers w:val="0"/>
                    <w:spacing w:before="0" w:beforeAutospacing="0" w:after="0" w:afterAutospacing="0"/>
                    <w:ind w:left="0" w:right="0"/>
                    <w:rPr>
                      <w:rFonts w:hint="default"/>
                    </w:rPr>
                  </w:pPr>
                </w:p>
              </w:tc>
              <w:tc>
                <w:tcPr>
                  <w:tcW w:w="619" w:type="pct"/>
                  <w:tcBorders>
                    <w:tl2br w:val="nil"/>
                    <w:tr2bl w:val="nil"/>
                  </w:tcBorders>
                  <w:shd w:val="clear" w:color="auto" w:fill="auto"/>
                  <w:vAlign w:val="center"/>
                </w:tcPr>
                <w:p w14:paraId="7951A5DD">
                  <w:pPr>
                    <w:pStyle w:val="26"/>
                    <w:keepNext w:val="0"/>
                    <w:keepLines w:val="0"/>
                    <w:suppressLineNumbers w:val="0"/>
                    <w:spacing w:before="0" w:beforeAutospacing="0" w:after="0" w:afterAutospacing="0"/>
                    <w:ind w:left="0" w:right="0"/>
                    <w:rPr>
                      <w:rFonts w:hint="default"/>
                    </w:rPr>
                  </w:pPr>
                  <w:r>
                    <w:rPr>
                      <w:rFonts w:hint="default"/>
                    </w:rPr>
                    <w:t>（mg/m</w:t>
                  </w:r>
                  <w:r>
                    <w:rPr>
                      <w:rFonts w:hint="default"/>
                      <w:vertAlign w:val="superscript"/>
                    </w:rPr>
                    <w:t>3</w:t>
                  </w:r>
                  <w:r>
                    <w:rPr>
                      <w:rFonts w:hint="default"/>
                    </w:rPr>
                    <w:t>）</w:t>
                  </w:r>
                </w:p>
              </w:tc>
              <w:tc>
                <w:tcPr>
                  <w:tcW w:w="567" w:type="pct"/>
                  <w:tcBorders>
                    <w:tl2br w:val="nil"/>
                    <w:tr2bl w:val="nil"/>
                  </w:tcBorders>
                  <w:shd w:val="clear" w:color="auto" w:fill="auto"/>
                  <w:vAlign w:val="center"/>
                </w:tcPr>
                <w:p w14:paraId="20FBF0BD">
                  <w:pPr>
                    <w:pStyle w:val="26"/>
                    <w:keepNext w:val="0"/>
                    <w:keepLines w:val="0"/>
                    <w:suppressLineNumbers w:val="0"/>
                    <w:spacing w:before="0" w:beforeAutospacing="0" w:after="0" w:afterAutospacing="0"/>
                    <w:ind w:left="0" w:right="0"/>
                    <w:rPr>
                      <w:rFonts w:hint="default"/>
                    </w:rPr>
                  </w:pPr>
                  <w:r>
                    <w:rPr>
                      <w:rFonts w:hint="default"/>
                    </w:rPr>
                    <w:t>（kg/h）</w:t>
                  </w:r>
                </w:p>
              </w:tc>
              <w:tc>
                <w:tcPr>
                  <w:tcW w:w="613" w:type="pct"/>
                  <w:tcBorders>
                    <w:tl2br w:val="nil"/>
                    <w:tr2bl w:val="nil"/>
                  </w:tcBorders>
                  <w:shd w:val="clear" w:color="auto" w:fill="auto"/>
                  <w:vAlign w:val="center"/>
                </w:tcPr>
                <w:p w14:paraId="0F63B3B1">
                  <w:pPr>
                    <w:pStyle w:val="26"/>
                    <w:keepNext w:val="0"/>
                    <w:keepLines w:val="0"/>
                    <w:suppressLineNumbers w:val="0"/>
                    <w:spacing w:before="0" w:beforeAutospacing="0" w:after="0" w:afterAutospacing="0"/>
                    <w:ind w:left="0" w:right="0"/>
                    <w:rPr>
                      <w:rFonts w:hint="default"/>
                    </w:rPr>
                  </w:pPr>
                  <w:r>
                    <w:rPr>
                      <w:rFonts w:hint="default"/>
                    </w:rPr>
                    <w:t>（t/a）</w:t>
                  </w:r>
                </w:p>
              </w:tc>
              <w:tc>
                <w:tcPr>
                  <w:tcW w:w="771" w:type="pct"/>
                  <w:tcBorders>
                    <w:tl2br w:val="nil"/>
                    <w:tr2bl w:val="nil"/>
                  </w:tcBorders>
                  <w:shd w:val="clear" w:color="auto" w:fill="auto"/>
                  <w:vAlign w:val="center"/>
                </w:tcPr>
                <w:p w14:paraId="0D463AFC">
                  <w:pPr>
                    <w:pStyle w:val="26"/>
                    <w:keepNext w:val="0"/>
                    <w:keepLines w:val="0"/>
                    <w:suppressLineNumbers w:val="0"/>
                    <w:spacing w:before="0" w:beforeAutospacing="0" w:after="0" w:afterAutospacing="0"/>
                    <w:ind w:left="0" w:right="0"/>
                    <w:rPr>
                      <w:rFonts w:hint="default"/>
                    </w:rPr>
                  </w:pPr>
                  <w:r>
                    <w:rPr>
                      <w:rFonts w:hint="default"/>
                    </w:rPr>
                    <w:t>浓度（mg/m</w:t>
                  </w:r>
                  <w:r>
                    <w:rPr>
                      <w:rFonts w:hint="default"/>
                      <w:vertAlign w:val="superscript"/>
                    </w:rPr>
                    <w:t>3</w:t>
                  </w:r>
                  <w:r>
                    <w:rPr>
                      <w:rFonts w:hint="default"/>
                    </w:rPr>
                    <w:t>）</w:t>
                  </w:r>
                </w:p>
              </w:tc>
              <w:tc>
                <w:tcPr>
                  <w:tcW w:w="633" w:type="pct"/>
                  <w:tcBorders>
                    <w:tl2br w:val="nil"/>
                    <w:tr2bl w:val="nil"/>
                  </w:tcBorders>
                  <w:shd w:val="clear" w:color="auto" w:fill="auto"/>
                  <w:vAlign w:val="center"/>
                </w:tcPr>
                <w:p w14:paraId="23229FBB">
                  <w:pPr>
                    <w:pStyle w:val="26"/>
                    <w:keepNext w:val="0"/>
                    <w:keepLines w:val="0"/>
                    <w:suppressLineNumbers w:val="0"/>
                    <w:spacing w:before="0" w:beforeAutospacing="0" w:after="0" w:afterAutospacing="0"/>
                    <w:ind w:left="0" w:right="0"/>
                    <w:rPr>
                      <w:rFonts w:hint="default"/>
                    </w:rPr>
                  </w:pPr>
                  <w:r>
                    <w:rPr>
                      <w:rFonts w:hint="default"/>
                    </w:rPr>
                    <w:t>速率（kg/h）</w:t>
                  </w:r>
                </w:p>
              </w:tc>
              <w:tc>
                <w:tcPr>
                  <w:tcW w:w="390" w:type="pct"/>
                  <w:vMerge w:val="continue"/>
                  <w:tcBorders>
                    <w:tl2br w:val="nil"/>
                    <w:tr2bl w:val="nil"/>
                  </w:tcBorders>
                  <w:shd w:val="clear" w:color="auto" w:fill="auto"/>
                  <w:vAlign w:val="center"/>
                </w:tcPr>
                <w:p w14:paraId="57D9492F">
                  <w:pPr>
                    <w:pStyle w:val="26"/>
                    <w:keepNext w:val="0"/>
                    <w:keepLines w:val="0"/>
                    <w:suppressLineNumbers w:val="0"/>
                    <w:spacing w:before="0" w:beforeAutospacing="0" w:after="0" w:afterAutospacing="0"/>
                    <w:ind w:left="0" w:right="0"/>
                    <w:rPr>
                      <w:rFonts w:hint="default"/>
                    </w:rPr>
                  </w:pPr>
                </w:p>
              </w:tc>
            </w:tr>
            <w:tr w14:paraId="417B00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0" w:type="pct"/>
                  <w:gridSpan w:val="9"/>
                  <w:tcBorders>
                    <w:tl2br w:val="nil"/>
                    <w:tr2bl w:val="nil"/>
                  </w:tcBorders>
                  <w:shd w:val="clear" w:color="auto" w:fill="auto"/>
                  <w:vAlign w:val="center"/>
                </w:tcPr>
                <w:p w14:paraId="562CF4EA">
                  <w:pPr>
                    <w:pStyle w:val="26"/>
                    <w:keepNext w:val="0"/>
                    <w:keepLines w:val="0"/>
                    <w:suppressLineNumbers w:val="0"/>
                    <w:spacing w:before="0" w:beforeAutospacing="0" w:after="0" w:afterAutospacing="0"/>
                    <w:ind w:left="0" w:right="0"/>
                    <w:rPr>
                      <w:rFonts w:hint="default"/>
                    </w:rPr>
                  </w:pPr>
                  <w:r>
                    <w:rPr>
                      <w:rFonts w:hint="default"/>
                    </w:rPr>
                    <w:t>一般排放口</w:t>
                  </w:r>
                </w:p>
              </w:tc>
            </w:tr>
            <w:tr w14:paraId="099BB8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4" w:type="pct"/>
                  <w:tcBorders>
                    <w:tl2br w:val="nil"/>
                    <w:tr2bl w:val="nil"/>
                  </w:tcBorders>
                  <w:shd w:val="clear" w:color="auto" w:fill="auto"/>
                  <w:vAlign w:val="center"/>
                </w:tcPr>
                <w:p w14:paraId="01A839D9">
                  <w:pPr>
                    <w:pStyle w:val="26"/>
                    <w:keepNext w:val="0"/>
                    <w:keepLines w:val="0"/>
                    <w:suppressLineNumbers w:val="0"/>
                    <w:spacing w:before="0" w:beforeAutospacing="0" w:after="0" w:afterAutospacing="0"/>
                    <w:ind w:left="0" w:right="0"/>
                    <w:rPr>
                      <w:rFonts w:hint="default"/>
                    </w:rPr>
                  </w:pPr>
                  <w:r>
                    <w:rPr>
                      <w:rFonts w:hint="default"/>
                    </w:rPr>
                    <w:t>1</w:t>
                  </w:r>
                </w:p>
              </w:tc>
              <w:tc>
                <w:tcPr>
                  <w:tcW w:w="719" w:type="pct"/>
                  <w:vMerge w:val="restart"/>
                  <w:tcBorders>
                    <w:tl2br w:val="nil"/>
                    <w:tr2bl w:val="nil"/>
                  </w:tcBorders>
                  <w:shd w:val="clear" w:color="auto" w:fill="auto"/>
                  <w:vAlign w:val="center"/>
                </w:tcPr>
                <w:p w14:paraId="7A766EFD">
                  <w:pPr>
                    <w:pStyle w:val="26"/>
                    <w:keepNext w:val="0"/>
                    <w:keepLines w:val="0"/>
                    <w:suppressLineNumbers w:val="0"/>
                    <w:spacing w:before="0" w:beforeAutospacing="0" w:after="0" w:afterAutospacing="0"/>
                    <w:ind w:left="0" w:right="0"/>
                    <w:rPr>
                      <w:rFonts w:hint="default"/>
                    </w:rPr>
                  </w:pPr>
                  <w:r>
                    <w:rPr>
                      <w:rFonts w:hint="default"/>
                    </w:rPr>
                    <w:t>DA001</w:t>
                  </w:r>
                </w:p>
              </w:tc>
              <w:tc>
                <w:tcPr>
                  <w:tcW w:w="344" w:type="pct"/>
                  <w:tcBorders>
                    <w:tl2br w:val="nil"/>
                    <w:tr2bl w:val="nil"/>
                  </w:tcBorders>
                  <w:shd w:val="clear" w:color="auto" w:fill="auto"/>
                  <w:vAlign w:val="center"/>
                </w:tcPr>
                <w:p w14:paraId="7AD8232B">
                  <w:pPr>
                    <w:pStyle w:val="26"/>
                    <w:keepNext w:val="0"/>
                    <w:keepLines w:val="0"/>
                    <w:suppressLineNumbers w:val="0"/>
                    <w:spacing w:before="0" w:beforeAutospacing="0" w:after="0" w:afterAutospacing="0"/>
                    <w:ind w:left="0" w:right="0"/>
                    <w:rPr>
                      <w:rFonts w:hint="default"/>
                    </w:rPr>
                  </w:pPr>
                  <w:r>
                    <w:rPr>
                      <w:rFonts w:hint="default"/>
                    </w:rPr>
                    <w:t>硫化氢</w:t>
                  </w:r>
                </w:p>
              </w:tc>
              <w:tc>
                <w:tcPr>
                  <w:tcW w:w="619" w:type="pct"/>
                  <w:tcBorders>
                    <w:tl2br w:val="nil"/>
                    <w:tr2bl w:val="nil"/>
                  </w:tcBorders>
                  <w:shd w:val="clear" w:color="auto" w:fill="auto"/>
                  <w:vAlign w:val="center"/>
                </w:tcPr>
                <w:p w14:paraId="2F033121">
                  <w:pPr>
                    <w:pStyle w:val="26"/>
                    <w:keepNext w:val="0"/>
                    <w:keepLines w:val="0"/>
                    <w:suppressLineNumbers w:val="0"/>
                    <w:spacing w:before="0" w:beforeAutospacing="0" w:after="0" w:afterAutospacing="0"/>
                    <w:ind w:left="0" w:right="0"/>
                    <w:rPr>
                      <w:rFonts w:hint="default"/>
                    </w:rPr>
                  </w:pPr>
                  <w:r>
                    <w:rPr>
                      <w:rFonts w:hint="default"/>
                    </w:rPr>
                    <w:t>3</w:t>
                  </w:r>
                </w:p>
              </w:tc>
              <w:tc>
                <w:tcPr>
                  <w:tcW w:w="567" w:type="pct"/>
                  <w:tcBorders>
                    <w:tl2br w:val="nil"/>
                    <w:tr2bl w:val="nil"/>
                  </w:tcBorders>
                  <w:shd w:val="clear" w:color="auto" w:fill="auto"/>
                  <w:vAlign w:val="center"/>
                </w:tcPr>
                <w:p w14:paraId="0504D31B">
                  <w:pPr>
                    <w:pStyle w:val="26"/>
                    <w:keepNext w:val="0"/>
                    <w:keepLines w:val="0"/>
                    <w:suppressLineNumbers w:val="0"/>
                    <w:spacing w:before="0" w:beforeAutospacing="0" w:after="0" w:afterAutospacing="0"/>
                    <w:ind w:left="0" w:right="0"/>
                    <w:rPr>
                      <w:rFonts w:hint="default"/>
                    </w:rPr>
                  </w:pPr>
                  <w:r>
                    <w:rPr>
                      <w:rFonts w:hint="default"/>
                    </w:rPr>
                    <w:t>0.034</w:t>
                  </w:r>
                </w:p>
              </w:tc>
              <w:tc>
                <w:tcPr>
                  <w:tcW w:w="613" w:type="pct"/>
                  <w:tcBorders>
                    <w:tl2br w:val="nil"/>
                    <w:tr2bl w:val="nil"/>
                  </w:tcBorders>
                  <w:shd w:val="clear" w:color="auto" w:fill="auto"/>
                  <w:vAlign w:val="center"/>
                </w:tcPr>
                <w:p w14:paraId="6F1DA26B">
                  <w:pPr>
                    <w:pStyle w:val="26"/>
                    <w:keepNext w:val="0"/>
                    <w:keepLines w:val="0"/>
                    <w:suppressLineNumbers w:val="0"/>
                    <w:spacing w:before="0" w:beforeAutospacing="0" w:after="0" w:afterAutospacing="0"/>
                    <w:ind w:left="0" w:right="0"/>
                    <w:rPr>
                      <w:rFonts w:hint="default"/>
                    </w:rPr>
                  </w:pPr>
                  <w:r>
                    <w:rPr>
                      <w:rFonts w:hint="default"/>
                    </w:rPr>
                    <w:t>0.541</w:t>
                  </w:r>
                </w:p>
              </w:tc>
              <w:tc>
                <w:tcPr>
                  <w:tcW w:w="771" w:type="pct"/>
                  <w:tcBorders>
                    <w:tl2br w:val="nil"/>
                    <w:tr2bl w:val="nil"/>
                  </w:tcBorders>
                  <w:shd w:val="clear" w:color="auto" w:fill="auto"/>
                  <w:vAlign w:val="center"/>
                </w:tcPr>
                <w:p w14:paraId="090D68EA">
                  <w:pPr>
                    <w:pStyle w:val="26"/>
                    <w:keepNext w:val="0"/>
                    <w:keepLines w:val="0"/>
                    <w:suppressLineNumbers w:val="0"/>
                    <w:spacing w:before="0" w:beforeAutospacing="0" w:after="0" w:afterAutospacing="0"/>
                    <w:ind w:left="0" w:right="0"/>
                    <w:rPr>
                      <w:rFonts w:hint="default"/>
                    </w:rPr>
                  </w:pPr>
                  <w:r>
                    <w:rPr>
                      <w:rFonts w:hint="default"/>
                    </w:rPr>
                    <w:t>10</w:t>
                  </w:r>
                </w:p>
              </w:tc>
              <w:tc>
                <w:tcPr>
                  <w:tcW w:w="633" w:type="pct"/>
                  <w:tcBorders>
                    <w:tl2br w:val="nil"/>
                    <w:tr2bl w:val="nil"/>
                  </w:tcBorders>
                  <w:shd w:val="clear" w:color="auto" w:fill="auto"/>
                  <w:vAlign w:val="center"/>
                </w:tcPr>
                <w:p w14:paraId="1EC15462">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03FABFBD">
                  <w:pPr>
                    <w:pStyle w:val="26"/>
                    <w:keepNext w:val="0"/>
                    <w:keepLines w:val="0"/>
                    <w:suppressLineNumbers w:val="0"/>
                    <w:spacing w:before="0" w:beforeAutospacing="0" w:after="0" w:afterAutospacing="0"/>
                    <w:ind w:left="0" w:right="0"/>
                    <w:rPr>
                      <w:rFonts w:hint="default"/>
                    </w:rPr>
                  </w:pPr>
                  <w:r>
                    <w:rPr>
                      <w:rFonts w:hint="default"/>
                    </w:rPr>
                    <w:t>达标</w:t>
                  </w:r>
                </w:p>
              </w:tc>
            </w:tr>
            <w:tr w14:paraId="79737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4" w:type="pct"/>
                  <w:tcBorders>
                    <w:tl2br w:val="nil"/>
                    <w:tr2bl w:val="nil"/>
                  </w:tcBorders>
                  <w:shd w:val="clear" w:color="auto" w:fill="auto"/>
                  <w:vAlign w:val="center"/>
                </w:tcPr>
                <w:p w14:paraId="420E9A8A">
                  <w:pPr>
                    <w:pStyle w:val="26"/>
                    <w:keepNext w:val="0"/>
                    <w:keepLines w:val="0"/>
                    <w:suppressLineNumbers w:val="0"/>
                    <w:spacing w:before="0" w:beforeAutospacing="0" w:after="0" w:afterAutospacing="0"/>
                    <w:ind w:left="0" w:right="0"/>
                    <w:rPr>
                      <w:rFonts w:hint="default"/>
                    </w:rPr>
                  </w:pPr>
                  <w:r>
                    <w:rPr>
                      <w:rFonts w:hint="default"/>
                    </w:rPr>
                    <w:t>2</w:t>
                  </w:r>
                </w:p>
              </w:tc>
              <w:tc>
                <w:tcPr>
                  <w:tcW w:w="719" w:type="pct"/>
                  <w:vMerge w:val="continue"/>
                  <w:tcBorders>
                    <w:tl2br w:val="nil"/>
                    <w:tr2bl w:val="nil"/>
                  </w:tcBorders>
                  <w:shd w:val="clear" w:color="auto" w:fill="auto"/>
                  <w:vAlign w:val="center"/>
                </w:tcPr>
                <w:p w14:paraId="6B8C50E0">
                  <w:pPr>
                    <w:pStyle w:val="26"/>
                    <w:keepNext w:val="0"/>
                    <w:keepLines w:val="0"/>
                    <w:suppressLineNumbers w:val="0"/>
                    <w:spacing w:before="0" w:beforeAutospacing="0" w:after="0" w:afterAutospacing="0"/>
                    <w:ind w:left="0" w:right="0"/>
                    <w:rPr>
                      <w:rFonts w:hint="default"/>
                    </w:rPr>
                  </w:pPr>
                </w:p>
              </w:tc>
              <w:tc>
                <w:tcPr>
                  <w:tcW w:w="344" w:type="pct"/>
                  <w:tcBorders>
                    <w:tl2br w:val="nil"/>
                    <w:tr2bl w:val="nil"/>
                  </w:tcBorders>
                  <w:shd w:val="clear" w:color="auto" w:fill="auto"/>
                  <w:vAlign w:val="center"/>
                </w:tcPr>
                <w:p w14:paraId="738AA754">
                  <w:pPr>
                    <w:pStyle w:val="26"/>
                    <w:keepNext w:val="0"/>
                    <w:keepLines w:val="0"/>
                    <w:suppressLineNumbers w:val="0"/>
                    <w:spacing w:before="0" w:beforeAutospacing="0" w:after="0" w:afterAutospacing="0"/>
                    <w:ind w:left="0" w:right="0"/>
                    <w:rPr>
                      <w:rFonts w:hint="default"/>
                    </w:rPr>
                  </w:pPr>
                  <w:r>
                    <w:rPr>
                      <w:rFonts w:hint="default"/>
                    </w:rPr>
                    <w:t>颗粒物</w:t>
                  </w:r>
                </w:p>
              </w:tc>
              <w:tc>
                <w:tcPr>
                  <w:tcW w:w="619" w:type="pct"/>
                  <w:tcBorders>
                    <w:tl2br w:val="nil"/>
                    <w:tr2bl w:val="nil"/>
                  </w:tcBorders>
                  <w:shd w:val="clear" w:color="auto" w:fill="auto"/>
                  <w:vAlign w:val="center"/>
                </w:tcPr>
                <w:p w14:paraId="0A19C886">
                  <w:pPr>
                    <w:pStyle w:val="26"/>
                    <w:keepNext w:val="0"/>
                    <w:keepLines w:val="0"/>
                    <w:suppressLineNumbers w:val="0"/>
                    <w:spacing w:before="0" w:beforeAutospacing="0" w:after="0" w:afterAutospacing="0"/>
                    <w:ind w:left="0" w:right="0"/>
                    <w:rPr>
                      <w:rFonts w:hint="default"/>
                    </w:rPr>
                  </w:pPr>
                  <w:r>
                    <w:rPr>
                      <w:rFonts w:hint="default"/>
                    </w:rPr>
                    <w:t>14</w:t>
                  </w:r>
                </w:p>
              </w:tc>
              <w:tc>
                <w:tcPr>
                  <w:tcW w:w="567" w:type="pct"/>
                  <w:tcBorders>
                    <w:tl2br w:val="nil"/>
                    <w:tr2bl w:val="nil"/>
                  </w:tcBorders>
                  <w:shd w:val="clear" w:color="auto" w:fill="auto"/>
                  <w:vAlign w:val="center"/>
                </w:tcPr>
                <w:p w14:paraId="0902C4AE">
                  <w:pPr>
                    <w:pStyle w:val="26"/>
                    <w:keepNext w:val="0"/>
                    <w:keepLines w:val="0"/>
                    <w:suppressLineNumbers w:val="0"/>
                    <w:spacing w:before="0" w:beforeAutospacing="0" w:after="0" w:afterAutospacing="0"/>
                    <w:ind w:left="0" w:right="0"/>
                    <w:rPr>
                      <w:rFonts w:hint="default"/>
                    </w:rPr>
                  </w:pPr>
                  <w:r>
                    <w:rPr>
                      <w:rFonts w:hint="default"/>
                    </w:rPr>
                    <w:t>0.189</w:t>
                  </w:r>
                </w:p>
              </w:tc>
              <w:tc>
                <w:tcPr>
                  <w:tcW w:w="613" w:type="pct"/>
                  <w:tcBorders>
                    <w:tl2br w:val="nil"/>
                    <w:tr2bl w:val="nil"/>
                  </w:tcBorders>
                  <w:shd w:val="clear" w:color="auto" w:fill="auto"/>
                  <w:vAlign w:val="center"/>
                </w:tcPr>
                <w:p w14:paraId="6ECBAD1A">
                  <w:pPr>
                    <w:pStyle w:val="26"/>
                    <w:keepNext w:val="0"/>
                    <w:keepLines w:val="0"/>
                    <w:suppressLineNumbers w:val="0"/>
                    <w:spacing w:before="0" w:beforeAutospacing="0" w:after="0" w:afterAutospacing="0"/>
                    <w:ind w:left="0" w:right="0"/>
                    <w:rPr>
                      <w:rFonts w:hint="default"/>
                    </w:rPr>
                  </w:pPr>
                  <w:r>
                    <w:rPr>
                      <w:rFonts w:hint="default"/>
                    </w:rPr>
                    <w:t>1.512</w:t>
                  </w:r>
                </w:p>
              </w:tc>
              <w:tc>
                <w:tcPr>
                  <w:tcW w:w="771" w:type="pct"/>
                  <w:tcBorders>
                    <w:tl2br w:val="nil"/>
                    <w:tr2bl w:val="nil"/>
                  </w:tcBorders>
                  <w:shd w:val="clear" w:color="auto" w:fill="auto"/>
                  <w:vAlign w:val="center"/>
                </w:tcPr>
                <w:p w14:paraId="3613E798">
                  <w:pPr>
                    <w:pStyle w:val="26"/>
                    <w:keepNext w:val="0"/>
                    <w:keepLines w:val="0"/>
                    <w:suppressLineNumbers w:val="0"/>
                    <w:spacing w:before="0" w:beforeAutospacing="0" w:after="0" w:afterAutospacing="0"/>
                    <w:ind w:left="0" w:right="0"/>
                    <w:rPr>
                      <w:rFonts w:hint="default"/>
                    </w:rPr>
                  </w:pPr>
                  <w:r>
                    <w:rPr>
                      <w:rFonts w:hint="default"/>
                    </w:rPr>
                    <w:t>30</w:t>
                  </w:r>
                </w:p>
              </w:tc>
              <w:tc>
                <w:tcPr>
                  <w:tcW w:w="633" w:type="pct"/>
                  <w:tcBorders>
                    <w:tl2br w:val="nil"/>
                    <w:tr2bl w:val="nil"/>
                  </w:tcBorders>
                  <w:shd w:val="clear" w:color="auto" w:fill="auto"/>
                  <w:vAlign w:val="center"/>
                </w:tcPr>
                <w:p w14:paraId="4EB610FC">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519D86F4">
                  <w:pPr>
                    <w:pStyle w:val="26"/>
                    <w:keepNext w:val="0"/>
                    <w:keepLines w:val="0"/>
                    <w:suppressLineNumbers w:val="0"/>
                    <w:spacing w:before="0" w:beforeAutospacing="0" w:after="0" w:afterAutospacing="0"/>
                    <w:ind w:left="0" w:right="0"/>
                    <w:rPr>
                      <w:rFonts w:hint="default"/>
                    </w:rPr>
                  </w:pPr>
                  <w:r>
                    <w:rPr>
                      <w:rFonts w:hint="default"/>
                    </w:rPr>
                    <w:t>达标</w:t>
                  </w:r>
                </w:p>
              </w:tc>
            </w:tr>
            <w:tr w14:paraId="75177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3" w:type="pct"/>
                  <w:gridSpan w:val="2"/>
                  <w:vMerge w:val="restart"/>
                  <w:tcBorders>
                    <w:tl2br w:val="nil"/>
                    <w:tr2bl w:val="nil"/>
                  </w:tcBorders>
                  <w:shd w:val="clear" w:color="auto" w:fill="auto"/>
                  <w:vAlign w:val="center"/>
                </w:tcPr>
                <w:p w14:paraId="0FFBA1D2">
                  <w:pPr>
                    <w:pStyle w:val="26"/>
                    <w:keepNext w:val="0"/>
                    <w:keepLines w:val="0"/>
                    <w:suppressLineNumbers w:val="0"/>
                    <w:spacing w:before="0" w:beforeAutospacing="0" w:after="0" w:afterAutospacing="0"/>
                    <w:ind w:left="0" w:right="0"/>
                    <w:rPr>
                      <w:rFonts w:hint="default"/>
                    </w:rPr>
                  </w:pPr>
                  <w:r>
                    <w:rPr>
                      <w:rFonts w:hint="default"/>
                    </w:rPr>
                    <w:t>一般排放口合计</w:t>
                  </w:r>
                </w:p>
              </w:tc>
              <w:tc>
                <w:tcPr>
                  <w:tcW w:w="1530" w:type="pct"/>
                  <w:gridSpan w:val="3"/>
                  <w:tcBorders>
                    <w:tl2br w:val="nil"/>
                    <w:tr2bl w:val="nil"/>
                  </w:tcBorders>
                  <w:shd w:val="clear" w:color="auto" w:fill="auto"/>
                  <w:vAlign w:val="center"/>
                </w:tcPr>
                <w:p w14:paraId="38919ABE">
                  <w:pPr>
                    <w:pStyle w:val="26"/>
                    <w:keepNext w:val="0"/>
                    <w:keepLines w:val="0"/>
                    <w:suppressLineNumbers w:val="0"/>
                    <w:spacing w:before="0" w:beforeAutospacing="0" w:after="0" w:afterAutospacing="0"/>
                    <w:ind w:left="0" w:right="0"/>
                    <w:rPr>
                      <w:rFonts w:hint="default"/>
                    </w:rPr>
                  </w:pPr>
                  <w:r>
                    <w:rPr>
                      <w:rFonts w:hint="default"/>
                    </w:rPr>
                    <w:t>硫化氢</w:t>
                  </w:r>
                </w:p>
              </w:tc>
              <w:tc>
                <w:tcPr>
                  <w:tcW w:w="613" w:type="pct"/>
                  <w:tcBorders>
                    <w:tl2br w:val="nil"/>
                    <w:tr2bl w:val="nil"/>
                  </w:tcBorders>
                  <w:shd w:val="clear" w:color="auto" w:fill="auto"/>
                  <w:vAlign w:val="center"/>
                </w:tcPr>
                <w:p w14:paraId="4B12B8DF">
                  <w:pPr>
                    <w:pStyle w:val="26"/>
                    <w:keepNext w:val="0"/>
                    <w:keepLines w:val="0"/>
                    <w:suppressLineNumbers w:val="0"/>
                    <w:spacing w:before="0" w:beforeAutospacing="0" w:after="0" w:afterAutospacing="0"/>
                    <w:ind w:left="0" w:right="0"/>
                    <w:rPr>
                      <w:rFonts w:hint="default"/>
                    </w:rPr>
                  </w:pPr>
                  <w:r>
                    <w:rPr>
                      <w:rFonts w:hint="default"/>
                    </w:rPr>
                    <w:t>0.541</w:t>
                  </w:r>
                </w:p>
              </w:tc>
              <w:tc>
                <w:tcPr>
                  <w:tcW w:w="771" w:type="pct"/>
                  <w:tcBorders>
                    <w:tl2br w:val="nil"/>
                    <w:tr2bl w:val="nil"/>
                  </w:tcBorders>
                  <w:shd w:val="clear" w:color="auto" w:fill="auto"/>
                  <w:vAlign w:val="center"/>
                </w:tcPr>
                <w:p w14:paraId="389A5C1C">
                  <w:pPr>
                    <w:pStyle w:val="26"/>
                    <w:keepNext w:val="0"/>
                    <w:keepLines w:val="0"/>
                    <w:suppressLineNumbers w:val="0"/>
                    <w:spacing w:before="0" w:beforeAutospacing="0" w:after="0" w:afterAutospacing="0"/>
                    <w:ind w:left="0" w:right="0"/>
                    <w:rPr>
                      <w:rFonts w:hint="default"/>
                    </w:rPr>
                  </w:pPr>
                  <w:r>
                    <w:rPr>
                      <w:rFonts w:hint="default"/>
                    </w:rPr>
                    <w:t>/</w:t>
                  </w:r>
                </w:p>
              </w:tc>
              <w:tc>
                <w:tcPr>
                  <w:tcW w:w="633" w:type="pct"/>
                  <w:tcBorders>
                    <w:tl2br w:val="nil"/>
                    <w:tr2bl w:val="nil"/>
                  </w:tcBorders>
                  <w:shd w:val="clear" w:color="auto" w:fill="auto"/>
                  <w:vAlign w:val="center"/>
                </w:tcPr>
                <w:p w14:paraId="2655A2B4">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4D7A1FD4">
                  <w:pPr>
                    <w:pStyle w:val="26"/>
                    <w:keepNext w:val="0"/>
                    <w:keepLines w:val="0"/>
                    <w:suppressLineNumbers w:val="0"/>
                    <w:spacing w:before="0" w:beforeAutospacing="0" w:after="0" w:afterAutospacing="0"/>
                    <w:ind w:left="0" w:right="0"/>
                    <w:rPr>
                      <w:rFonts w:hint="default"/>
                    </w:rPr>
                  </w:pPr>
                  <w:r>
                    <w:rPr>
                      <w:rFonts w:hint="default"/>
                    </w:rPr>
                    <w:t>/</w:t>
                  </w:r>
                </w:p>
              </w:tc>
            </w:tr>
            <w:tr w14:paraId="26684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3" w:type="pct"/>
                  <w:gridSpan w:val="2"/>
                  <w:vMerge w:val="continue"/>
                  <w:tcBorders>
                    <w:tl2br w:val="nil"/>
                    <w:tr2bl w:val="nil"/>
                  </w:tcBorders>
                  <w:shd w:val="clear" w:color="auto" w:fill="auto"/>
                  <w:vAlign w:val="center"/>
                </w:tcPr>
                <w:p w14:paraId="57AA2080">
                  <w:pPr>
                    <w:pStyle w:val="26"/>
                    <w:keepNext w:val="0"/>
                    <w:keepLines w:val="0"/>
                    <w:suppressLineNumbers w:val="0"/>
                    <w:spacing w:before="0" w:beforeAutospacing="0" w:after="0" w:afterAutospacing="0"/>
                    <w:ind w:left="0" w:right="0"/>
                    <w:rPr>
                      <w:rFonts w:hint="default"/>
                    </w:rPr>
                  </w:pPr>
                </w:p>
              </w:tc>
              <w:tc>
                <w:tcPr>
                  <w:tcW w:w="1530" w:type="pct"/>
                  <w:gridSpan w:val="3"/>
                  <w:tcBorders>
                    <w:tl2br w:val="nil"/>
                    <w:tr2bl w:val="nil"/>
                  </w:tcBorders>
                  <w:shd w:val="clear" w:color="auto" w:fill="auto"/>
                  <w:vAlign w:val="center"/>
                </w:tcPr>
                <w:p w14:paraId="27968B99">
                  <w:pPr>
                    <w:pStyle w:val="26"/>
                    <w:keepNext w:val="0"/>
                    <w:keepLines w:val="0"/>
                    <w:suppressLineNumbers w:val="0"/>
                    <w:spacing w:before="0" w:beforeAutospacing="0" w:after="0" w:afterAutospacing="0"/>
                    <w:ind w:left="0" w:right="0"/>
                    <w:rPr>
                      <w:rFonts w:hint="default"/>
                    </w:rPr>
                  </w:pPr>
                  <w:r>
                    <w:rPr>
                      <w:rFonts w:hint="default"/>
                    </w:rPr>
                    <w:t>颗粒物</w:t>
                  </w:r>
                </w:p>
              </w:tc>
              <w:tc>
                <w:tcPr>
                  <w:tcW w:w="613" w:type="pct"/>
                  <w:tcBorders>
                    <w:tl2br w:val="nil"/>
                    <w:tr2bl w:val="nil"/>
                  </w:tcBorders>
                  <w:shd w:val="clear" w:color="auto" w:fill="auto"/>
                  <w:vAlign w:val="center"/>
                </w:tcPr>
                <w:p w14:paraId="60A3A18E">
                  <w:pPr>
                    <w:pStyle w:val="26"/>
                    <w:keepNext w:val="0"/>
                    <w:keepLines w:val="0"/>
                    <w:suppressLineNumbers w:val="0"/>
                    <w:spacing w:before="0" w:beforeAutospacing="0" w:after="0" w:afterAutospacing="0"/>
                    <w:ind w:left="0" w:right="0"/>
                    <w:rPr>
                      <w:rFonts w:hint="default"/>
                    </w:rPr>
                  </w:pPr>
                  <w:r>
                    <w:rPr>
                      <w:rFonts w:hint="default"/>
                    </w:rPr>
                    <w:t>1.512</w:t>
                  </w:r>
                </w:p>
              </w:tc>
              <w:tc>
                <w:tcPr>
                  <w:tcW w:w="771" w:type="pct"/>
                  <w:tcBorders>
                    <w:tl2br w:val="nil"/>
                    <w:tr2bl w:val="nil"/>
                  </w:tcBorders>
                  <w:shd w:val="clear" w:color="auto" w:fill="auto"/>
                  <w:vAlign w:val="center"/>
                </w:tcPr>
                <w:p w14:paraId="41C23C9E">
                  <w:pPr>
                    <w:pStyle w:val="26"/>
                    <w:keepNext w:val="0"/>
                    <w:keepLines w:val="0"/>
                    <w:suppressLineNumbers w:val="0"/>
                    <w:spacing w:before="0" w:beforeAutospacing="0" w:after="0" w:afterAutospacing="0"/>
                    <w:ind w:left="0" w:right="0"/>
                    <w:rPr>
                      <w:rFonts w:hint="default"/>
                    </w:rPr>
                  </w:pPr>
                  <w:r>
                    <w:rPr>
                      <w:rFonts w:hint="default"/>
                    </w:rPr>
                    <w:t>/</w:t>
                  </w:r>
                </w:p>
              </w:tc>
              <w:tc>
                <w:tcPr>
                  <w:tcW w:w="633" w:type="pct"/>
                  <w:tcBorders>
                    <w:tl2br w:val="nil"/>
                    <w:tr2bl w:val="nil"/>
                  </w:tcBorders>
                  <w:shd w:val="clear" w:color="auto" w:fill="auto"/>
                  <w:vAlign w:val="center"/>
                </w:tcPr>
                <w:p w14:paraId="62CC65A0">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2B0992AB">
                  <w:pPr>
                    <w:pStyle w:val="26"/>
                    <w:keepNext w:val="0"/>
                    <w:keepLines w:val="0"/>
                    <w:suppressLineNumbers w:val="0"/>
                    <w:spacing w:before="0" w:beforeAutospacing="0" w:after="0" w:afterAutospacing="0"/>
                    <w:ind w:left="0" w:right="0"/>
                    <w:rPr>
                      <w:rFonts w:hint="default"/>
                    </w:rPr>
                  </w:pPr>
                  <w:r>
                    <w:rPr>
                      <w:rFonts w:hint="default"/>
                    </w:rPr>
                    <w:t>/</w:t>
                  </w:r>
                </w:p>
              </w:tc>
            </w:tr>
            <w:tr w14:paraId="6BC6D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0" w:type="pct"/>
                  <w:gridSpan w:val="9"/>
                  <w:tcBorders>
                    <w:tl2br w:val="nil"/>
                    <w:tr2bl w:val="nil"/>
                  </w:tcBorders>
                  <w:shd w:val="clear" w:color="auto" w:fill="auto"/>
                  <w:vAlign w:val="center"/>
                </w:tcPr>
                <w:p w14:paraId="7B7E2FBF">
                  <w:pPr>
                    <w:pStyle w:val="26"/>
                    <w:keepNext w:val="0"/>
                    <w:keepLines w:val="0"/>
                    <w:suppressLineNumbers w:val="0"/>
                    <w:spacing w:before="0" w:beforeAutospacing="0" w:after="0" w:afterAutospacing="0"/>
                    <w:ind w:left="0" w:right="0"/>
                    <w:rPr>
                      <w:rFonts w:hint="default"/>
                    </w:rPr>
                  </w:pPr>
                  <w:r>
                    <w:rPr>
                      <w:rFonts w:hint="default"/>
                    </w:rPr>
                    <w:t>有组织排放总计</w:t>
                  </w:r>
                </w:p>
              </w:tc>
            </w:tr>
            <w:tr w14:paraId="247D14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3" w:type="pct"/>
                  <w:gridSpan w:val="2"/>
                  <w:vMerge w:val="restart"/>
                  <w:tcBorders>
                    <w:tl2br w:val="nil"/>
                    <w:tr2bl w:val="nil"/>
                  </w:tcBorders>
                  <w:shd w:val="clear" w:color="auto" w:fill="auto"/>
                  <w:vAlign w:val="center"/>
                </w:tcPr>
                <w:p w14:paraId="303225FC">
                  <w:pPr>
                    <w:pStyle w:val="26"/>
                    <w:keepNext w:val="0"/>
                    <w:keepLines w:val="0"/>
                    <w:suppressLineNumbers w:val="0"/>
                    <w:spacing w:before="0" w:beforeAutospacing="0" w:after="0" w:afterAutospacing="0"/>
                    <w:ind w:left="0" w:right="0"/>
                    <w:rPr>
                      <w:rFonts w:hint="default"/>
                    </w:rPr>
                  </w:pPr>
                  <w:r>
                    <w:rPr>
                      <w:rFonts w:hint="default"/>
                    </w:rPr>
                    <w:t>有组织排放总计</w:t>
                  </w:r>
                </w:p>
              </w:tc>
              <w:tc>
                <w:tcPr>
                  <w:tcW w:w="1530" w:type="pct"/>
                  <w:gridSpan w:val="3"/>
                  <w:tcBorders>
                    <w:tl2br w:val="nil"/>
                    <w:tr2bl w:val="nil"/>
                  </w:tcBorders>
                  <w:shd w:val="clear" w:color="auto" w:fill="auto"/>
                  <w:noWrap/>
                  <w:vAlign w:val="center"/>
                </w:tcPr>
                <w:p w14:paraId="3114AA30">
                  <w:pPr>
                    <w:pStyle w:val="26"/>
                    <w:keepNext w:val="0"/>
                    <w:keepLines w:val="0"/>
                    <w:suppressLineNumbers w:val="0"/>
                    <w:spacing w:before="0" w:beforeAutospacing="0" w:after="0" w:afterAutospacing="0"/>
                    <w:ind w:left="0" w:right="0"/>
                    <w:rPr>
                      <w:rFonts w:hint="default"/>
                    </w:rPr>
                  </w:pPr>
                  <w:r>
                    <w:rPr>
                      <w:rFonts w:hint="default"/>
                    </w:rPr>
                    <w:t>硫化氢</w:t>
                  </w:r>
                </w:p>
              </w:tc>
              <w:tc>
                <w:tcPr>
                  <w:tcW w:w="613" w:type="pct"/>
                  <w:tcBorders>
                    <w:tl2br w:val="nil"/>
                    <w:tr2bl w:val="nil"/>
                  </w:tcBorders>
                  <w:shd w:val="clear" w:color="auto" w:fill="auto"/>
                  <w:vAlign w:val="center"/>
                </w:tcPr>
                <w:p w14:paraId="5A75023C">
                  <w:pPr>
                    <w:pStyle w:val="26"/>
                    <w:keepNext w:val="0"/>
                    <w:keepLines w:val="0"/>
                    <w:suppressLineNumbers w:val="0"/>
                    <w:spacing w:before="0" w:beforeAutospacing="0" w:after="0" w:afterAutospacing="0"/>
                    <w:ind w:left="0" w:right="0"/>
                    <w:rPr>
                      <w:rFonts w:hint="default"/>
                    </w:rPr>
                  </w:pPr>
                  <w:r>
                    <w:rPr>
                      <w:rFonts w:hint="default"/>
                    </w:rPr>
                    <w:t>0.541</w:t>
                  </w:r>
                </w:p>
              </w:tc>
              <w:tc>
                <w:tcPr>
                  <w:tcW w:w="771" w:type="pct"/>
                  <w:tcBorders>
                    <w:tl2br w:val="nil"/>
                    <w:tr2bl w:val="nil"/>
                  </w:tcBorders>
                  <w:shd w:val="clear" w:color="auto" w:fill="auto"/>
                  <w:vAlign w:val="center"/>
                </w:tcPr>
                <w:p w14:paraId="58574F73">
                  <w:pPr>
                    <w:pStyle w:val="26"/>
                    <w:keepNext w:val="0"/>
                    <w:keepLines w:val="0"/>
                    <w:suppressLineNumbers w:val="0"/>
                    <w:spacing w:before="0" w:beforeAutospacing="0" w:after="0" w:afterAutospacing="0"/>
                    <w:ind w:left="0" w:right="0"/>
                    <w:rPr>
                      <w:rFonts w:hint="default"/>
                    </w:rPr>
                  </w:pPr>
                  <w:r>
                    <w:rPr>
                      <w:rFonts w:hint="default"/>
                    </w:rPr>
                    <w:t>/</w:t>
                  </w:r>
                </w:p>
              </w:tc>
              <w:tc>
                <w:tcPr>
                  <w:tcW w:w="633" w:type="pct"/>
                  <w:tcBorders>
                    <w:tl2br w:val="nil"/>
                    <w:tr2bl w:val="nil"/>
                  </w:tcBorders>
                  <w:shd w:val="clear" w:color="auto" w:fill="auto"/>
                  <w:vAlign w:val="center"/>
                </w:tcPr>
                <w:p w14:paraId="01E31EF3">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6E7CDBBD">
                  <w:pPr>
                    <w:pStyle w:val="26"/>
                    <w:keepNext w:val="0"/>
                    <w:keepLines w:val="0"/>
                    <w:suppressLineNumbers w:val="0"/>
                    <w:spacing w:before="0" w:beforeAutospacing="0" w:after="0" w:afterAutospacing="0"/>
                    <w:ind w:left="0" w:right="0"/>
                    <w:rPr>
                      <w:rFonts w:hint="default"/>
                    </w:rPr>
                  </w:pPr>
                  <w:r>
                    <w:rPr>
                      <w:rFonts w:hint="default"/>
                    </w:rPr>
                    <w:t>/</w:t>
                  </w:r>
                </w:p>
              </w:tc>
            </w:tr>
            <w:tr w14:paraId="4485EB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63" w:type="pct"/>
                  <w:gridSpan w:val="2"/>
                  <w:vMerge w:val="continue"/>
                  <w:tcBorders>
                    <w:tl2br w:val="nil"/>
                    <w:tr2bl w:val="nil"/>
                  </w:tcBorders>
                  <w:shd w:val="clear" w:color="auto" w:fill="auto"/>
                  <w:vAlign w:val="center"/>
                </w:tcPr>
                <w:p w14:paraId="1F08A41F">
                  <w:pPr>
                    <w:pStyle w:val="26"/>
                    <w:keepNext w:val="0"/>
                    <w:keepLines w:val="0"/>
                    <w:suppressLineNumbers w:val="0"/>
                    <w:spacing w:before="0" w:beforeAutospacing="0" w:after="0" w:afterAutospacing="0"/>
                    <w:ind w:left="0" w:right="0"/>
                    <w:rPr>
                      <w:rFonts w:hint="default"/>
                    </w:rPr>
                  </w:pPr>
                </w:p>
              </w:tc>
              <w:tc>
                <w:tcPr>
                  <w:tcW w:w="1530" w:type="pct"/>
                  <w:gridSpan w:val="3"/>
                  <w:tcBorders>
                    <w:tl2br w:val="nil"/>
                    <w:tr2bl w:val="nil"/>
                  </w:tcBorders>
                  <w:shd w:val="clear" w:color="auto" w:fill="auto"/>
                  <w:noWrap/>
                  <w:vAlign w:val="center"/>
                </w:tcPr>
                <w:p w14:paraId="729A3B29">
                  <w:pPr>
                    <w:pStyle w:val="26"/>
                    <w:keepNext w:val="0"/>
                    <w:keepLines w:val="0"/>
                    <w:suppressLineNumbers w:val="0"/>
                    <w:spacing w:before="0" w:beforeAutospacing="0" w:after="0" w:afterAutospacing="0"/>
                    <w:ind w:left="0" w:right="0"/>
                    <w:rPr>
                      <w:rFonts w:hint="default"/>
                    </w:rPr>
                  </w:pPr>
                  <w:r>
                    <w:rPr>
                      <w:rFonts w:hint="default"/>
                    </w:rPr>
                    <w:t>颗粒物</w:t>
                  </w:r>
                </w:p>
              </w:tc>
              <w:tc>
                <w:tcPr>
                  <w:tcW w:w="613" w:type="pct"/>
                  <w:tcBorders>
                    <w:tl2br w:val="nil"/>
                    <w:tr2bl w:val="nil"/>
                  </w:tcBorders>
                  <w:shd w:val="clear" w:color="auto" w:fill="auto"/>
                  <w:vAlign w:val="center"/>
                </w:tcPr>
                <w:p w14:paraId="2CD12497">
                  <w:pPr>
                    <w:pStyle w:val="26"/>
                    <w:keepNext w:val="0"/>
                    <w:keepLines w:val="0"/>
                    <w:suppressLineNumbers w:val="0"/>
                    <w:spacing w:before="0" w:beforeAutospacing="0" w:after="0" w:afterAutospacing="0"/>
                    <w:ind w:left="0" w:right="0"/>
                    <w:rPr>
                      <w:rFonts w:hint="default"/>
                    </w:rPr>
                  </w:pPr>
                  <w:r>
                    <w:rPr>
                      <w:rFonts w:hint="default"/>
                    </w:rPr>
                    <w:t>1.512</w:t>
                  </w:r>
                </w:p>
              </w:tc>
              <w:tc>
                <w:tcPr>
                  <w:tcW w:w="771" w:type="pct"/>
                  <w:tcBorders>
                    <w:tl2br w:val="nil"/>
                    <w:tr2bl w:val="nil"/>
                  </w:tcBorders>
                  <w:shd w:val="clear" w:color="auto" w:fill="auto"/>
                  <w:vAlign w:val="center"/>
                </w:tcPr>
                <w:p w14:paraId="3FCA38A6">
                  <w:pPr>
                    <w:pStyle w:val="26"/>
                    <w:keepNext w:val="0"/>
                    <w:keepLines w:val="0"/>
                    <w:suppressLineNumbers w:val="0"/>
                    <w:spacing w:before="0" w:beforeAutospacing="0" w:after="0" w:afterAutospacing="0"/>
                    <w:ind w:left="0" w:right="0"/>
                    <w:rPr>
                      <w:rFonts w:hint="default"/>
                    </w:rPr>
                  </w:pPr>
                  <w:r>
                    <w:rPr>
                      <w:rFonts w:hint="default"/>
                    </w:rPr>
                    <w:t>/</w:t>
                  </w:r>
                </w:p>
              </w:tc>
              <w:tc>
                <w:tcPr>
                  <w:tcW w:w="633" w:type="pct"/>
                  <w:tcBorders>
                    <w:tl2br w:val="nil"/>
                    <w:tr2bl w:val="nil"/>
                  </w:tcBorders>
                  <w:shd w:val="clear" w:color="auto" w:fill="auto"/>
                  <w:vAlign w:val="center"/>
                </w:tcPr>
                <w:p w14:paraId="6497199E">
                  <w:pPr>
                    <w:pStyle w:val="26"/>
                    <w:keepNext w:val="0"/>
                    <w:keepLines w:val="0"/>
                    <w:suppressLineNumbers w:val="0"/>
                    <w:spacing w:before="0" w:beforeAutospacing="0" w:after="0" w:afterAutospacing="0"/>
                    <w:ind w:left="0" w:right="0"/>
                    <w:rPr>
                      <w:rFonts w:hint="default"/>
                    </w:rPr>
                  </w:pPr>
                  <w:r>
                    <w:rPr>
                      <w:rFonts w:hint="default"/>
                    </w:rPr>
                    <w:t>/</w:t>
                  </w:r>
                </w:p>
              </w:tc>
              <w:tc>
                <w:tcPr>
                  <w:tcW w:w="390" w:type="pct"/>
                  <w:tcBorders>
                    <w:tl2br w:val="nil"/>
                    <w:tr2bl w:val="nil"/>
                  </w:tcBorders>
                  <w:shd w:val="clear" w:color="auto" w:fill="auto"/>
                  <w:vAlign w:val="center"/>
                </w:tcPr>
                <w:p w14:paraId="44018704">
                  <w:pPr>
                    <w:pStyle w:val="26"/>
                    <w:keepNext w:val="0"/>
                    <w:keepLines w:val="0"/>
                    <w:suppressLineNumbers w:val="0"/>
                    <w:spacing w:before="0" w:beforeAutospacing="0" w:after="0" w:afterAutospacing="0"/>
                    <w:ind w:left="0" w:right="0"/>
                    <w:rPr>
                      <w:rFonts w:hint="default"/>
                    </w:rPr>
                  </w:pPr>
                  <w:r>
                    <w:rPr>
                      <w:rFonts w:hint="default"/>
                    </w:rPr>
                    <w:t>/</w:t>
                  </w:r>
                </w:p>
              </w:tc>
            </w:tr>
          </w:tbl>
          <w:p w14:paraId="6A3635C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本项目无组织废气排放情况见下表。</w:t>
            </w:r>
          </w:p>
          <w:p w14:paraId="1430ED18">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本项目无组织废气排放一览表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948"/>
              <w:gridCol w:w="448"/>
              <w:gridCol w:w="862"/>
              <w:gridCol w:w="1511"/>
              <w:gridCol w:w="1197"/>
              <w:gridCol w:w="3860"/>
              <w:gridCol w:w="1008"/>
              <w:gridCol w:w="1205"/>
              <w:gridCol w:w="1375"/>
            </w:tblGrid>
            <w:tr w14:paraId="194CBA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vMerge w:val="restart"/>
                  <w:tcBorders>
                    <w:tl2br w:val="nil"/>
                    <w:tr2bl w:val="nil"/>
                  </w:tcBorders>
                  <w:shd w:val="clear" w:color="auto" w:fill="auto"/>
                  <w:vAlign w:val="center"/>
                </w:tcPr>
                <w:p w14:paraId="52A43F35">
                  <w:pPr>
                    <w:pStyle w:val="26"/>
                    <w:keepNext w:val="0"/>
                    <w:keepLines w:val="0"/>
                    <w:suppressLineNumbers w:val="0"/>
                    <w:spacing w:before="0" w:beforeAutospacing="0" w:after="0" w:afterAutospacing="0"/>
                    <w:ind w:left="0" w:right="0"/>
                    <w:rPr>
                      <w:rFonts w:hint="default"/>
                    </w:rPr>
                  </w:pPr>
                  <w:r>
                    <w:rPr>
                      <w:rFonts w:hint="default"/>
                    </w:rPr>
                    <w:t>序号</w:t>
                  </w:r>
                </w:p>
              </w:tc>
              <w:tc>
                <w:tcPr>
                  <w:tcW w:w="362" w:type="pct"/>
                  <w:vMerge w:val="restart"/>
                  <w:tcBorders>
                    <w:tl2br w:val="nil"/>
                    <w:tr2bl w:val="nil"/>
                  </w:tcBorders>
                  <w:shd w:val="clear" w:color="auto" w:fill="auto"/>
                  <w:vAlign w:val="center"/>
                </w:tcPr>
                <w:p w14:paraId="7F055EF3">
                  <w:pPr>
                    <w:pStyle w:val="26"/>
                    <w:keepNext w:val="0"/>
                    <w:keepLines w:val="0"/>
                    <w:suppressLineNumbers w:val="0"/>
                    <w:spacing w:before="0" w:beforeAutospacing="0" w:after="0" w:afterAutospacing="0"/>
                    <w:ind w:left="0" w:right="0"/>
                    <w:rPr>
                      <w:rFonts w:hint="default"/>
                    </w:rPr>
                  </w:pPr>
                  <w:r>
                    <w:rPr>
                      <w:rFonts w:hint="default"/>
                    </w:rPr>
                    <w:t>污染源</w:t>
                  </w:r>
                </w:p>
              </w:tc>
              <w:tc>
                <w:tcPr>
                  <w:tcW w:w="500" w:type="pct"/>
                  <w:gridSpan w:val="2"/>
                  <w:vMerge w:val="restart"/>
                  <w:tcBorders>
                    <w:tl2br w:val="nil"/>
                    <w:tr2bl w:val="nil"/>
                  </w:tcBorders>
                  <w:shd w:val="clear" w:color="auto" w:fill="auto"/>
                  <w:vAlign w:val="center"/>
                </w:tcPr>
                <w:p w14:paraId="33572A56">
                  <w:pPr>
                    <w:pStyle w:val="26"/>
                    <w:keepNext w:val="0"/>
                    <w:keepLines w:val="0"/>
                    <w:suppressLineNumbers w:val="0"/>
                    <w:spacing w:before="0" w:beforeAutospacing="0" w:after="0" w:afterAutospacing="0"/>
                    <w:ind w:left="0" w:right="0"/>
                    <w:rPr>
                      <w:rFonts w:hint="default"/>
                    </w:rPr>
                  </w:pPr>
                  <w:r>
                    <w:rPr>
                      <w:rFonts w:hint="default"/>
                    </w:rPr>
                    <w:t>产污环节</w:t>
                  </w:r>
                </w:p>
              </w:tc>
              <w:tc>
                <w:tcPr>
                  <w:tcW w:w="577" w:type="pct"/>
                  <w:vMerge w:val="restart"/>
                  <w:tcBorders>
                    <w:tl2br w:val="nil"/>
                    <w:tr2bl w:val="nil"/>
                  </w:tcBorders>
                  <w:shd w:val="clear" w:color="auto" w:fill="auto"/>
                  <w:vAlign w:val="center"/>
                </w:tcPr>
                <w:p w14:paraId="536CBF84">
                  <w:pPr>
                    <w:pStyle w:val="26"/>
                    <w:keepNext w:val="0"/>
                    <w:keepLines w:val="0"/>
                    <w:suppressLineNumbers w:val="0"/>
                    <w:spacing w:before="0" w:beforeAutospacing="0" w:after="0" w:afterAutospacing="0"/>
                    <w:ind w:left="0" w:right="0"/>
                    <w:rPr>
                      <w:rFonts w:hint="default"/>
                    </w:rPr>
                  </w:pPr>
                  <w:r>
                    <w:rPr>
                      <w:rFonts w:hint="default"/>
                    </w:rPr>
                    <w:t>污染物名称</w:t>
                  </w:r>
                </w:p>
              </w:tc>
              <w:tc>
                <w:tcPr>
                  <w:tcW w:w="457" w:type="pct"/>
                  <w:vMerge w:val="restart"/>
                  <w:tcBorders>
                    <w:tl2br w:val="nil"/>
                    <w:tr2bl w:val="nil"/>
                  </w:tcBorders>
                  <w:shd w:val="clear" w:color="auto" w:fill="auto"/>
                  <w:vAlign w:val="center"/>
                </w:tcPr>
                <w:p w14:paraId="0D443973">
                  <w:pPr>
                    <w:pStyle w:val="26"/>
                    <w:keepNext w:val="0"/>
                    <w:keepLines w:val="0"/>
                    <w:suppressLineNumbers w:val="0"/>
                    <w:spacing w:before="0" w:beforeAutospacing="0" w:after="0" w:afterAutospacing="0"/>
                    <w:ind w:left="0" w:right="0"/>
                    <w:rPr>
                      <w:rFonts w:hint="default"/>
                    </w:rPr>
                  </w:pPr>
                  <w:r>
                    <w:rPr>
                      <w:rFonts w:hint="default"/>
                    </w:rPr>
                    <w:t>主要污染物防治措施</w:t>
                  </w:r>
                </w:p>
              </w:tc>
              <w:tc>
                <w:tcPr>
                  <w:tcW w:w="1859" w:type="pct"/>
                  <w:gridSpan w:val="2"/>
                  <w:tcBorders>
                    <w:tl2br w:val="nil"/>
                    <w:tr2bl w:val="nil"/>
                  </w:tcBorders>
                  <w:shd w:val="clear" w:color="auto" w:fill="auto"/>
                  <w:vAlign w:val="center"/>
                </w:tcPr>
                <w:p w14:paraId="4146B498">
                  <w:pPr>
                    <w:pStyle w:val="26"/>
                    <w:keepNext w:val="0"/>
                    <w:keepLines w:val="0"/>
                    <w:suppressLineNumbers w:val="0"/>
                    <w:spacing w:before="0" w:beforeAutospacing="0" w:after="0" w:afterAutospacing="0"/>
                    <w:ind w:left="0" w:right="0"/>
                    <w:rPr>
                      <w:rFonts w:hint="default"/>
                    </w:rPr>
                  </w:pPr>
                  <w:r>
                    <w:rPr>
                      <w:rFonts w:hint="default"/>
                    </w:rPr>
                    <w:t>国家或地方污染物排放标准</w:t>
                  </w:r>
                </w:p>
              </w:tc>
              <w:tc>
                <w:tcPr>
                  <w:tcW w:w="460" w:type="pct"/>
                  <w:vMerge w:val="restart"/>
                  <w:tcBorders>
                    <w:tl2br w:val="nil"/>
                    <w:tr2bl w:val="nil"/>
                  </w:tcBorders>
                  <w:shd w:val="clear" w:color="auto" w:fill="auto"/>
                  <w:vAlign w:val="center"/>
                </w:tcPr>
                <w:p w14:paraId="3F6B345B">
                  <w:pPr>
                    <w:pStyle w:val="26"/>
                    <w:keepNext w:val="0"/>
                    <w:keepLines w:val="0"/>
                    <w:suppressLineNumbers w:val="0"/>
                    <w:spacing w:before="0" w:beforeAutospacing="0" w:after="0" w:afterAutospacing="0"/>
                    <w:ind w:left="0" w:right="0"/>
                    <w:rPr>
                      <w:rFonts w:hint="default"/>
                    </w:rPr>
                  </w:pPr>
                  <w:r>
                    <w:rPr>
                      <w:rFonts w:hint="default"/>
                    </w:rPr>
                    <w:t>年排放量（t/a）</w:t>
                  </w:r>
                </w:p>
              </w:tc>
              <w:tc>
                <w:tcPr>
                  <w:tcW w:w="525" w:type="pct"/>
                  <w:vMerge w:val="restart"/>
                  <w:tcBorders>
                    <w:tl2br w:val="nil"/>
                    <w:tr2bl w:val="nil"/>
                  </w:tcBorders>
                  <w:shd w:val="clear" w:color="auto" w:fill="auto"/>
                  <w:vAlign w:val="center"/>
                </w:tcPr>
                <w:p w14:paraId="17656A6A">
                  <w:pPr>
                    <w:pStyle w:val="26"/>
                    <w:keepNext w:val="0"/>
                    <w:keepLines w:val="0"/>
                    <w:suppressLineNumbers w:val="0"/>
                    <w:spacing w:before="0" w:beforeAutospacing="0" w:after="0" w:afterAutospacing="0"/>
                    <w:ind w:left="0" w:right="0"/>
                    <w:rPr>
                      <w:rFonts w:hint="default"/>
                    </w:rPr>
                  </w:pPr>
                  <w:r>
                    <w:rPr>
                      <w:rFonts w:hint="default"/>
                    </w:rPr>
                    <w:t>排放速率（kg/h）</w:t>
                  </w:r>
                </w:p>
              </w:tc>
            </w:tr>
            <w:tr w14:paraId="31776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vMerge w:val="continue"/>
                  <w:tcBorders>
                    <w:tl2br w:val="nil"/>
                    <w:tr2bl w:val="nil"/>
                  </w:tcBorders>
                  <w:shd w:val="clear" w:color="auto" w:fill="auto"/>
                  <w:vAlign w:val="center"/>
                </w:tcPr>
                <w:p w14:paraId="3B0E4C04">
                  <w:pPr>
                    <w:pStyle w:val="26"/>
                    <w:keepNext w:val="0"/>
                    <w:keepLines w:val="0"/>
                    <w:suppressLineNumbers w:val="0"/>
                    <w:spacing w:before="0" w:beforeAutospacing="0" w:after="0" w:afterAutospacing="0"/>
                    <w:ind w:left="0" w:right="0"/>
                    <w:rPr>
                      <w:rFonts w:hint="default"/>
                    </w:rPr>
                  </w:pPr>
                </w:p>
              </w:tc>
              <w:tc>
                <w:tcPr>
                  <w:tcW w:w="362" w:type="pct"/>
                  <w:vMerge w:val="continue"/>
                  <w:tcBorders>
                    <w:tl2br w:val="nil"/>
                    <w:tr2bl w:val="nil"/>
                  </w:tcBorders>
                  <w:shd w:val="clear" w:color="auto" w:fill="auto"/>
                  <w:vAlign w:val="center"/>
                </w:tcPr>
                <w:p w14:paraId="2D3F4FD1">
                  <w:pPr>
                    <w:pStyle w:val="26"/>
                    <w:keepNext w:val="0"/>
                    <w:keepLines w:val="0"/>
                    <w:suppressLineNumbers w:val="0"/>
                    <w:spacing w:before="0" w:beforeAutospacing="0" w:after="0" w:afterAutospacing="0"/>
                    <w:ind w:left="0" w:right="0"/>
                    <w:rPr>
                      <w:rFonts w:hint="default"/>
                    </w:rPr>
                  </w:pPr>
                </w:p>
              </w:tc>
              <w:tc>
                <w:tcPr>
                  <w:tcW w:w="500" w:type="pct"/>
                  <w:gridSpan w:val="2"/>
                  <w:vMerge w:val="continue"/>
                  <w:tcBorders>
                    <w:tl2br w:val="nil"/>
                    <w:tr2bl w:val="nil"/>
                  </w:tcBorders>
                  <w:shd w:val="clear" w:color="auto" w:fill="auto"/>
                  <w:vAlign w:val="center"/>
                </w:tcPr>
                <w:p w14:paraId="2C7280F3">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0DE43B34">
                  <w:pPr>
                    <w:pStyle w:val="26"/>
                    <w:keepNext w:val="0"/>
                    <w:keepLines w:val="0"/>
                    <w:suppressLineNumbers w:val="0"/>
                    <w:spacing w:before="0" w:beforeAutospacing="0" w:after="0" w:afterAutospacing="0"/>
                    <w:ind w:left="0" w:right="0"/>
                    <w:rPr>
                      <w:rFonts w:hint="default"/>
                    </w:rPr>
                  </w:pPr>
                </w:p>
              </w:tc>
              <w:tc>
                <w:tcPr>
                  <w:tcW w:w="457" w:type="pct"/>
                  <w:vMerge w:val="continue"/>
                  <w:tcBorders>
                    <w:tl2br w:val="nil"/>
                    <w:tr2bl w:val="nil"/>
                  </w:tcBorders>
                  <w:shd w:val="clear" w:color="auto" w:fill="auto"/>
                  <w:vAlign w:val="center"/>
                </w:tcPr>
                <w:p w14:paraId="50E9E2F9">
                  <w:pPr>
                    <w:pStyle w:val="26"/>
                    <w:keepNext w:val="0"/>
                    <w:keepLines w:val="0"/>
                    <w:suppressLineNumbers w:val="0"/>
                    <w:spacing w:before="0" w:beforeAutospacing="0" w:after="0" w:afterAutospacing="0"/>
                    <w:ind w:left="0" w:right="0"/>
                    <w:rPr>
                      <w:rFonts w:hint="default"/>
                    </w:rPr>
                  </w:pPr>
                </w:p>
              </w:tc>
              <w:tc>
                <w:tcPr>
                  <w:tcW w:w="1474" w:type="pct"/>
                  <w:tcBorders>
                    <w:tl2br w:val="nil"/>
                    <w:tr2bl w:val="nil"/>
                  </w:tcBorders>
                  <w:shd w:val="clear" w:color="auto" w:fill="auto"/>
                  <w:vAlign w:val="center"/>
                </w:tcPr>
                <w:p w14:paraId="13392FF9">
                  <w:pPr>
                    <w:pStyle w:val="26"/>
                    <w:keepNext w:val="0"/>
                    <w:keepLines w:val="0"/>
                    <w:suppressLineNumbers w:val="0"/>
                    <w:spacing w:before="0" w:beforeAutospacing="0" w:after="0" w:afterAutospacing="0"/>
                    <w:ind w:left="0" w:right="0"/>
                    <w:rPr>
                      <w:rFonts w:hint="default"/>
                    </w:rPr>
                  </w:pPr>
                  <w:r>
                    <w:rPr>
                      <w:rFonts w:hint="default"/>
                    </w:rPr>
                    <w:t>标准名称</w:t>
                  </w:r>
                </w:p>
              </w:tc>
              <w:tc>
                <w:tcPr>
                  <w:tcW w:w="385" w:type="pct"/>
                  <w:tcBorders>
                    <w:tl2br w:val="nil"/>
                    <w:tr2bl w:val="nil"/>
                  </w:tcBorders>
                  <w:shd w:val="clear" w:color="auto" w:fill="auto"/>
                  <w:vAlign w:val="center"/>
                </w:tcPr>
                <w:p w14:paraId="0FE61966">
                  <w:pPr>
                    <w:pStyle w:val="26"/>
                    <w:keepNext w:val="0"/>
                    <w:keepLines w:val="0"/>
                    <w:suppressLineNumbers w:val="0"/>
                    <w:spacing w:before="0" w:beforeAutospacing="0" w:after="0" w:afterAutospacing="0"/>
                    <w:ind w:left="0" w:right="0"/>
                    <w:rPr>
                      <w:rFonts w:hint="default"/>
                    </w:rPr>
                  </w:pPr>
                  <w:r>
                    <w:rPr>
                      <w:rFonts w:hint="default"/>
                    </w:rPr>
                    <w:t>浓度限值/（mg/m</w:t>
                  </w:r>
                  <w:r>
                    <w:rPr>
                      <w:rFonts w:hint="default"/>
                      <w:vertAlign w:val="superscript"/>
                    </w:rPr>
                    <w:t>3</w:t>
                  </w:r>
                  <w:r>
                    <w:rPr>
                      <w:rFonts w:hint="default"/>
                    </w:rPr>
                    <w:t>）</w:t>
                  </w:r>
                </w:p>
              </w:tc>
              <w:tc>
                <w:tcPr>
                  <w:tcW w:w="460" w:type="pct"/>
                  <w:vMerge w:val="continue"/>
                  <w:tcBorders>
                    <w:tl2br w:val="nil"/>
                    <w:tr2bl w:val="nil"/>
                  </w:tcBorders>
                  <w:shd w:val="clear" w:color="auto" w:fill="auto"/>
                  <w:vAlign w:val="center"/>
                </w:tcPr>
                <w:p w14:paraId="19C36BA5">
                  <w:pPr>
                    <w:pStyle w:val="26"/>
                    <w:keepNext w:val="0"/>
                    <w:keepLines w:val="0"/>
                    <w:suppressLineNumbers w:val="0"/>
                    <w:spacing w:before="0" w:beforeAutospacing="0" w:after="0" w:afterAutospacing="0"/>
                    <w:ind w:left="0" w:right="0"/>
                    <w:rPr>
                      <w:rFonts w:hint="default"/>
                    </w:rPr>
                  </w:pPr>
                </w:p>
              </w:tc>
              <w:tc>
                <w:tcPr>
                  <w:tcW w:w="525" w:type="pct"/>
                  <w:vMerge w:val="continue"/>
                  <w:tcBorders>
                    <w:tl2br w:val="nil"/>
                    <w:tr2bl w:val="nil"/>
                  </w:tcBorders>
                  <w:shd w:val="clear" w:color="auto" w:fill="auto"/>
                  <w:vAlign w:val="center"/>
                </w:tcPr>
                <w:p w14:paraId="15637FD6">
                  <w:pPr>
                    <w:pStyle w:val="26"/>
                    <w:keepNext w:val="0"/>
                    <w:keepLines w:val="0"/>
                    <w:suppressLineNumbers w:val="0"/>
                    <w:spacing w:before="0" w:beforeAutospacing="0" w:after="0" w:afterAutospacing="0"/>
                    <w:ind w:left="0" w:right="0"/>
                    <w:rPr>
                      <w:rFonts w:hint="default"/>
                    </w:rPr>
                  </w:pPr>
                </w:p>
              </w:tc>
            </w:tr>
            <w:tr w14:paraId="4F8E5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54A51D39">
                  <w:pPr>
                    <w:pStyle w:val="26"/>
                    <w:keepNext w:val="0"/>
                    <w:keepLines w:val="0"/>
                    <w:suppressLineNumbers w:val="0"/>
                    <w:spacing w:before="0" w:beforeAutospacing="0" w:after="0" w:afterAutospacing="0"/>
                    <w:ind w:left="0" w:right="0"/>
                    <w:rPr>
                      <w:rFonts w:hint="default"/>
                    </w:rPr>
                  </w:pPr>
                  <w:r>
                    <w:rPr>
                      <w:rFonts w:hint="default"/>
                    </w:rPr>
                    <w:t>1</w:t>
                  </w:r>
                </w:p>
              </w:tc>
              <w:tc>
                <w:tcPr>
                  <w:tcW w:w="362" w:type="pct"/>
                  <w:vMerge w:val="restart"/>
                  <w:tcBorders>
                    <w:tl2br w:val="nil"/>
                    <w:tr2bl w:val="nil"/>
                  </w:tcBorders>
                  <w:shd w:val="clear" w:color="auto" w:fill="auto"/>
                  <w:vAlign w:val="center"/>
                </w:tcPr>
                <w:p w14:paraId="6DA467A1">
                  <w:pPr>
                    <w:pStyle w:val="26"/>
                    <w:keepNext w:val="0"/>
                    <w:keepLines w:val="0"/>
                    <w:suppressLineNumbers w:val="0"/>
                    <w:spacing w:before="0" w:beforeAutospacing="0" w:after="0" w:afterAutospacing="0"/>
                    <w:ind w:left="0" w:right="0"/>
                    <w:rPr>
                      <w:rFonts w:hint="default"/>
                    </w:rPr>
                  </w:pPr>
                  <w:r>
                    <w:rPr>
                      <w:rFonts w:hint="default"/>
                    </w:rPr>
                    <w:t>生产</w:t>
                  </w:r>
                </w:p>
                <w:p w14:paraId="2147287D">
                  <w:pPr>
                    <w:pStyle w:val="26"/>
                    <w:keepNext w:val="0"/>
                    <w:keepLines w:val="0"/>
                    <w:suppressLineNumbers w:val="0"/>
                    <w:spacing w:before="0" w:beforeAutospacing="0" w:after="0" w:afterAutospacing="0"/>
                    <w:ind w:left="0" w:right="0"/>
                    <w:rPr>
                      <w:rFonts w:hint="default"/>
                    </w:rPr>
                  </w:pPr>
                  <w:r>
                    <w:rPr>
                      <w:rFonts w:hint="default"/>
                    </w:rPr>
                    <w:t>车间</w:t>
                  </w:r>
                </w:p>
              </w:tc>
              <w:tc>
                <w:tcPr>
                  <w:tcW w:w="500" w:type="pct"/>
                  <w:gridSpan w:val="2"/>
                  <w:tcBorders>
                    <w:tl2br w:val="nil"/>
                    <w:tr2bl w:val="nil"/>
                  </w:tcBorders>
                  <w:shd w:val="clear" w:color="auto" w:fill="auto"/>
                  <w:vAlign w:val="center"/>
                </w:tcPr>
                <w:p w14:paraId="6B3BC55E">
                  <w:pPr>
                    <w:pStyle w:val="26"/>
                    <w:keepNext w:val="0"/>
                    <w:keepLines w:val="0"/>
                    <w:suppressLineNumbers w:val="0"/>
                    <w:spacing w:before="0" w:beforeAutospacing="0" w:after="0" w:afterAutospacing="0"/>
                    <w:ind w:left="0" w:right="0"/>
                    <w:rPr>
                      <w:rFonts w:hint="default"/>
                    </w:rPr>
                  </w:pPr>
                  <w:r>
                    <w:rPr>
                      <w:rFonts w:hint="default"/>
                    </w:rPr>
                    <w:t>湿法造粒、2#循环水池</w:t>
                  </w:r>
                </w:p>
              </w:tc>
              <w:tc>
                <w:tcPr>
                  <w:tcW w:w="577" w:type="pct"/>
                  <w:tcBorders>
                    <w:tl2br w:val="nil"/>
                    <w:tr2bl w:val="nil"/>
                  </w:tcBorders>
                  <w:shd w:val="clear" w:color="auto" w:fill="auto"/>
                  <w:vAlign w:val="center"/>
                </w:tcPr>
                <w:p w14:paraId="1890DE25">
                  <w:pPr>
                    <w:pStyle w:val="26"/>
                    <w:keepNext w:val="0"/>
                    <w:keepLines w:val="0"/>
                    <w:suppressLineNumbers w:val="0"/>
                    <w:spacing w:before="0" w:beforeAutospacing="0" w:after="0" w:afterAutospacing="0"/>
                    <w:ind w:left="0" w:right="0"/>
                    <w:rPr>
                      <w:rFonts w:hint="default"/>
                    </w:rPr>
                  </w:pPr>
                  <w:r>
                    <w:rPr>
                      <w:rFonts w:hint="default"/>
                    </w:rPr>
                    <w:t>硫化氢G</w:t>
                  </w:r>
                  <w:r>
                    <w:rPr>
                      <w:rFonts w:hint="default"/>
                      <w:vertAlign w:val="subscript"/>
                    </w:rPr>
                    <w:t>1-1</w:t>
                  </w:r>
                  <w:r>
                    <w:rPr>
                      <w:rFonts w:hint="default"/>
                    </w:rPr>
                    <w:t>、G</w:t>
                  </w:r>
                  <w:r>
                    <w:rPr>
                      <w:rFonts w:hint="default"/>
                      <w:vertAlign w:val="subscript"/>
                    </w:rPr>
                    <w:t>1-2、</w:t>
                  </w:r>
                  <w:r>
                    <w:rPr>
                      <w:rFonts w:hint="default"/>
                    </w:rPr>
                    <w:t>G</w:t>
                  </w:r>
                  <w:r>
                    <w:rPr>
                      <w:rFonts w:hint="default"/>
                      <w:vertAlign w:val="subscript"/>
                    </w:rPr>
                    <w:t>1-3</w:t>
                  </w:r>
                  <w:r>
                    <w:rPr>
                      <w:rFonts w:hint="default"/>
                    </w:rPr>
                    <w:t>、G</w:t>
                  </w:r>
                  <w:r>
                    <w:rPr>
                      <w:rFonts w:hint="default"/>
                      <w:vertAlign w:val="subscript"/>
                    </w:rPr>
                    <w:t>1-4</w:t>
                  </w:r>
                  <w:r>
                    <w:rPr>
                      <w:rFonts w:hint="default"/>
                    </w:rPr>
                    <w:t>、G</w:t>
                  </w:r>
                  <w:r>
                    <w:rPr>
                      <w:rFonts w:hint="default"/>
                      <w:vertAlign w:val="subscript"/>
                    </w:rPr>
                    <w:t>1-5</w:t>
                  </w:r>
                </w:p>
              </w:tc>
              <w:tc>
                <w:tcPr>
                  <w:tcW w:w="457" w:type="pct"/>
                  <w:tcBorders>
                    <w:tl2br w:val="nil"/>
                    <w:tr2bl w:val="nil"/>
                  </w:tcBorders>
                  <w:shd w:val="clear" w:color="auto" w:fill="auto"/>
                  <w:vAlign w:val="center"/>
                </w:tcPr>
                <w:p w14:paraId="2C343322">
                  <w:pPr>
                    <w:pStyle w:val="26"/>
                    <w:keepNext w:val="0"/>
                    <w:keepLines w:val="0"/>
                    <w:suppressLineNumbers w:val="0"/>
                    <w:spacing w:before="0" w:beforeAutospacing="0" w:after="0" w:afterAutospacing="0"/>
                    <w:ind w:left="0" w:right="0"/>
                    <w:rPr>
                      <w:rFonts w:hint="default"/>
                    </w:rPr>
                  </w:pPr>
                  <w:r>
                    <w:rPr>
                      <w:rFonts w:hint="default"/>
                    </w:rPr>
                    <w:t>车间内沉降</w:t>
                  </w:r>
                </w:p>
              </w:tc>
              <w:tc>
                <w:tcPr>
                  <w:tcW w:w="1474" w:type="pct"/>
                  <w:tcBorders>
                    <w:tl2br w:val="nil"/>
                    <w:tr2bl w:val="nil"/>
                  </w:tcBorders>
                  <w:shd w:val="clear" w:color="auto" w:fill="auto"/>
                  <w:vAlign w:val="center"/>
                </w:tcPr>
                <w:p w14:paraId="4FC4DC2A">
                  <w:pPr>
                    <w:pStyle w:val="26"/>
                    <w:keepNext w:val="0"/>
                    <w:keepLines w:val="0"/>
                    <w:suppressLineNumbers w:val="0"/>
                    <w:spacing w:before="0" w:beforeAutospacing="0" w:after="0" w:afterAutospacing="0"/>
                    <w:ind w:left="0" w:right="0"/>
                    <w:rPr>
                      <w:rFonts w:hint="default"/>
                    </w:rPr>
                  </w:pPr>
                  <w:r>
                    <w:rPr>
                      <w:rFonts w:hint="default"/>
                    </w:rPr>
                    <w:t>《无机化学工业污染物排放标准》（GB31573-2015）及其修改单</w:t>
                  </w:r>
                </w:p>
              </w:tc>
              <w:tc>
                <w:tcPr>
                  <w:tcW w:w="385" w:type="pct"/>
                  <w:tcBorders>
                    <w:tl2br w:val="nil"/>
                    <w:tr2bl w:val="nil"/>
                  </w:tcBorders>
                  <w:shd w:val="clear" w:color="auto" w:fill="auto"/>
                  <w:vAlign w:val="center"/>
                </w:tcPr>
                <w:p w14:paraId="5C52BFFE">
                  <w:pPr>
                    <w:pStyle w:val="26"/>
                    <w:keepNext w:val="0"/>
                    <w:keepLines w:val="0"/>
                    <w:suppressLineNumbers w:val="0"/>
                    <w:spacing w:before="0" w:beforeAutospacing="0" w:after="0" w:afterAutospacing="0"/>
                    <w:ind w:left="0" w:right="0"/>
                    <w:rPr>
                      <w:rFonts w:hint="default"/>
                    </w:rPr>
                  </w:pPr>
                  <w:r>
                    <w:rPr>
                      <w:rFonts w:hint="default"/>
                    </w:rPr>
                    <w:t>0.03</w:t>
                  </w:r>
                </w:p>
              </w:tc>
              <w:tc>
                <w:tcPr>
                  <w:tcW w:w="460" w:type="pct"/>
                  <w:tcBorders>
                    <w:tl2br w:val="nil"/>
                    <w:tr2bl w:val="nil"/>
                  </w:tcBorders>
                  <w:shd w:val="clear" w:color="auto" w:fill="auto"/>
                  <w:noWrap/>
                  <w:vAlign w:val="center"/>
                </w:tcPr>
                <w:p w14:paraId="778535BE">
                  <w:pPr>
                    <w:pStyle w:val="26"/>
                    <w:keepNext w:val="0"/>
                    <w:keepLines w:val="0"/>
                    <w:suppressLineNumbers w:val="0"/>
                    <w:spacing w:before="0" w:beforeAutospacing="0" w:after="0" w:afterAutospacing="0"/>
                    <w:ind w:left="0" w:right="0"/>
                    <w:rPr>
                      <w:rFonts w:hint="default"/>
                    </w:rPr>
                  </w:pPr>
                  <w:r>
                    <w:rPr>
                      <w:rFonts w:hint="default"/>
                    </w:rPr>
                    <w:t>0.150</w:t>
                  </w:r>
                </w:p>
              </w:tc>
              <w:tc>
                <w:tcPr>
                  <w:tcW w:w="525" w:type="pct"/>
                  <w:tcBorders>
                    <w:tl2br w:val="nil"/>
                    <w:tr2bl w:val="nil"/>
                  </w:tcBorders>
                  <w:shd w:val="clear" w:color="auto" w:fill="auto"/>
                  <w:noWrap/>
                  <w:vAlign w:val="center"/>
                </w:tcPr>
                <w:p w14:paraId="465C9D97">
                  <w:pPr>
                    <w:pStyle w:val="26"/>
                    <w:keepNext w:val="0"/>
                    <w:keepLines w:val="0"/>
                    <w:suppressLineNumbers w:val="0"/>
                    <w:spacing w:before="0" w:beforeAutospacing="0" w:after="0" w:afterAutospacing="0"/>
                    <w:ind w:left="0" w:right="0"/>
                    <w:rPr>
                      <w:rFonts w:hint="default"/>
                    </w:rPr>
                  </w:pPr>
                  <w:r>
                    <w:rPr>
                      <w:rFonts w:hint="default"/>
                    </w:rPr>
                    <w:t>0.019</w:t>
                  </w:r>
                </w:p>
              </w:tc>
            </w:tr>
            <w:tr w14:paraId="713A4C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679F564A">
                  <w:pPr>
                    <w:pStyle w:val="26"/>
                    <w:keepNext w:val="0"/>
                    <w:keepLines w:val="0"/>
                    <w:suppressLineNumbers w:val="0"/>
                    <w:spacing w:before="0" w:beforeAutospacing="0" w:after="0" w:afterAutospacing="0"/>
                    <w:ind w:left="0" w:right="0"/>
                    <w:rPr>
                      <w:rFonts w:hint="default"/>
                    </w:rPr>
                  </w:pPr>
                  <w:r>
                    <w:rPr>
                      <w:rFonts w:hint="default"/>
                    </w:rPr>
                    <w:t>2</w:t>
                  </w:r>
                </w:p>
              </w:tc>
              <w:tc>
                <w:tcPr>
                  <w:tcW w:w="362" w:type="pct"/>
                  <w:vMerge w:val="continue"/>
                  <w:tcBorders>
                    <w:tl2br w:val="nil"/>
                    <w:tr2bl w:val="nil"/>
                  </w:tcBorders>
                  <w:shd w:val="clear" w:color="auto" w:fill="auto"/>
                  <w:vAlign w:val="center"/>
                </w:tcPr>
                <w:p w14:paraId="63AE760C">
                  <w:pPr>
                    <w:pStyle w:val="26"/>
                    <w:keepNext w:val="0"/>
                    <w:keepLines w:val="0"/>
                    <w:suppressLineNumbers w:val="0"/>
                    <w:spacing w:before="0" w:beforeAutospacing="0" w:after="0" w:afterAutospacing="0"/>
                    <w:ind w:left="0" w:right="0"/>
                    <w:rPr>
                      <w:rFonts w:hint="default"/>
                    </w:rPr>
                  </w:pPr>
                </w:p>
              </w:tc>
              <w:tc>
                <w:tcPr>
                  <w:tcW w:w="500" w:type="pct"/>
                  <w:gridSpan w:val="2"/>
                  <w:tcBorders>
                    <w:tl2br w:val="nil"/>
                    <w:tr2bl w:val="nil"/>
                  </w:tcBorders>
                  <w:shd w:val="clear" w:color="auto" w:fill="auto"/>
                  <w:vAlign w:val="center"/>
                </w:tcPr>
                <w:p w14:paraId="73AA253F">
                  <w:pPr>
                    <w:pStyle w:val="26"/>
                    <w:keepNext w:val="0"/>
                    <w:keepLines w:val="0"/>
                    <w:suppressLineNumbers w:val="0"/>
                    <w:spacing w:before="0" w:beforeAutospacing="0" w:after="0" w:afterAutospacing="0"/>
                    <w:ind w:left="0" w:right="0"/>
                    <w:rPr>
                      <w:rFonts w:hint="default"/>
                    </w:rPr>
                  </w:pPr>
                  <w:r>
                    <w:rPr>
                      <w:rFonts w:hint="default"/>
                    </w:rPr>
                    <w:t>滚筒造粒、刮片</w:t>
                  </w:r>
                </w:p>
              </w:tc>
              <w:tc>
                <w:tcPr>
                  <w:tcW w:w="577" w:type="pct"/>
                  <w:tcBorders>
                    <w:tl2br w:val="nil"/>
                    <w:tr2bl w:val="nil"/>
                  </w:tcBorders>
                  <w:shd w:val="clear" w:color="auto" w:fill="auto"/>
                  <w:vAlign w:val="center"/>
                </w:tcPr>
                <w:p w14:paraId="222169CD">
                  <w:pPr>
                    <w:pStyle w:val="26"/>
                    <w:keepNext w:val="0"/>
                    <w:keepLines w:val="0"/>
                    <w:suppressLineNumbers w:val="0"/>
                    <w:spacing w:before="0" w:beforeAutospacing="0" w:after="0" w:afterAutospacing="0"/>
                    <w:ind w:left="0" w:right="0"/>
                    <w:rPr>
                      <w:rFonts w:hint="default"/>
                    </w:rPr>
                  </w:pPr>
                  <w:r>
                    <w:rPr>
                      <w:rFonts w:hint="default"/>
                    </w:rPr>
                    <w:t>粉尘G</w:t>
                  </w:r>
                  <w:r>
                    <w:rPr>
                      <w:rFonts w:hint="default"/>
                      <w:vertAlign w:val="subscript"/>
                    </w:rPr>
                    <w:t>1-1</w:t>
                  </w:r>
                  <w:r>
                    <w:rPr>
                      <w:rFonts w:hint="default"/>
                    </w:rPr>
                    <w:t>、G</w:t>
                  </w:r>
                  <w:r>
                    <w:rPr>
                      <w:rFonts w:hint="default"/>
                      <w:vertAlign w:val="subscript"/>
                    </w:rPr>
                    <w:t>1-2、</w:t>
                  </w:r>
                  <w:r>
                    <w:rPr>
                      <w:rFonts w:hint="default"/>
                    </w:rPr>
                    <w:t>G</w:t>
                  </w:r>
                  <w:r>
                    <w:rPr>
                      <w:rFonts w:hint="default"/>
                      <w:vertAlign w:val="subscript"/>
                    </w:rPr>
                    <w:t>1-3</w:t>
                  </w:r>
                  <w:r>
                    <w:rPr>
                      <w:rFonts w:hint="default"/>
                    </w:rPr>
                    <w:t>、G</w:t>
                  </w:r>
                  <w:r>
                    <w:rPr>
                      <w:rFonts w:hint="default"/>
                      <w:vertAlign w:val="subscript"/>
                    </w:rPr>
                    <w:t>1-4</w:t>
                  </w:r>
                  <w:r>
                    <w:rPr>
                      <w:rFonts w:hint="default"/>
                    </w:rPr>
                    <w:t>、G</w:t>
                  </w:r>
                  <w:r>
                    <w:rPr>
                      <w:rFonts w:hint="default"/>
                      <w:vertAlign w:val="subscript"/>
                    </w:rPr>
                    <w:t>1-5</w:t>
                  </w:r>
                </w:p>
              </w:tc>
              <w:tc>
                <w:tcPr>
                  <w:tcW w:w="457" w:type="pct"/>
                  <w:tcBorders>
                    <w:tl2br w:val="nil"/>
                    <w:tr2bl w:val="nil"/>
                  </w:tcBorders>
                  <w:shd w:val="clear" w:color="auto" w:fill="auto"/>
                  <w:vAlign w:val="center"/>
                </w:tcPr>
                <w:p w14:paraId="6F119AA4">
                  <w:pPr>
                    <w:pStyle w:val="26"/>
                    <w:keepNext w:val="0"/>
                    <w:keepLines w:val="0"/>
                    <w:suppressLineNumbers w:val="0"/>
                    <w:spacing w:before="0" w:beforeAutospacing="0" w:after="0" w:afterAutospacing="0"/>
                    <w:ind w:left="0" w:right="0"/>
                    <w:rPr>
                      <w:rFonts w:hint="default"/>
                    </w:rPr>
                  </w:pPr>
                  <w:r>
                    <w:rPr>
                      <w:rFonts w:hint="default"/>
                    </w:rPr>
                    <w:t>车间内沉降</w:t>
                  </w:r>
                </w:p>
              </w:tc>
              <w:tc>
                <w:tcPr>
                  <w:tcW w:w="1474" w:type="pct"/>
                  <w:tcBorders>
                    <w:tl2br w:val="nil"/>
                    <w:tr2bl w:val="nil"/>
                  </w:tcBorders>
                  <w:shd w:val="clear" w:color="auto" w:fill="auto"/>
                  <w:vAlign w:val="center"/>
                </w:tcPr>
                <w:p w14:paraId="03279CCC">
                  <w:pPr>
                    <w:pStyle w:val="26"/>
                    <w:keepNext w:val="0"/>
                    <w:keepLines w:val="0"/>
                    <w:suppressLineNumbers w:val="0"/>
                    <w:spacing w:before="0" w:beforeAutospacing="0" w:after="0" w:afterAutospacing="0"/>
                    <w:ind w:left="0" w:right="0"/>
                    <w:rPr>
                      <w:rFonts w:hint="default"/>
                    </w:rPr>
                  </w:pPr>
                  <w:r>
                    <w:rPr>
                      <w:rFonts w:hint="default"/>
                    </w:rPr>
                    <w:t>《大气污染物综合排放标准》（GB16297-1996）</w:t>
                  </w:r>
                </w:p>
              </w:tc>
              <w:tc>
                <w:tcPr>
                  <w:tcW w:w="385" w:type="pct"/>
                  <w:tcBorders>
                    <w:tl2br w:val="nil"/>
                    <w:tr2bl w:val="nil"/>
                  </w:tcBorders>
                  <w:shd w:val="clear" w:color="auto" w:fill="auto"/>
                  <w:vAlign w:val="center"/>
                </w:tcPr>
                <w:p w14:paraId="21B9F7BA">
                  <w:pPr>
                    <w:pStyle w:val="26"/>
                    <w:keepNext w:val="0"/>
                    <w:keepLines w:val="0"/>
                    <w:suppressLineNumbers w:val="0"/>
                    <w:spacing w:before="0" w:beforeAutospacing="0" w:after="0" w:afterAutospacing="0"/>
                    <w:ind w:left="0" w:right="0"/>
                    <w:rPr>
                      <w:rFonts w:hint="default"/>
                    </w:rPr>
                  </w:pPr>
                  <w:r>
                    <w:rPr>
                      <w:rFonts w:hint="default"/>
                    </w:rPr>
                    <w:t>1.0</w:t>
                  </w:r>
                </w:p>
              </w:tc>
              <w:tc>
                <w:tcPr>
                  <w:tcW w:w="460" w:type="pct"/>
                  <w:tcBorders>
                    <w:tl2br w:val="nil"/>
                    <w:tr2bl w:val="nil"/>
                  </w:tcBorders>
                  <w:shd w:val="clear" w:color="auto" w:fill="auto"/>
                  <w:noWrap/>
                  <w:vAlign w:val="center"/>
                </w:tcPr>
                <w:p w14:paraId="57FAF52B">
                  <w:pPr>
                    <w:pStyle w:val="26"/>
                    <w:keepNext w:val="0"/>
                    <w:keepLines w:val="0"/>
                    <w:suppressLineNumbers w:val="0"/>
                    <w:spacing w:before="0" w:beforeAutospacing="0" w:after="0" w:afterAutospacing="0"/>
                    <w:ind w:left="0" w:right="0"/>
                    <w:rPr>
                      <w:rFonts w:hint="default"/>
                    </w:rPr>
                  </w:pPr>
                  <w:r>
                    <w:rPr>
                      <w:rFonts w:hint="default"/>
                    </w:rPr>
                    <w:t>1.68</w:t>
                  </w:r>
                </w:p>
              </w:tc>
              <w:tc>
                <w:tcPr>
                  <w:tcW w:w="525" w:type="pct"/>
                  <w:tcBorders>
                    <w:tl2br w:val="nil"/>
                    <w:tr2bl w:val="nil"/>
                  </w:tcBorders>
                  <w:shd w:val="clear" w:color="auto" w:fill="auto"/>
                  <w:noWrap/>
                  <w:vAlign w:val="center"/>
                </w:tcPr>
                <w:p w14:paraId="459E6F3D">
                  <w:pPr>
                    <w:pStyle w:val="26"/>
                    <w:keepNext w:val="0"/>
                    <w:keepLines w:val="0"/>
                    <w:suppressLineNumbers w:val="0"/>
                    <w:spacing w:before="0" w:beforeAutospacing="0" w:after="0" w:afterAutospacing="0"/>
                    <w:ind w:left="0" w:right="0"/>
                    <w:rPr>
                      <w:rFonts w:hint="default"/>
                    </w:rPr>
                  </w:pPr>
                  <w:r>
                    <w:rPr>
                      <w:rFonts w:hint="default"/>
                    </w:rPr>
                    <w:t>0.21</w:t>
                  </w:r>
                </w:p>
              </w:tc>
            </w:tr>
            <w:tr w14:paraId="63FE4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79FC6655">
                  <w:pPr>
                    <w:pStyle w:val="26"/>
                    <w:keepNext w:val="0"/>
                    <w:keepLines w:val="0"/>
                    <w:suppressLineNumbers w:val="0"/>
                    <w:spacing w:before="0" w:beforeAutospacing="0" w:after="0" w:afterAutospacing="0"/>
                    <w:ind w:left="0" w:right="0"/>
                    <w:rPr>
                      <w:rFonts w:hint="default"/>
                    </w:rPr>
                  </w:pPr>
                  <w:r>
                    <w:rPr>
                      <w:rFonts w:hint="default"/>
                    </w:rPr>
                    <w:t>3</w:t>
                  </w:r>
                </w:p>
              </w:tc>
              <w:tc>
                <w:tcPr>
                  <w:tcW w:w="362" w:type="pct"/>
                  <w:vMerge w:val="continue"/>
                  <w:tcBorders>
                    <w:tl2br w:val="nil"/>
                    <w:tr2bl w:val="nil"/>
                  </w:tcBorders>
                  <w:shd w:val="clear" w:color="auto" w:fill="auto"/>
                  <w:vAlign w:val="center"/>
                </w:tcPr>
                <w:p w14:paraId="52D1FA2C">
                  <w:pPr>
                    <w:pStyle w:val="26"/>
                    <w:keepNext w:val="0"/>
                    <w:keepLines w:val="0"/>
                    <w:suppressLineNumbers w:val="0"/>
                    <w:spacing w:before="0" w:beforeAutospacing="0" w:after="0" w:afterAutospacing="0"/>
                    <w:ind w:left="0" w:right="0"/>
                    <w:rPr>
                      <w:rFonts w:hint="default"/>
                    </w:rPr>
                  </w:pPr>
                </w:p>
              </w:tc>
              <w:tc>
                <w:tcPr>
                  <w:tcW w:w="500" w:type="pct"/>
                  <w:gridSpan w:val="2"/>
                  <w:tcBorders>
                    <w:tl2br w:val="nil"/>
                    <w:tr2bl w:val="nil"/>
                  </w:tcBorders>
                  <w:shd w:val="clear" w:color="auto" w:fill="auto"/>
                  <w:vAlign w:val="center"/>
                </w:tcPr>
                <w:p w14:paraId="1CD68547">
                  <w:pPr>
                    <w:pStyle w:val="26"/>
                    <w:keepNext w:val="0"/>
                    <w:keepLines w:val="0"/>
                    <w:suppressLineNumbers w:val="0"/>
                    <w:spacing w:before="0" w:beforeAutospacing="0" w:after="0" w:afterAutospacing="0"/>
                    <w:ind w:left="0" w:right="0"/>
                    <w:rPr>
                      <w:rFonts w:hint="default"/>
                    </w:rPr>
                  </w:pPr>
                  <w:r>
                    <w:rPr>
                      <w:rFonts w:hint="default"/>
                    </w:rPr>
                    <w:t>包装</w:t>
                  </w:r>
                </w:p>
              </w:tc>
              <w:tc>
                <w:tcPr>
                  <w:tcW w:w="577" w:type="pct"/>
                  <w:tcBorders>
                    <w:tl2br w:val="nil"/>
                    <w:tr2bl w:val="nil"/>
                  </w:tcBorders>
                  <w:shd w:val="clear" w:color="auto" w:fill="auto"/>
                  <w:vAlign w:val="center"/>
                </w:tcPr>
                <w:p w14:paraId="5BC69DE1">
                  <w:pPr>
                    <w:pStyle w:val="26"/>
                    <w:keepNext w:val="0"/>
                    <w:keepLines w:val="0"/>
                    <w:suppressLineNumbers w:val="0"/>
                    <w:spacing w:before="0" w:beforeAutospacing="0" w:after="0" w:afterAutospacing="0"/>
                    <w:ind w:left="0" w:right="0"/>
                    <w:rPr>
                      <w:rFonts w:hint="default"/>
                    </w:rPr>
                  </w:pPr>
                  <w:r>
                    <w:rPr>
                      <w:rFonts w:hint="default"/>
                    </w:rPr>
                    <w:t>粉尘G</w:t>
                  </w:r>
                  <w:r>
                    <w:rPr>
                      <w:rFonts w:hint="default"/>
                      <w:vertAlign w:val="subscript"/>
                    </w:rPr>
                    <w:t>1-6</w:t>
                  </w:r>
                  <w:r>
                    <w:rPr>
                      <w:rFonts w:hint="default"/>
                    </w:rPr>
                    <w:t>、G</w:t>
                  </w:r>
                  <w:r>
                    <w:rPr>
                      <w:rFonts w:hint="default"/>
                      <w:vertAlign w:val="subscript"/>
                    </w:rPr>
                    <w:t>1-7</w:t>
                  </w:r>
                </w:p>
              </w:tc>
              <w:tc>
                <w:tcPr>
                  <w:tcW w:w="457" w:type="pct"/>
                  <w:tcBorders>
                    <w:tl2br w:val="nil"/>
                    <w:tr2bl w:val="nil"/>
                  </w:tcBorders>
                  <w:shd w:val="clear" w:color="auto" w:fill="auto"/>
                  <w:noWrap/>
                  <w:vAlign w:val="center"/>
                </w:tcPr>
                <w:p w14:paraId="301BE106">
                  <w:pPr>
                    <w:pStyle w:val="26"/>
                    <w:keepNext w:val="0"/>
                    <w:keepLines w:val="0"/>
                    <w:suppressLineNumbers w:val="0"/>
                    <w:spacing w:before="0" w:beforeAutospacing="0" w:after="0" w:afterAutospacing="0"/>
                    <w:ind w:left="0" w:right="0"/>
                    <w:rPr>
                      <w:rFonts w:hint="default"/>
                    </w:rPr>
                  </w:pPr>
                  <w:r>
                    <w:rPr>
                      <w:rFonts w:hint="default"/>
                    </w:rPr>
                    <w:t>车间内沉降</w:t>
                  </w:r>
                </w:p>
              </w:tc>
              <w:tc>
                <w:tcPr>
                  <w:tcW w:w="1474" w:type="pct"/>
                  <w:tcBorders>
                    <w:tl2br w:val="nil"/>
                    <w:tr2bl w:val="nil"/>
                  </w:tcBorders>
                  <w:shd w:val="clear" w:color="auto" w:fill="auto"/>
                  <w:vAlign w:val="center"/>
                </w:tcPr>
                <w:p w14:paraId="12C82061">
                  <w:pPr>
                    <w:pStyle w:val="26"/>
                    <w:keepNext w:val="0"/>
                    <w:keepLines w:val="0"/>
                    <w:suppressLineNumbers w:val="0"/>
                    <w:spacing w:before="0" w:beforeAutospacing="0" w:after="0" w:afterAutospacing="0"/>
                    <w:ind w:left="0" w:right="0"/>
                    <w:rPr>
                      <w:rFonts w:hint="default"/>
                    </w:rPr>
                  </w:pPr>
                  <w:r>
                    <w:rPr>
                      <w:rFonts w:hint="default"/>
                    </w:rPr>
                    <w:t>《大气污染物综合排放标准》（GB16297-1996）</w:t>
                  </w:r>
                </w:p>
              </w:tc>
              <w:tc>
                <w:tcPr>
                  <w:tcW w:w="385" w:type="pct"/>
                  <w:tcBorders>
                    <w:tl2br w:val="nil"/>
                    <w:tr2bl w:val="nil"/>
                  </w:tcBorders>
                  <w:shd w:val="clear" w:color="auto" w:fill="auto"/>
                  <w:vAlign w:val="center"/>
                </w:tcPr>
                <w:p w14:paraId="5C2ECA54">
                  <w:pPr>
                    <w:pStyle w:val="26"/>
                    <w:keepNext w:val="0"/>
                    <w:keepLines w:val="0"/>
                    <w:suppressLineNumbers w:val="0"/>
                    <w:spacing w:before="0" w:beforeAutospacing="0" w:after="0" w:afterAutospacing="0"/>
                    <w:ind w:left="0" w:right="0"/>
                    <w:rPr>
                      <w:rFonts w:hint="default"/>
                    </w:rPr>
                  </w:pPr>
                  <w:r>
                    <w:rPr>
                      <w:rFonts w:hint="default"/>
                    </w:rPr>
                    <w:t>1.0</w:t>
                  </w:r>
                </w:p>
              </w:tc>
              <w:tc>
                <w:tcPr>
                  <w:tcW w:w="460" w:type="pct"/>
                  <w:tcBorders>
                    <w:tl2br w:val="nil"/>
                    <w:tr2bl w:val="nil"/>
                  </w:tcBorders>
                  <w:shd w:val="clear" w:color="auto" w:fill="auto"/>
                  <w:noWrap/>
                  <w:vAlign w:val="center"/>
                </w:tcPr>
                <w:p w14:paraId="63938FE6">
                  <w:pPr>
                    <w:pStyle w:val="26"/>
                    <w:keepNext w:val="0"/>
                    <w:keepLines w:val="0"/>
                    <w:suppressLineNumbers w:val="0"/>
                    <w:spacing w:before="0" w:beforeAutospacing="0" w:after="0" w:afterAutospacing="0"/>
                    <w:ind w:left="0" w:right="0"/>
                    <w:rPr>
                      <w:rFonts w:hint="default"/>
                    </w:rPr>
                  </w:pPr>
                  <w:r>
                    <w:rPr>
                      <w:rFonts w:hint="default"/>
                    </w:rPr>
                    <w:t>0.25</w:t>
                  </w:r>
                </w:p>
              </w:tc>
              <w:tc>
                <w:tcPr>
                  <w:tcW w:w="525" w:type="pct"/>
                  <w:tcBorders>
                    <w:tl2br w:val="nil"/>
                    <w:tr2bl w:val="nil"/>
                  </w:tcBorders>
                  <w:shd w:val="clear" w:color="auto" w:fill="auto"/>
                  <w:noWrap/>
                  <w:vAlign w:val="center"/>
                </w:tcPr>
                <w:p w14:paraId="1C32AEF5">
                  <w:pPr>
                    <w:pStyle w:val="26"/>
                    <w:keepNext w:val="0"/>
                    <w:keepLines w:val="0"/>
                    <w:suppressLineNumbers w:val="0"/>
                    <w:spacing w:before="0" w:beforeAutospacing="0" w:after="0" w:afterAutospacing="0"/>
                    <w:ind w:left="0" w:right="0"/>
                    <w:rPr>
                      <w:rFonts w:hint="default"/>
                    </w:rPr>
                  </w:pPr>
                  <w:r>
                    <w:rPr>
                      <w:rFonts w:hint="default"/>
                    </w:rPr>
                    <w:t>0.031</w:t>
                  </w:r>
                </w:p>
              </w:tc>
            </w:tr>
            <w:tr w14:paraId="4160A6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14E5086F">
                  <w:pPr>
                    <w:pStyle w:val="26"/>
                    <w:keepNext w:val="0"/>
                    <w:keepLines w:val="0"/>
                    <w:suppressLineNumbers w:val="0"/>
                    <w:spacing w:before="0" w:beforeAutospacing="0" w:after="0" w:afterAutospacing="0"/>
                    <w:ind w:left="0" w:right="0"/>
                    <w:rPr>
                      <w:rFonts w:hint="default"/>
                    </w:rPr>
                  </w:pPr>
                  <w:r>
                    <w:rPr>
                      <w:rFonts w:hint="default"/>
                    </w:rPr>
                    <w:t>4</w:t>
                  </w:r>
                </w:p>
              </w:tc>
              <w:tc>
                <w:tcPr>
                  <w:tcW w:w="362" w:type="pct"/>
                  <w:vMerge w:val="restart"/>
                  <w:tcBorders>
                    <w:tl2br w:val="nil"/>
                    <w:tr2bl w:val="nil"/>
                  </w:tcBorders>
                  <w:shd w:val="clear" w:color="auto" w:fill="auto"/>
                  <w:vAlign w:val="center"/>
                </w:tcPr>
                <w:p w14:paraId="71E63634">
                  <w:pPr>
                    <w:pStyle w:val="26"/>
                    <w:keepNext w:val="0"/>
                    <w:keepLines w:val="0"/>
                    <w:suppressLineNumbers w:val="0"/>
                    <w:spacing w:before="0" w:beforeAutospacing="0" w:after="0" w:afterAutospacing="0"/>
                    <w:ind w:left="0" w:right="0"/>
                    <w:rPr>
                      <w:rFonts w:hint="default"/>
                    </w:rPr>
                  </w:pPr>
                  <w:r>
                    <w:rPr>
                      <w:rFonts w:hint="default"/>
                    </w:rPr>
                    <w:t>柴油</w:t>
                  </w:r>
                </w:p>
                <w:p w14:paraId="24889D27">
                  <w:pPr>
                    <w:pStyle w:val="26"/>
                    <w:keepNext w:val="0"/>
                    <w:keepLines w:val="0"/>
                    <w:suppressLineNumbers w:val="0"/>
                    <w:spacing w:before="0" w:beforeAutospacing="0" w:after="0" w:afterAutospacing="0"/>
                    <w:ind w:left="0" w:right="0"/>
                    <w:rPr>
                      <w:rFonts w:hint="default"/>
                    </w:rPr>
                  </w:pPr>
                  <w:r>
                    <w:rPr>
                      <w:rFonts w:hint="default"/>
                    </w:rPr>
                    <w:t>撬装站</w:t>
                  </w:r>
                </w:p>
              </w:tc>
              <w:tc>
                <w:tcPr>
                  <w:tcW w:w="500" w:type="pct"/>
                  <w:gridSpan w:val="2"/>
                  <w:tcBorders>
                    <w:tl2br w:val="nil"/>
                    <w:tr2bl w:val="nil"/>
                  </w:tcBorders>
                  <w:shd w:val="clear" w:color="auto" w:fill="auto"/>
                  <w:vAlign w:val="center"/>
                </w:tcPr>
                <w:p w14:paraId="6EF3B3C1">
                  <w:pPr>
                    <w:pStyle w:val="28"/>
                    <w:keepNext w:val="0"/>
                    <w:keepLines w:val="0"/>
                    <w:suppressLineNumbers w:val="0"/>
                    <w:spacing w:before="0" w:beforeAutospacing="0" w:after="0" w:afterAutospacing="0"/>
                    <w:ind w:left="0" w:right="0"/>
                    <w:rPr>
                      <w:rFonts w:hint="default"/>
                      <w:color w:val="auto"/>
                    </w:rPr>
                  </w:pPr>
                  <w:r>
                    <w:rPr>
                      <w:rFonts w:hint="default"/>
                      <w:color w:val="auto"/>
                    </w:rPr>
                    <w:t>油罐大呼吸废气</w:t>
                  </w:r>
                </w:p>
              </w:tc>
              <w:tc>
                <w:tcPr>
                  <w:tcW w:w="577" w:type="pct"/>
                  <w:tcBorders>
                    <w:tl2br w:val="nil"/>
                    <w:tr2bl w:val="nil"/>
                  </w:tcBorders>
                  <w:shd w:val="clear" w:color="auto" w:fill="auto"/>
                  <w:vAlign w:val="center"/>
                </w:tcPr>
                <w:p w14:paraId="08FD56FB">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457" w:type="pct"/>
                  <w:tcBorders>
                    <w:tl2br w:val="nil"/>
                    <w:tr2bl w:val="nil"/>
                  </w:tcBorders>
                  <w:shd w:val="clear" w:color="auto" w:fill="auto"/>
                  <w:noWrap/>
                  <w:vAlign w:val="center"/>
                </w:tcPr>
                <w:p w14:paraId="6BEE3A31">
                  <w:pPr>
                    <w:pStyle w:val="26"/>
                    <w:keepNext w:val="0"/>
                    <w:keepLines w:val="0"/>
                    <w:suppressLineNumbers w:val="0"/>
                    <w:spacing w:before="0" w:beforeAutospacing="0" w:after="0" w:afterAutospacing="0"/>
                    <w:ind w:left="0" w:right="0"/>
                    <w:rPr>
                      <w:rFonts w:hint="default"/>
                    </w:rPr>
                  </w:pPr>
                  <w:r>
                    <w:rPr>
                      <w:rFonts w:hint="default"/>
                    </w:rPr>
                    <w:t>油气回收系统</w:t>
                  </w:r>
                </w:p>
              </w:tc>
              <w:tc>
                <w:tcPr>
                  <w:tcW w:w="1474" w:type="pct"/>
                  <w:tcBorders>
                    <w:tl2br w:val="nil"/>
                    <w:tr2bl w:val="nil"/>
                  </w:tcBorders>
                  <w:shd w:val="clear" w:color="auto" w:fill="auto"/>
                  <w:vAlign w:val="center"/>
                </w:tcPr>
                <w:p w14:paraId="4F2177A8">
                  <w:pPr>
                    <w:pStyle w:val="26"/>
                    <w:keepNext w:val="0"/>
                    <w:keepLines w:val="0"/>
                    <w:suppressLineNumbers w:val="0"/>
                    <w:spacing w:before="0" w:beforeAutospacing="0" w:after="0" w:afterAutospacing="0"/>
                    <w:ind w:left="0" w:right="0"/>
                    <w:rPr>
                      <w:rFonts w:hint="default"/>
                    </w:rPr>
                  </w:pPr>
                  <w:r>
                    <w:rPr>
                      <w:rFonts w:hint="default"/>
                    </w:rPr>
                    <w:t>《四川省加油站大气污染物排放标准》</w:t>
                  </w:r>
                </w:p>
              </w:tc>
              <w:tc>
                <w:tcPr>
                  <w:tcW w:w="385" w:type="pct"/>
                  <w:tcBorders>
                    <w:tl2br w:val="nil"/>
                    <w:tr2bl w:val="nil"/>
                  </w:tcBorders>
                  <w:shd w:val="clear" w:color="auto" w:fill="auto"/>
                  <w:vAlign w:val="center"/>
                </w:tcPr>
                <w:p w14:paraId="053398B8">
                  <w:pPr>
                    <w:pStyle w:val="26"/>
                    <w:keepNext w:val="0"/>
                    <w:keepLines w:val="0"/>
                    <w:suppressLineNumbers w:val="0"/>
                    <w:spacing w:before="0" w:beforeAutospacing="0" w:after="0" w:afterAutospacing="0"/>
                    <w:ind w:left="0" w:right="0"/>
                    <w:rPr>
                      <w:rFonts w:hint="default"/>
                    </w:rPr>
                  </w:pPr>
                  <w:r>
                    <w:rPr>
                      <w:rFonts w:hint="default"/>
                    </w:rPr>
                    <w:t>4.0</w:t>
                  </w:r>
                </w:p>
              </w:tc>
              <w:tc>
                <w:tcPr>
                  <w:tcW w:w="460" w:type="pct"/>
                  <w:tcBorders>
                    <w:tl2br w:val="nil"/>
                    <w:tr2bl w:val="nil"/>
                  </w:tcBorders>
                  <w:shd w:val="clear" w:color="auto" w:fill="auto"/>
                  <w:noWrap/>
                  <w:vAlign w:val="center"/>
                </w:tcPr>
                <w:p w14:paraId="2B3ECF32">
                  <w:pPr>
                    <w:pStyle w:val="28"/>
                    <w:keepNext w:val="0"/>
                    <w:keepLines w:val="0"/>
                    <w:suppressLineNumbers w:val="0"/>
                    <w:spacing w:before="0" w:beforeAutospacing="0" w:after="0" w:afterAutospacing="0"/>
                    <w:ind w:left="0" w:right="0"/>
                    <w:rPr>
                      <w:rFonts w:hint="default"/>
                      <w:color w:val="auto"/>
                    </w:rPr>
                  </w:pPr>
                  <w:r>
                    <w:rPr>
                      <w:rFonts w:hint="default"/>
                      <w:color w:val="auto"/>
                    </w:rPr>
                    <w:t>0.25</w:t>
                  </w:r>
                </w:p>
              </w:tc>
              <w:tc>
                <w:tcPr>
                  <w:tcW w:w="525" w:type="pct"/>
                  <w:tcBorders>
                    <w:tl2br w:val="nil"/>
                    <w:tr2bl w:val="nil"/>
                  </w:tcBorders>
                  <w:shd w:val="clear" w:color="auto" w:fill="auto"/>
                  <w:noWrap/>
                  <w:vAlign w:val="center"/>
                </w:tcPr>
                <w:p w14:paraId="1B6B3E6E">
                  <w:pPr>
                    <w:pStyle w:val="26"/>
                    <w:keepNext w:val="0"/>
                    <w:keepLines w:val="0"/>
                    <w:suppressLineNumbers w:val="0"/>
                    <w:spacing w:before="0" w:beforeAutospacing="0" w:after="0" w:afterAutospacing="0"/>
                    <w:ind w:left="0" w:right="0"/>
                    <w:rPr>
                      <w:rFonts w:hint="default"/>
                    </w:rPr>
                  </w:pPr>
                  <w:r>
                    <w:rPr>
                      <w:rFonts w:hint="default"/>
                    </w:rPr>
                    <w:t>/</w:t>
                  </w:r>
                </w:p>
              </w:tc>
            </w:tr>
            <w:tr w14:paraId="72CF0D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0F31AF2C">
                  <w:pPr>
                    <w:pStyle w:val="26"/>
                    <w:keepNext w:val="0"/>
                    <w:keepLines w:val="0"/>
                    <w:suppressLineNumbers w:val="0"/>
                    <w:spacing w:before="0" w:beforeAutospacing="0" w:after="0" w:afterAutospacing="0"/>
                    <w:ind w:left="0" w:right="0"/>
                    <w:rPr>
                      <w:rFonts w:hint="default"/>
                    </w:rPr>
                  </w:pPr>
                  <w:r>
                    <w:rPr>
                      <w:rFonts w:hint="default"/>
                    </w:rPr>
                    <w:t>5</w:t>
                  </w:r>
                </w:p>
              </w:tc>
              <w:tc>
                <w:tcPr>
                  <w:tcW w:w="362" w:type="pct"/>
                  <w:vMerge w:val="continue"/>
                  <w:tcBorders>
                    <w:tl2br w:val="nil"/>
                    <w:tr2bl w:val="nil"/>
                  </w:tcBorders>
                  <w:shd w:val="clear" w:color="auto" w:fill="auto"/>
                  <w:vAlign w:val="center"/>
                </w:tcPr>
                <w:p w14:paraId="30055673">
                  <w:pPr>
                    <w:pStyle w:val="26"/>
                    <w:keepNext w:val="0"/>
                    <w:keepLines w:val="0"/>
                    <w:suppressLineNumbers w:val="0"/>
                    <w:spacing w:before="0" w:beforeAutospacing="0" w:after="0" w:afterAutospacing="0"/>
                    <w:ind w:left="0" w:right="0"/>
                    <w:rPr>
                      <w:rFonts w:hint="default"/>
                    </w:rPr>
                  </w:pPr>
                </w:p>
              </w:tc>
              <w:tc>
                <w:tcPr>
                  <w:tcW w:w="500" w:type="pct"/>
                  <w:gridSpan w:val="2"/>
                  <w:tcBorders>
                    <w:tl2br w:val="nil"/>
                    <w:tr2bl w:val="nil"/>
                  </w:tcBorders>
                  <w:shd w:val="clear" w:color="auto" w:fill="auto"/>
                  <w:vAlign w:val="center"/>
                </w:tcPr>
                <w:p w14:paraId="65203248">
                  <w:pPr>
                    <w:pStyle w:val="28"/>
                    <w:keepNext w:val="0"/>
                    <w:keepLines w:val="0"/>
                    <w:suppressLineNumbers w:val="0"/>
                    <w:spacing w:before="0" w:beforeAutospacing="0" w:after="0" w:afterAutospacing="0"/>
                    <w:ind w:left="0" w:right="0"/>
                    <w:rPr>
                      <w:rFonts w:hint="default"/>
                      <w:color w:val="auto"/>
                    </w:rPr>
                  </w:pPr>
                  <w:r>
                    <w:rPr>
                      <w:rFonts w:hint="default"/>
                      <w:color w:val="auto"/>
                    </w:rPr>
                    <w:t>油罐小呼吸废气</w:t>
                  </w:r>
                </w:p>
              </w:tc>
              <w:tc>
                <w:tcPr>
                  <w:tcW w:w="577" w:type="pct"/>
                  <w:tcBorders>
                    <w:tl2br w:val="nil"/>
                    <w:tr2bl w:val="nil"/>
                  </w:tcBorders>
                  <w:shd w:val="clear" w:color="auto" w:fill="auto"/>
                  <w:vAlign w:val="center"/>
                </w:tcPr>
                <w:p w14:paraId="2651D43F">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457" w:type="pct"/>
                  <w:tcBorders>
                    <w:tl2br w:val="nil"/>
                    <w:tr2bl w:val="nil"/>
                  </w:tcBorders>
                  <w:shd w:val="clear" w:color="auto" w:fill="auto"/>
                  <w:noWrap/>
                  <w:vAlign w:val="center"/>
                </w:tcPr>
                <w:p w14:paraId="40F3EBC1">
                  <w:pPr>
                    <w:pStyle w:val="26"/>
                    <w:keepNext w:val="0"/>
                    <w:keepLines w:val="0"/>
                    <w:suppressLineNumbers w:val="0"/>
                    <w:spacing w:before="0" w:beforeAutospacing="0" w:after="0" w:afterAutospacing="0"/>
                    <w:ind w:left="0" w:right="0"/>
                    <w:rPr>
                      <w:rFonts w:hint="default"/>
                    </w:rPr>
                  </w:pPr>
                  <w:r>
                    <w:rPr>
                      <w:rFonts w:hint="default"/>
                    </w:rPr>
                    <w:t>油气回收系统</w:t>
                  </w:r>
                </w:p>
              </w:tc>
              <w:tc>
                <w:tcPr>
                  <w:tcW w:w="1474" w:type="pct"/>
                  <w:tcBorders>
                    <w:tl2br w:val="nil"/>
                    <w:tr2bl w:val="nil"/>
                  </w:tcBorders>
                  <w:shd w:val="clear" w:color="auto" w:fill="auto"/>
                  <w:vAlign w:val="center"/>
                </w:tcPr>
                <w:p w14:paraId="1E792919">
                  <w:pPr>
                    <w:pStyle w:val="26"/>
                    <w:keepNext w:val="0"/>
                    <w:keepLines w:val="0"/>
                    <w:suppressLineNumbers w:val="0"/>
                    <w:spacing w:before="0" w:beforeAutospacing="0" w:after="0" w:afterAutospacing="0"/>
                    <w:ind w:left="0" w:right="0"/>
                    <w:rPr>
                      <w:rFonts w:hint="default"/>
                    </w:rPr>
                  </w:pPr>
                  <w:r>
                    <w:rPr>
                      <w:rFonts w:hint="default"/>
                    </w:rPr>
                    <w:t>《四川省加油站大气污染物排放标准》</w:t>
                  </w:r>
                </w:p>
              </w:tc>
              <w:tc>
                <w:tcPr>
                  <w:tcW w:w="385" w:type="pct"/>
                  <w:tcBorders>
                    <w:tl2br w:val="nil"/>
                    <w:tr2bl w:val="nil"/>
                  </w:tcBorders>
                  <w:shd w:val="clear" w:color="auto" w:fill="auto"/>
                  <w:vAlign w:val="center"/>
                </w:tcPr>
                <w:p w14:paraId="632DB702">
                  <w:pPr>
                    <w:pStyle w:val="26"/>
                    <w:keepNext w:val="0"/>
                    <w:keepLines w:val="0"/>
                    <w:suppressLineNumbers w:val="0"/>
                    <w:spacing w:before="0" w:beforeAutospacing="0" w:after="0" w:afterAutospacing="0"/>
                    <w:ind w:left="0" w:right="0"/>
                    <w:rPr>
                      <w:rFonts w:hint="default"/>
                    </w:rPr>
                  </w:pPr>
                  <w:r>
                    <w:rPr>
                      <w:rFonts w:hint="default"/>
                    </w:rPr>
                    <w:t>4.0</w:t>
                  </w:r>
                </w:p>
              </w:tc>
              <w:tc>
                <w:tcPr>
                  <w:tcW w:w="460" w:type="pct"/>
                  <w:tcBorders>
                    <w:tl2br w:val="nil"/>
                    <w:tr2bl w:val="nil"/>
                  </w:tcBorders>
                  <w:shd w:val="clear" w:color="auto" w:fill="auto"/>
                  <w:noWrap/>
                  <w:vAlign w:val="center"/>
                </w:tcPr>
                <w:p w14:paraId="342A5AF3">
                  <w:pPr>
                    <w:pStyle w:val="28"/>
                    <w:keepNext w:val="0"/>
                    <w:keepLines w:val="0"/>
                    <w:suppressLineNumbers w:val="0"/>
                    <w:spacing w:before="0" w:beforeAutospacing="0" w:after="0" w:afterAutospacing="0"/>
                    <w:ind w:left="0" w:right="0"/>
                    <w:rPr>
                      <w:rFonts w:hint="default"/>
                      <w:color w:val="auto"/>
                    </w:rPr>
                  </w:pPr>
                  <w:r>
                    <w:rPr>
                      <w:rFonts w:hint="default"/>
                      <w:color w:val="auto"/>
                    </w:rPr>
                    <w:t>0.05</w:t>
                  </w:r>
                </w:p>
              </w:tc>
              <w:tc>
                <w:tcPr>
                  <w:tcW w:w="525" w:type="pct"/>
                  <w:tcBorders>
                    <w:tl2br w:val="nil"/>
                    <w:tr2bl w:val="nil"/>
                  </w:tcBorders>
                  <w:shd w:val="clear" w:color="auto" w:fill="auto"/>
                  <w:noWrap/>
                  <w:vAlign w:val="center"/>
                </w:tcPr>
                <w:p w14:paraId="435E1058">
                  <w:pPr>
                    <w:pStyle w:val="26"/>
                    <w:keepNext w:val="0"/>
                    <w:keepLines w:val="0"/>
                    <w:suppressLineNumbers w:val="0"/>
                    <w:spacing w:before="0" w:beforeAutospacing="0" w:after="0" w:afterAutospacing="0"/>
                    <w:ind w:left="0" w:right="0"/>
                    <w:rPr>
                      <w:rFonts w:hint="default"/>
                    </w:rPr>
                  </w:pPr>
                  <w:r>
                    <w:rPr>
                      <w:rFonts w:hint="default"/>
                    </w:rPr>
                    <w:t>/</w:t>
                  </w:r>
                </w:p>
              </w:tc>
            </w:tr>
            <w:tr w14:paraId="25C78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0" w:type="pct"/>
                  <w:tcBorders>
                    <w:tl2br w:val="nil"/>
                    <w:tr2bl w:val="nil"/>
                  </w:tcBorders>
                  <w:shd w:val="clear" w:color="auto" w:fill="auto"/>
                  <w:vAlign w:val="center"/>
                </w:tcPr>
                <w:p w14:paraId="640BC4FA">
                  <w:pPr>
                    <w:pStyle w:val="26"/>
                    <w:keepNext w:val="0"/>
                    <w:keepLines w:val="0"/>
                    <w:suppressLineNumbers w:val="0"/>
                    <w:spacing w:before="0" w:beforeAutospacing="0" w:after="0" w:afterAutospacing="0"/>
                    <w:ind w:left="0" w:right="0"/>
                    <w:rPr>
                      <w:rFonts w:hint="default"/>
                    </w:rPr>
                  </w:pPr>
                  <w:r>
                    <w:rPr>
                      <w:rFonts w:hint="default"/>
                    </w:rPr>
                    <w:t>6</w:t>
                  </w:r>
                </w:p>
              </w:tc>
              <w:tc>
                <w:tcPr>
                  <w:tcW w:w="362" w:type="pct"/>
                  <w:vMerge w:val="continue"/>
                  <w:tcBorders>
                    <w:tl2br w:val="nil"/>
                    <w:tr2bl w:val="nil"/>
                  </w:tcBorders>
                  <w:shd w:val="clear" w:color="auto" w:fill="auto"/>
                  <w:vAlign w:val="center"/>
                </w:tcPr>
                <w:p w14:paraId="78313229">
                  <w:pPr>
                    <w:pStyle w:val="26"/>
                    <w:keepNext w:val="0"/>
                    <w:keepLines w:val="0"/>
                    <w:suppressLineNumbers w:val="0"/>
                    <w:spacing w:before="0" w:beforeAutospacing="0" w:after="0" w:afterAutospacing="0"/>
                    <w:ind w:left="0" w:right="0"/>
                    <w:rPr>
                      <w:rFonts w:hint="default"/>
                    </w:rPr>
                  </w:pPr>
                </w:p>
              </w:tc>
              <w:tc>
                <w:tcPr>
                  <w:tcW w:w="500" w:type="pct"/>
                  <w:gridSpan w:val="2"/>
                  <w:tcBorders>
                    <w:tl2br w:val="nil"/>
                    <w:tr2bl w:val="nil"/>
                  </w:tcBorders>
                  <w:shd w:val="clear" w:color="auto" w:fill="auto"/>
                  <w:vAlign w:val="center"/>
                </w:tcPr>
                <w:p w14:paraId="51927E17">
                  <w:pPr>
                    <w:pStyle w:val="28"/>
                    <w:keepNext w:val="0"/>
                    <w:keepLines w:val="0"/>
                    <w:suppressLineNumbers w:val="0"/>
                    <w:spacing w:before="0" w:beforeAutospacing="0" w:after="0" w:afterAutospacing="0"/>
                    <w:ind w:left="0" w:right="0"/>
                    <w:rPr>
                      <w:rFonts w:hint="default"/>
                      <w:color w:val="auto"/>
                    </w:rPr>
                  </w:pPr>
                  <w:r>
                    <w:rPr>
                      <w:rFonts w:hint="default"/>
                      <w:color w:val="auto"/>
                    </w:rPr>
                    <w:t>加油枪废气</w:t>
                  </w:r>
                </w:p>
              </w:tc>
              <w:tc>
                <w:tcPr>
                  <w:tcW w:w="577" w:type="pct"/>
                  <w:tcBorders>
                    <w:tl2br w:val="nil"/>
                    <w:tr2bl w:val="nil"/>
                  </w:tcBorders>
                  <w:shd w:val="clear" w:color="auto" w:fill="auto"/>
                  <w:vAlign w:val="center"/>
                </w:tcPr>
                <w:p w14:paraId="1D18F1A4">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457" w:type="pct"/>
                  <w:tcBorders>
                    <w:tl2br w:val="nil"/>
                    <w:tr2bl w:val="nil"/>
                  </w:tcBorders>
                  <w:shd w:val="clear" w:color="auto" w:fill="auto"/>
                  <w:noWrap/>
                  <w:vAlign w:val="center"/>
                </w:tcPr>
                <w:p w14:paraId="4F2E8003">
                  <w:pPr>
                    <w:pStyle w:val="26"/>
                    <w:keepNext w:val="0"/>
                    <w:keepLines w:val="0"/>
                    <w:suppressLineNumbers w:val="0"/>
                    <w:spacing w:before="0" w:beforeAutospacing="0" w:after="0" w:afterAutospacing="0"/>
                    <w:ind w:left="0" w:right="0"/>
                    <w:rPr>
                      <w:rFonts w:hint="default"/>
                    </w:rPr>
                  </w:pPr>
                  <w:r>
                    <w:rPr>
                      <w:rFonts w:hint="default"/>
                    </w:rPr>
                    <w:t>油气回收系统</w:t>
                  </w:r>
                </w:p>
              </w:tc>
              <w:tc>
                <w:tcPr>
                  <w:tcW w:w="1474" w:type="pct"/>
                  <w:tcBorders>
                    <w:tl2br w:val="nil"/>
                    <w:tr2bl w:val="nil"/>
                  </w:tcBorders>
                  <w:shd w:val="clear" w:color="auto" w:fill="auto"/>
                  <w:vAlign w:val="center"/>
                </w:tcPr>
                <w:p w14:paraId="52B1FE40">
                  <w:pPr>
                    <w:pStyle w:val="26"/>
                    <w:keepNext w:val="0"/>
                    <w:keepLines w:val="0"/>
                    <w:suppressLineNumbers w:val="0"/>
                    <w:spacing w:before="0" w:beforeAutospacing="0" w:after="0" w:afterAutospacing="0"/>
                    <w:ind w:left="0" w:right="0"/>
                    <w:rPr>
                      <w:rFonts w:hint="default"/>
                    </w:rPr>
                  </w:pPr>
                  <w:r>
                    <w:rPr>
                      <w:rFonts w:hint="default"/>
                    </w:rPr>
                    <w:t>《四川省加油站大气污染物排放标准》</w:t>
                  </w:r>
                </w:p>
              </w:tc>
              <w:tc>
                <w:tcPr>
                  <w:tcW w:w="385" w:type="pct"/>
                  <w:tcBorders>
                    <w:tl2br w:val="nil"/>
                    <w:tr2bl w:val="nil"/>
                  </w:tcBorders>
                  <w:shd w:val="clear" w:color="auto" w:fill="auto"/>
                  <w:vAlign w:val="center"/>
                </w:tcPr>
                <w:p w14:paraId="6E68EF22">
                  <w:pPr>
                    <w:pStyle w:val="26"/>
                    <w:keepNext w:val="0"/>
                    <w:keepLines w:val="0"/>
                    <w:suppressLineNumbers w:val="0"/>
                    <w:spacing w:before="0" w:beforeAutospacing="0" w:after="0" w:afterAutospacing="0"/>
                    <w:ind w:left="0" w:right="0"/>
                    <w:rPr>
                      <w:rFonts w:hint="default"/>
                    </w:rPr>
                  </w:pPr>
                  <w:r>
                    <w:rPr>
                      <w:rFonts w:hint="default"/>
                    </w:rPr>
                    <w:t>4.0</w:t>
                  </w:r>
                </w:p>
              </w:tc>
              <w:tc>
                <w:tcPr>
                  <w:tcW w:w="460" w:type="pct"/>
                  <w:tcBorders>
                    <w:tl2br w:val="nil"/>
                    <w:tr2bl w:val="nil"/>
                  </w:tcBorders>
                  <w:shd w:val="clear" w:color="auto" w:fill="auto"/>
                  <w:noWrap/>
                  <w:vAlign w:val="center"/>
                </w:tcPr>
                <w:p w14:paraId="051EEAB7">
                  <w:pPr>
                    <w:pStyle w:val="28"/>
                    <w:keepNext w:val="0"/>
                    <w:keepLines w:val="0"/>
                    <w:suppressLineNumbers w:val="0"/>
                    <w:spacing w:before="0" w:beforeAutospacing="0" w:after="0" w:afterAutospacing="0"/>
                    <w:ind w:left="0" w:right="0"/>
                    <w:rPr>
                      <w:rFonts w:hint="default"/>
                      <w:color w:val="auto"/>
                    </w:rPr>
                  </w:pPr>
                  <w:r>
                    <w:rPr>
                      <w:rFonts w:hint="default"/>
                      <w:color w:val="auto"/>
                    </w:rPr>
                    <w:t>0.45</w:t>
                  </w:r>
                </w:p>
              </w:tc>
              <w:tc>
                <w:tcPr>
                  <w:tcW w:w="525" w:type="pct"/>
                  <w:tcBorders>
                    <w:tl2br w:val="nil"/>
                    <w:tr2bl w:val="nil"/>
                  </w:tcBorders>
                  <w:shd w:val="clear" w:color="auto" w:fill="auto"/>
                  <w:noWrap/>
                  <w:vAlign w:val="center"/>
                </w:tcPr>
                <w:p w14:paraId="5A3A5112">
                  <w:pPr>
                    <w:pStyle w:val="26"/>
                    <w:keepNext w:val="0"/>
                    <w:keepLines w:val="0"/>
                    <w:suppressLineNumbers w:val="0"/>
                    <w:spacing w:before="0" w:beforeAutospacing="0" w:after="0" w:afterAutospacing="0"/>
                    <w:ind w:left="0" w:right="0"/>
                    <w:rPr>
                      <w:rFonts w:hint="default"/>
                    </w:rPr>
                  </w:pPr>
                  <w:r>
                    <w:rPr>
                      <w:rFonts w:hint="default"/>
                    </w:rPr>
                    <w:t>/</w:t>
                  </w:r>
                </w:p>
              </w:tc>
            </w:tr>
            <w:tr w14:paraId="594B9B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0" w:type="pct"/>
                  <w:gridSpan w:val="10"/>
                  <w:tcBorders>
                    <w:tl2br w:val="nil"/>
                    <w:tr2bl w:val="nil"/>
                  </w:tcBorders>
                  <w:shd w:val="clear" w:color="auto" w:fill="auto"/>
                  <w:vAlign w:val="center"/>
                </w:tcPr>
                <w:p w14:paraId="3B8A72DC">
                  <w:pPr>
                    <w:pStyle w:val="26"/>
                    <w:keepNext w:val="0"/>
                    <w:keepLines w:val="0"/>
                    <w:suppressLineNumbers w:val="0"/>
                    <w:spacing w:before="0" w:beforeAutospacing="0" w:after="0" w:afterAutospacing="0"/>
                    <w:ind w:left="0" w:right="0"/>
                    <w:rPr>
                      <w:rFonts w:hint="default"/>
                    </w:rPr>
                  </w:pPr>
                  <w:r>
                    <w:rPr>
                      <w:rFonts w:hint="default"/>
                    </w:rPr>
                    <w:t>无组织排放总计</w:t>
                  </w:r>
                </w:p>
              </w:tc>
            </w:tr>
            <w:tr w14:paraId="17671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93" w:type="pct"/>
                  <w:gridSpan w:val="3"/>
                  <w:vMerge w:val="restart"/>
                  <w:tcBorders>
                    <w:tl2br w:val="nil"/>
                    <w:tr2bl w:val="nil"/>
                  </w:tcBorders>
                  <w:shd w:val="clear" w:color="auto" w:fill="auto"/>
                  <w:vAlign w:val="center"/>
                </w:tcPr>
                <w:p w14:paraId="7ACFCE13">
                  <w:pPr>
                    <w:pStyle w:val="26"/>
                    <w:keepNext w:val="0"/>
                    <w:keepLines w:val="0"/>
                    <w:suppressLineNumbers w:val="0"/>
                    <w:spacing w:before="0" w:beforeAutospacing="0" w:after="0" w:afterAutospacing="0"/>
                    <w:ind w:left="0" w:right="0"/>
                    <w:rPr>
                      <w:rFonts w:hint="default"/>
                    </w:rPr>
                  </w:pPr>
                  <w:bookmarkStart w:id="111" w:name="_Hlk203323487"/>
                  <w:r>
                    <w:rPr>
                      <w:rFonts w:hint="default"/>
                    </w:rPr>
                    <w:t>无组织排放总计</w:t>
                  </w:r>
                </w:p>
              </w:tc>
              <w:tc>
                <w:tcPr>
                  <w:tcW w:w="1363" w:type="pct"/>
                  <w:gridSpan w:val="3"/>
                  <w:tcBorders>
                    <w:tl2br w:val="nil"/>
                    <w:tr2bl w:val="nil"/>
                  </w:tcBorders>
                  <w:shd w:val="clear" w:color="auto" w:fill="auto"/>
                  <w:noWrap/>
                  <w:vAlign w:val="center"/>
                </w:tcPr>
                <w:p w14:paraId="0E56471E">
                  <w:pPr>
                    <w:pStyle w:val="26"/>
                    <w:keepNext w:val="0"/>
                    <w:keepLines w:val="0"/>
                    <w:suppressLineNumbers w:val="0"/>
                    <w:spacing w:before="0" w:beforeAutospacing="0" w:after="0" w:afterAutospacing="0"/>
                    <w:ind w:left="0" w:right="0"/>
                    <w:rPr>
                      <w:rFonts w:hint="default"/>
                    </w:rPr>
                  </w:pPr>
                  <w:r>
                    <w:rPr>
                      <w:rFonts w:hint="default"/>
                    </w:rPr>
                    <w:t>颗粒物</w:t>
                  </w:r>
                </w:p>
              </w:tc>
              <w:tc>
                <w:tcPr>
                  <w:tcW w:w="2844" w:type="pct"/>
                  <w:gridSpan w:val="4"/>
                  <w:tcBorders>
                    <w:tl2br w:val="nil"/>
                    <w:tr2bl w:val="nil"/>
                  </w:tcBorders>
                  <w:shd w:val="clear" w:color="auto" w:fill="auto"/>
                  <w:noWrap/>
                  <w:vAlign w:val="center"/>
                </w:tcPr>
                <w:p w14:paraId="5DDBACE3">
                  <w:pPr>
                    <w:pStyle w:val="26"/>
                    <w:keepNext w:val="0"/>
                    <w:keepLines w:val="0"/>
                    <w:suppressLineNumbers w:val="0"/>
                    <w:spacing w:before="0" w:beforeAutospacing="0" w:after="0" w:afterAutospacing="0"/>
                    <w:ind w:left="0" w:right="0"/>
                    <w:rPr>
                      <w:rFonts w:hint="default"/>
                    </w:rPr>
                  </w:pPr>
                  <w:r>
                    <w:rPr>
                      <w:rFonts w:hint="default"/>
                    </w:rPr>
                    <w:t>1.93</w:t>
                  </w:r>
                </w:p>
              </w:tc>
            </w:tr>
            <w:tr w14:paraId="69982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93" w:type="pct"/>
                  <w:gridSpan w:val="3"/>
                  <w:vMerge w:val="continue"/>
                  <w:tcBorders>
                    <w:tl2br w:val="nil"/>
                    <w:tr2bl w:val="nil"/>
                  </w:tcBorders>
                  <w:shd w:val="clear" w:color="auto" w:fill="auto"/>
                  <w:vAlign w:val="center"/>
                </w:tcPr>
                <w:p w14:paraId="235FCC8F">
                  <w:pPr>
                    <w:pStyle w:val="26"/>
                    <w:keepNext w:val="0"/>
                    <w:keepLines w:val="0"/>
                    <w:suppressLineNumbers w:val="0"/>
                    <w:spacing w:before="0" w:beforeAutospacing="0" w:after="0" w:afterAutospacing="0"/>
                    <w:ind w:left="0" w:right="0"/>
                    <w:rPr>
                      <w:rFonts w:hint="default"/>
                    </w:rPr>
                  </w:pPr>
                </w:p>
              </w:tc>
              <w:tc>
                <w:tcPr>
                  <w:tcW w:w="1363" w:type="pct"/>
                  <w:gridSpan w:val="3"/>
                  <w:tcBorders>
                    <w:tl2br w:val="nil"/>
                    <w:tr2bl w:val="nil"/>
                  </w:tcBorders>
                  <w:shd w:val="clear" w:color="auto" w:fill="auto"/>
                  <w:noWrap/>
                  <w:vAlign w:val="center"/>
                </w:tcPr>
                <w:p w14:paraId="2AC7766B">
                  <w:pPr>
                    <w:pStyle w:val="26"/>
                    <w:keepNext w:val="0"/>
                    <w:keepLines w:val="0"/>
                    <w:suppressLineNumbers w:val="0"/>
                    <w:spacing w:before="0" w:beforeAutospacing="0" w:after="0" w:afterAutospacing="0"/>
                    <w:ind w:left="0" w:right="0"/>
                    <w:rPr>
                      <w:rFonts w:hint="default"/>
                    </w:rPr>
                  </w:pPr>
                  <w:r>
                    <w:rPr>
                      <w:rFonts w:hint="default"/>
                    </w:rPr>
                    <w:t>硫化氢</w:t>
                  </w:r>
                </w:p>
              </w:tc>
              <w:tc>
                <w:tcPr>
                  <w:tcW w:w="2844" w:type="pct"/>
                  <w:gridSpan w:val="4"/>
                  <w:tcBorders>
                    <w:tl2br w:val="nil"/>
                    <w:tr2bl w:val="nil"/>
                  </w:tcBorders>
                  <w:shd w:val="clear" w:color="auto" w:fill="auto"/>
                  <w:noWrap/>
                  <w:vAlign w:val="center"/>
                </w:tcPr>
                <w:p w14:paraId="44B7B1A1">
                  <w:pPr>
                    <w:pStyle w:val="26"/>
                    <w:keepNext w:val="0"/>
                    <w:keepLines w:val="0"/>
                    <w:suppressLineNumbers w:val="0"/>
                    <w:spacing w:before="0" w:beforeAutospacing="0" w:after="0" w:afterAutospacing="0"/>
                    <w:ind w:left="0" w:right="0"/>
                    <w:rPr>
                      <w:rFonts w:hint="default"/>
                    </w:rPr>
                  </w:pPr>
                  <w:r>
                    <w:rPr>
                      <w:rFonts w:hint="default"/>
                    </w:rPr>
                    <w:t>0.150</w:t>
                  </w:r>
                </w:p>
              </w:tc>
            </w:tr>
            <w:bookmarkEnd w:id="111"/>
            <w:tr w14:paraId="0877EA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93" w:type="pct"/>
                  <w:gridSpan w:val="3"/>
                  <w:vMerge w:val="continue"/>
                  <w:tcBorders>
                    <w:tl2br w:val="nil"/>
                    <w:tr2bl w:val="nil"/>
                  </w:tcBorders>
                  <w:shd w:val="clear" w:color="auto" w:fill="auto"/>
                  <w:vAlign w:val="center"/>
                </w:tcPr>
                <w:p w14:paraId="312CDB76">
                  <w:pPr>
                    <w:pStyle w:val="26"/>
                    <w:keepNext w:val="0"/>
                    <w:keepLines w:val="0"/>
                    <w:suppressLineNumbers w:val="0"/>
                    <w:spacing w:before="0" w:beforeAutospacing="0" w:after="0" w:afterAutospacing="0"/>
                    <w:ind w:left="0" w:right="0"/>
                    <w:rPr>
                      <w:rFonts w:hint="default"/>
                    </w:rPr>
                  </w:pPr>
                </w:p>
              </w:tc>
              <w:tc>
                <w:tcPr>
                  <w:tcW w:w="1363" w:type="pct"/>
                  <w:gridSpan w:val="3"/>
                  <w:tcBorders>
                    <w:tl2br w:val="nil"/>
                    <w:tr2bl w:val="nil"/>
                  </w:tcBorders>
                  <w:shd w:val="clear" w:color="auto" w:fill="auto"/>
                  <w:noWrap/>
                  <w:vAlign w:val="center"/>
                </w:tcPr>
                <w:p w14:paraId="277A3D5F">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2844" w:type="pct"/>
                  <w:gridSpan w:val="4"/>
                  <w:tcBorders>
                    <w:tl2br w:val="nil"/>
                    <w:tr2bl w:val="nil"/>
                  </w:tcBorders>
                  <w:shd w:val="clear" w:color="auto" w:fill="auto"/>
                  <w:noWrap/>
                  <w:vAlign w:val="center"/>
                </w:tcPr>
                <w:p w14:paraId="0108A79C">
                  <w:pPr>
                    <w:pStyle w:val="26"/>
                    <w:keepNext w:val="0"/>
                    <w:keepLines w:val="0"/>
                    <w:suppressLineNumbers w:val="0"/>
                    <w:spacing w:before="0" w:beforeAutospacing="0" w:after="0" w:afterAutospacing="0"/>
                    <w:ind w:left="0" w:right="0"/>
                    <w:rPr>
                      <w:rFonts w:hint="default"/>
                    </w:rPr>
                  </w:pPr>
                  <w:r>
                    <w:rPr>
                      <w:rFonts w:hint="default"/>
                    </w:rPr>
                    <w:t>0.75</w:t>
                  </w:r>
                </w:p>
              </w:tc>
            </w:tr>
          </w:tbl>
          <w:p w14:paraId="707430D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综上所述，在采取本次评价提出的各项污染防治措施后，本项目各项大气污染物均能满足相应排放标准限值要求，能够实现达标排放。</w:t>
            </w:r>
          </w:p>
          <w:p w14:paraId="0557C141">
            <w:pPr>
              <w:keepNext w:val="0"/>
              <w:keepLines w:val="0"/>
              <w:suppressLineNumbers w:val="0"/>
              <w:spacing w:before="0" w:beforeAutospacing="0" w:after="0" w:afterAutospacing="0"/>
              <w:ind w:left="0" w:right="0" w:firstLine="0" w:firstLineChars="0"/>
              <w:rPr>
                <w:rFonts w:hint="default" w:cs="Times New Roman"/>
                <w:color w:val="auto"/>
              </w:rPr>
            </w:pPr>
          </w:p>
          <w:p w14:paraId="5C57BBE9">
            <w:pPr>
              <w:keepNext w:val="0"/>
              <w:keepLines w:val="0"/>
              <w:suppressLineNumbers w:val="0"/>
              <w:spacing w:before="0" w:beforeAutospacing="0" w:after="0" w:afterAutospacing="0"/>
              <w:ind w:left="0" w:right="0" w:firstLine="0" w:firstLineChars="0"/>
              <w:rPr>
                <w:rFonts w:hint="default" w:cs="Times New Roman"/>
                <w:color w:val="auto"/>
              </w:rPr>
            </w:pPr>
          </w:p>
          <w:p w14:paraId="0BE98AA5">
            <w:pPr>
              <w:keepNext w:val="0"/>
              <w:keepLines w:val="0"/>
              <w:suppressLineNumbers w:val="0"/>
              <w:spacing w:before="0" w:beforeAutospacing="0" w:after="0" w:afterAutospacing="0"/>
              <w:ind w:left="0" w:right="0" w:firstLine="0" w:firstLineChars="0"/>
              <w:rPr>
                <w:rFonts w:hint="default" w:cs="Times New Roman"/>
                <w:color w:val="auto"/>
              </w:rPr>
            </w:pPr>
          </w:p>
          <w:p w14:paraId="6079D113">
            <w:pPr>
              <w:keepNext w:val="0"/>
              <w:keepLines w:val="0"/>
              <w:suppressLineNumbers w:val="0"/>
              <w:spacing w:before="0" w:beforeAutospacing="0" w:after="0" w:afterAutospacing="0"/>
              <w:ind w:left="0" w:right="0" w:firstLine="0" w:firstLineChars="0"/>
              <w:rPr>
                <w:rFonts w:hint="default" w:cs="Times New Roman"/>
                <w:color w:val="auto"/>
              </w:rPr>
            </w:pPr>
          </w:p>
          <w:p w14:paraId="0E7851A6">
            <w:pPr>
              <w:keepNext w:val="0"/>
              <w:keepLines w:val="0"/>
              <w:suppressLineNumbers w:val="0"/>
              <w:spacing w:before="0" w:beforeAutospacing="0" w:after="0" w:afterAutospacing="0"/>
              <w:ind w:left="0" w:right="0" w:firstLine="0" w:firstLineChars="0"/>
              <w:rPr>
                <w:rFonts w:hint="default" w:cs="Times New Roman"/>
                <w:color w:val="auto"/>
              </w:rPr>
            </w:pPr>
          </w:p>
          <w:p w14:paraId="12C262B8">
            <w:pPr>
              <w:keepNext w:val="0"/>
              <w:keepLines w:val="0"/>
              <w:suppressLineNumbers w:val="0"/>
              <w:spacing w:before="0" w:beforeAutospacing="0" w:after="0" w:afterAutospacing="0"/>
              <w:ind w:left="0" w:right="0" w:firstLine="0" w:firstLineChars="0"/>
              <w:rPr>
                <w:rFonts w:hint="default" w:cs="Times New Roman"/>
                <w:color w:val="auto"/>
              </w:rPr>
            </w:pPr>
          </w:p>
          <w:p w14:paraId="68D035C0">
            <w:pPr>
              <w:keepNext w:val="0"/>
              <w:keepLines w:val="0"/>
              <w:suppressLineNumbers w:val="0"/>
              <w:spacing w:before="0" w:beforeAutospacing="0" w:after="0" w:afterAutospacing="0"/>
              <w:ind w:left="0" w:right="0" w:firstLine="0" w:firstLineChars="0"/>
              <w:rPr>
                <w:rFonts w:hint="default" w:cs="Times New Roman"/>
                <w:color w:val="auto"/>
              </w:rPr>
            </w:pPr>
          </w:p>
          <w:p w14:paraId="60700855">
            <w:pPr>
              <w:keepNext w:val="0"/>
              <w:keepLines w:val="0"/>
              <w:suppressLineNumbers w:val="0"/>
              <w:spacing w:before="0" w:beforeAutospacing="0" w:after="0" w:afterAutospacing="0"/>
              <w:ind w:left="0" w:right="0" w:firstLine="0" w:firstLineChars="0"/>
              <w:rPr>
                <w:rFonts w:hint="default" w:cs="Times New Roman"/>
                <w:color w:val="auto"/>
              </w:rPr>
            </w:pPr>
          </w:p>
          <w:p w14:paraId="62E8502A">
            <w:pPr>
              <w:keepNext w:val="0"/>
              <w:keepLines w:val="0"/>
              <w:suppressLineNumbers w:val="0"/>
              <w:spacing w:before="0" w:beforeAutospacing="0" w:after="0" w:afterAutospacing="0"/>
              <w:ind w:left="0" w:right="0" w:firstLine="0" w:firstLineChars="0"/>
              <w:rPr>
                <w:rFonts w:hint="default" w:cs="Times New Roman"/>
                <w:color w:val="auto"/>
              </w:rPr>
            </w:pPr>
          </w:p>
          <w:p w14:paraId="5C77C04F">
            <w:pPr>
              <w:keepNext w:val="0"/>
              <w:keepLines w:val="0"/>
              <w:suppressLineNumbers w:val="0"/>
              <w:spacing w:before="0" w:beforeAutospacing="0" w:after="0" w:afterAutospacing="0"/>
              <w:ind w:left="0" w:right="0" w:firstLine="0" w:firstLineChars="0"/>
              <w:rPr>
                <w:rFonts w:hint="default" w:cs="Times New Roman"/>
                <w:color w:val="auto"/>
              </w:rPr>
            </w:pPr>
          </w:p>
        </w:tc>
      </w:tr>
    </w:tbl>
    <w:p w14:paraId="79875111">
      <w:pPr>
        <w:ind w:firstLine="0" w:firstLineChars="0"/>
        <w:rPr>
          <w:rFonts w:cs="Times New Roman"/>
          <w:color w:val="auto"/>
        </w:rPr>
        <w:sectPr>
          <w:pgSz w:w="16838" w:h="11906" w:orient="landscape"/>
          <w:pgMar w:top="1803" w:right="1440" w:bottom="1803" w:left="1440" w:header="851" w:footer="992" w:gutter="0"/>
          <w:cols w:space="425" w:num="1"/>
          <w:docGrid w:type="lines" w:linePitch="326"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795"/>
      </w:tblGrid>
      <w:tr w14:paraId="23A3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tcPr>
          <w:p w14:paraId="65D02CE1">
            <w:pPr>
              <w:keepNext w:val="0"/>
              <w:keepLines w:val="0"/>
              <w:suppressLineNumbers w:val="0"/>
              <w:spacing w:before="0" w:beforeAutospacing="0" w:after="0" w:afterAutospacing="0"/>
              <w:ind w:left="0" w:right="0" w:firstLine="0" w:firstLineChars="0"/>
              <w:rPr>
                <w:rFonts w:hint="default" w:cs="Times New Roman"/>
                <w:color w:val="auto"/>
              </w:rPr>
            </w:pPr>
          </w:p>
          <w:p w14:paraId="695332ED">
            <w:pPr>
              <w:keepNext w:val="0"/>
              <w:keepLines w:val="0"/>
              <w:suppressLineNumbers w:val="0"/>
              <w:spacing w:before="0" w:beforeAutospacing="0" w:after="0" w:afterAutospacing="0"/>
              <w:ind w:left="0" w:right="0" w:firstLine="0" w:firstLineChars="0"/>
              <w:rPr>
                <w:rFonts w:hint="default" w:cs="Times New Roman"/>
                <w:color w:val="auto"/>
              </w:rPr>
            </w:pPr>
          </w:p>
          <w:p w14:paraId="59C3C253">
            <w:pPr>
              <w:keepNext w:val="0"/>
              <w:keepLines w:val="0"/>
              <w:suppressLineNumbers w:val="0"/>
              <w:spacing w:before="0" w:beforeAutospacing="0" w:after="0" w:afterAutospacing="0"/>
              <w:ind w:left="0" w:right="0" w:firstLine="0" w:firstLineChars="0"/>
              <w:rPr>
                <w:rFonts w:hint="default" w:cs="Times New Roman"/>
                <w:color w:val="auto"/>
              </w:rPr>
            </w:pPr>
          </w:p>
          <w:p w14:paraId="62437252">
            <w:pPr>
              <w:keepNext w:val="0"/>
              <w:keepLines w:val="0"/>
              <w:suppressLineNumbers w:val="0"/>
              <w:spacing w:before="0" w:beforeAutospacing="0" w:after="0" w:afterAutospacing="0"/>
              <w:ind w:left="0" w:right="0" w:firstLine="0" w:firstLineChars="0"/>
              <w:rPr>
                <w:rFonts w:hint="default" w:cs="Times New Roman"/>
                <w:color w:val="auto"/>
              </w:rPr>
            </w:pPr>
          </w:p>
          <w:p w14:paraId="680274BA">
            <w:pPr>
              <w:keepNext w:val="0"/>
              <w:keepLines w:val="0"/>
              <w:suppressLineNumbers w:val="0"/>
              <w:spacing w:before="0" w:beforeAutospacing="0" w:after="0" w:afterAutospacing="0"/>
              <w:ind w:left="0" w:right="0" w:firstLine="0" w:firstLineChars="0"/>
              <w:rPr>
                <w:rFonts w:hint="default" w:cs="Times New Roman"/>
                <w:color w:val="auto"/>
              </w:rPr>
            </w:pPr>
          </w:p>
          <w:p w14:paraId="3D5EE685">
            <w:pPr>
              <w:keepNext w:val="0"/>
              <w:keepLines w:val="0"/>
              <w:suppressLineNumbers w:val="0"/>
              <w:spacing w:before="0" w:beforeAutospacing="0" w:after="0" w:afterAutospacing="0"/>
              <w:ind w:left="0" w:right="0" w:firstLine="0" w:firstLineChars="0"/>
              <w:rPr>
                <w:rFonts w:hint="default" w:cs="Times New Roman"/>
                <w:color w:val="auto"/>
              </w:rPr>
            </w:pPr>
          </w:p>
          <w:p w14:paraId="0D084FDE">
            <w:pPr>
              <w:keepNext w:val="0"/>
              <w:keepLines w:val="0"/>
              <w:suppressLineNumbers w:val="0"/>
              <w:spacing w:before="0" w:beforeAutospacing="0" w:after="0" w:afterAutospacing="0"/>
              <w:ind w:left="0" w:right="0" w:firstLine="0" w:firstLineChars="0"/>
              <w:rPr>
                <w:rFonts w:hint="default" w:cs="Times New Roman"/>
                <w:color w:val="auto"/>
              </w:rPr>
            </w:pPr>
          </w:p>
          <w:p w14:paraId="5BCC528C">
            <w:pPr>
              <w:keepNext w:val="0"/>
              <w:keepLines w:val="0"/>
              <w:suppressLineNumbers w:val="0"/>
              <w:spacing w:before="0" w:beforeAutospacing="0" w:after="0" w:afterAutospacing="0"/>
              <w:ind w:left="0" w:right="0" w:firstLine="0" w:firstLineChars="0"/>
              <w:rPr>
                <w:rFonts w:hint="default" w:cs="Times New Roman"/>
                <w:color w:val="auto"/>
              </w:rPr>
            </w:pPr>
          </w:p>
          <w:p w14:paraId="1D565D78">
            <w:pPr>
              <w:keepNext w:val="0"/>
              <w:keepLines w:val="0"/>
              <w:suppressLineNumbers w:val="0"/>
              <w:spacing w:before="0" w:beforeAutospacing="0" w:after="0" w:afterAutospacing="0"/>
              <w:ind w:left="0" w:right="0" w:firstLine="0" w:firstLineChars="0"/>
              <w:rPr>
                <w:rFonts w:hint="default" w:cs="Times New Roman"/>
                <w:color w:val="auto"/>
              </w:rPr>
            </w:pPr>
          </w:p>
          <w:p w14:paraId="575D8F19">
            <w:pPr>
              <w:keepNext w:val="0"/>
              <w:keepLines w:val="0"/>
              <w:suppressLineNumbers w:val="0"/>
              <w:spacing w:before="0" w:beforeAutospacing="0" w:after="0" w:afterAutospacing="0"/>
              <w:ind w:left="0" w:right="0" w:firstLine="0" w:firstLineChars="0"/>
              <w:rPr>
                <w:rFonts w:hint="default" w:cs="Times New Roman"/>
                <w:color w:val="auto"/>
              </w:rPr>
            </w:pPr>
          </w:p>
          <w:p w14:paraId="2EC24C43">
            <w:pPr>
              <w:keepNext w:val="0"/>
              <w:keepLines w:val="0"/>
              <w:suppressLineNumbers w:val="0"/>
              <w:spacing w:before="0" w:beforeAutospacing="0" w:after="0" w:afterAutospacing="0"/>
              <w:ind w:left="0" w:right="0" w:firstLine="0" w:firstLineChars="0"/>
              <w:rPr>
                <w:rFonts w:hint="default" w:cs="Times New Roman"/>
                <w:color w:val="auto"/>
              </w:rPr>
            </w:pPr>
          </w:p>
          <w:p w14:paraId="5A9698F4">
            <w:pPr>
              <w:keepNext w:val="0"/>
              <w:keepLines w:val="0"/>
              <w:suppressLineNumbers w:val="0"/>
              <w:spacing w:before="0" w:beforeAutospacing="0" w:after="0" w:afterAutospacing="0"/>
              <w:ind w:left="0" w:right="0" w:firstLine="0" w:firstLineChars="0"/>
              <w:rPr>
                <w:rFonts w:hint="default" w:cs="Times New Roman"/>
                <w:color w:val="auto"/>
              </w:rPr>
            </w:pPr>
            <w:r>
              <w:rPr>
                <w:rFonts w:hint="default" w:cs="Times New Roman"/>
                <w:color w:val="auto"/>
              </w:rPr>
              <w:t>营运期环境影响和保护措施</w:t>
            </w:r>
          </w:p>
        </w:tc>
        <w:tc>
          <w:tcPr>
            <w:tcW w:w="7795" w:type="dxa"/>
          </w:tcPr>
          <w:p w14:paraId="752CF90A">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4、污染物排放量统计</w:t>
            </w:r>
          </w:p>
          <w:p w14:paraId="607B131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本项目大气污染物产生及排放总量情况如下表。</w:t>
            </w:r>
          </w:p>
          <w:p w14:paraId="2E1C1B2B">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本项目大气污染物产生及排放总量情况一览表  单位：t/a</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25"/>
              <w:gridCol w:w="1329"/>
              <w:gridCol w:w="1749"/>
              <w:gridCol w:w="1626"/>
              <w:gridCol w:w="1747"/>
            </w:tblGrid>
            <w:tr w14:paraId="576D70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742" w:type="pct"/>
                  <w:tcBorders>
                    <w:tl2br w:val="nil"/>
                    <w:tr2bl w:val="nil"/>
                  </w:tcBorders>
                  <w:shd w:val="clear" w:color="auto" w:fill="auto"/>
                  <w:vAlign w:val="center"/>
                </w:tcPr>
                <w:p w14:paraId="24F6ADE9">
                  <w:pPr>
                    <w:pStyle w:val="26"/>
                    <w:keepNext w:val="0"/>
                    <w:keepLines w:val="0"/>
                    <w:suppressLineNumbers w:val="0"/>
                    <w:spacing w:before="0" w:beforeAutospacing="0" w:after="0" w:afterAutospacing="0"/>
                    <w:ind w:left="0" w:right="0"/>
                    <w:rPr>
                      <w:rFonts w:hint="default"/>
                    </w:rPr>
                  </w:pPr>
                  <w:r>
                    <w:rPr>
                      <w:rFonts w:hint="default"/>
                    </w:rPr>
                    <w:t>序号</w:t>
                  </w:r>
                </w:p>
              </w:tc>
              <w:tc>
                <w:tcPr>
                  <w:tcW w:w="877" w:type="pct"/>
                  <w:tcBorders>
                    <w:tl2br w:val="nil"/>
                    <w:tr2bl w:val="nil"/>
                  </w:tcBorders>
                  <w:shd w:val="clear" w:color="auto" w:fill="auto"/>
                  <w:vAlign w:val="center"/>
                </w:tcPr>
                <w:p w14:paraId="1F6B5DCD">
                  <w:pPr>
                    <w:pStyle w:val="26"/>
                    <w:keepNext w:val="0"/>
                    <w:keepLines w:val="0"/>
                    <w:suppressLineNumbers w:val="0"/>
                    <w:spacing w:before="0" w:beforeAutospacing="0" w:after="0" w:afterAutospacing="0"/>
                    <w:ind w:left="0" w:right="0"/>
                    <w:rPr>
                      <w:rFonts w:hint="default"/>
                    </w:rPr>
                  </w:pPr>
                  <w:r>
                    <w:rPr>
                      <w:rFonts w:hint="default"/>
                    </w:rPr>
                    <w:t>污染物</w:t>
                  </w:r>
                </w:p>
              </w:tc>
              <w:tc>
                <w:tcPr>
                  <w:tcW w:w="1154" w:type="pct"/>
                  <w:tcBorders>
                    <w:tl2br w:val="nil"/>
                    <w:tr2bl w:val="nil"/>
                  </w:tcBorders>
                  <w:shd w:val="clear" w:color="auto" w:fill="auto"/>
                  <w:vAlign w:val="center"/>
                </w:tcPr>
                <w:p w14:paraId="6532C000">
                  <w:pPr>
                    <w:pStyle w:val="26"/>
                    <w:keepNext w:val="0"/>
                    <w:keepLines w:val="0"/>
                    <w:suppressLineNumbers w:val="0"/>
                    <w:spacing w:before="0" w:beforeAutospacing="0" w:after="0" w:afterAutospacing="0"/>
                    <w:ind w:left="0" w:right="0"/>
                    <w:rPr>
                      <w:rFonts w:hint="default"/>
                    </w:rPr>
                  </w:pPr>
                  <w:r>
                    <w:rPr>
                      <w:rFonts w:hint="default"/>
                    </w:rPr>
                    <w:t>有组织排放量</w:t>
                  </w:r>
                </w:p>
              </w:tc>
              <w:tc>
                <w:tcPr>
                  <w:tcW w:w="1073" w:type="pct"/>
                  <w:tcBorders>
                    <w:tl2br w:val="nil"/>
                    <w:tr2bl w:val="nil"/>
                  </w:tcBorders>
                  <w:shd w:val="clear" w:color="auto" w:fill="auto"/>
                  <w:vAlign w:val="center"/>
                </w:tcPr>
                <w:p w14:paraId="52C859A5">
                  <w:pPr>
                    <w:pStyle w:val="26"/>
                    <w:keepNext w:val="0"/>
                    <w:keepLines w:val="0"/>
                    <w:suppressLineNumbers w:val="0"/>
                    <w:spacing w:before="0" w:beforeAutospacing="0" w:after="0" w:afterAutospacing="0"/>
                    <w:ind w:left="0" w:right="0"/>
                    <w:rPr>
                      <w:rFonts w:hint="default"/>
                    </w:rPr>
                  </w:pPr>
                  <w:r>
                    <w:rPr>
                      <w:rFonts w:hint="default"/>
                    </w:rPr>
                    <w:t>无组织排放量</w:t>
                  </w:r>
                </w:p>
              </w:tc>
              <w:tc>
                <w:tcPr>
                  <w:tcW w:w="1153" w:type="pct"/>
                  <w:tcBorders>
                    <w:tl2br w:val="nil"/>
                    <w:tr2bl w:val="nil"/>
                  </w:tcBorders>
                  <w:shd w:val="clear" w:color="auto" w:fill="auto"/>
                  <w:vAlign w:val="center"/>
                </w:tcPr>
                <w:p w14:paraId="69210D05">
                  <w:pPr>
                    <w:pStyle w:val="26"/>
                    <w:keepNext w:val="0"/>
                    <w:keepLines w:val="0"/>
                    <w:suppressLineNumbers w:val="0"/>
                    <w:spacing w:before="0" w:beforeAutospacing="0" w:after="0" w:afterAutospacing="0"/>
                    <w:ind w:left="0" w:right="0"/>
                    <w:rPr>
                      <w:rFonts w:hint="default"/>
                    </w:rPr>
                  </w:pPr>
                  <w:r>
                    <w:rPr>
                      <w:rFonts w:hint="default"/>
                    </w:rPr>
                    <w:t>合计</w:t>
                  </w:r>
                </w:p>
              </w:tc>
            </w:tr>
            <w:tr w14:paraId="0D075F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742" w:type="pct"/>
                  <w:tcBorders>
                    <w:tl2br w:val="nil"/>
                    <w:tr2bl w:val="nil"/>
                  </w:tcBorders>
                  <w:shd w:val="clear" w:color="auto" w:fill="auto"/>
                  <w:vAlign w:val="center"/>
                </w:tcPr>
                <w:p w14:paraId="0FA00525">
                  <w:pPr>
                    <w:pStyle w:val="26"/>
                    <w:keepNext w:val="0"/>
                    <w:keepLines w:val="0"/>
                    <w:suppressLineNumbers w:val="0"/>
                    <w:spacing w:before="0" w:beforeAutospacing="0" w:after="0" w:afterAutospacing="0"/>
                    <w:ind w:left="0" w:right="0"/>
                    <w:rPr>
                      <w:rFonts w:hint="default"/>
                    </w:rPr>
                  </w:pPr>
                  <w:r>
                    <w:rPr>
                      <w:rFonts w:hint="default"/>
                    </w:rPr>
                    <w:t>1</w:t>
                  </w:r>
                </w:p>
              </w:tc>
              <w:tc>
                <w:tcPr>
                  <w:tcW w:w="877" w:type="pct"/>
                  <w:tcBorders>
                    <w:tl2br w:val="nil"/>
                    <w:tr2bl w:val="nil"/>
                  </w:tcBorders>
                  <w:shd w:val="clear" w:color="auto" w:fill="auto"/>
                  <w:vAlign w:val="center"/>
                </w:tcPr>
                <w:p w14:paraId="16B39B39">
                  <w:pPr>
                    <w:pStyle w:val="26"/>
                    <w:keepNext w:val="0"/>
                    <w:keepLines w:val="0"/>
                    <w:suppressLineNumbers w:val="0"/>
                    <w:spacing w:before="0" w:beforeAutospacing="0" w:after="0" w:afterAutospacing="0"/>
                    <w:ind w:left="0" w:right="0"/>
                    <w:rPr>
                      <w:rFonts w:hint="default"/>
                    </w:rPr>
                  </w:pPr>
                  <w:r>
                    <w:rPr>
                      <w:rFonts w:hint="default"/>
                    </w:rPr>
                    <w:t>颗粒物</w:t>
                  </w:r>
                </w:p>
              </w:tc>
              <w:tc>
                <w:tcPr>
                  <w:tcW w:w="1154" w:type="pct"/>
                  <w:tcBorders>
                    <w:tl2br w:val="nil"/>
                    <w:tr2bl w:val="nil"/>
                  </w:tcBorders>
                  <w:shd w:val="clear" w:color="auto" w:fill="auto"/>
                  <w:vAlign w:val="center"/>
                </w:tcPr>
                <w:p w14:paraId="11A8783F">
                  <w:pPr>
                    <w:pStyle w:val="26"/>
                    <w:keepNext w:val="0"/>
                    <w:keepLines w:val="0"/>
                    <w:suppressLineNumbers w:val="0"/>
                    <w:spacing w:before="0" w:beforeAutospacing="0" w:after="0" w:afterAutospacing="0"/>
                    <w:ind w:left="0" w:right="0"/>
                    <w:rPr>
                      <w:rFonts w:hint="default"/>
                    </w:rPr>
                  </w:pPr>
                  <w:r>
                    <w:rPr>
                      <w:rFonts w:hint="default"/>
                    </w:rPr>
                    <w:t>1.512</w:t>
                  </w:r>
                </w:p>
              </w:tc>
              <w:tc>
                <w:tcPr>
                  <w:tcW w:w="1073" w:type="pct"/>
                  <w:tcBorders>
                    <w:tl2br w:val="nil"/>
                    <w:tr2bl w:val="nil"/>
                  </w:tcBorders>
                  <w:shd w:val="clear" w:color="auto" w:fill="auto"/>
                  <w:vAlign w:val="center"/>
                </w:tcPr>
                <w:p w14:paraId="3EA2DFA8">
                  <w:pPr>
                    <w:pStyle w:val="26"/>
                    <w:keepNext w:val="0"/>
                    <w:keepLines w:val="0"/>
                    <w:suppressLineNumbers w:val="0"/>
                    <w:spacing w:before="0" w:beforeAutospacing="0" w:after="0" w:afterAutospacing="0"/>
                    <w:ind w:left="0" w:right="0"/>
                    <w:rPr>
                      <w:rFonts w:hint="default"/>
                    </w:rPr>
                  </w:pPr>
                  <w:r>
                    <w:rPr>
                      <w:rFonts w:hint="default"/>
                    </w:rPr>
                    <w:t>1.93</w:t>
                  </w:r>
                </w:p>
              </w:tc>
              <w:tc>
                <w:tcPr>
                  <w:tcW w:w="1153" w:type="pct"/>
                  <w:tcBorders>
                    <w:tl2br w:val="nil"/>
                    <w:tr2bl w:val="nil"/>
                  </w:tcBorders>
                  <w:shd w:val="clear" w:color="auto" w:fill="auto"/>
                  <w:vAlign w:val="center"/>
                </w:tcPr>
                <w:p w14:paraId="6E5BE2C2">
                  <w:pPr>
                    <w:pStyle w:val="26"/>
                    <w:keepNext w:val="0"/>
                    <w:keepLines w:val="0"/>
                    <w:suppressLineNumbers w:val="0"/>
                    <w:spacing w:before="0" w:beforeAutospacing="0" w:after="0" w:afterAutospacing="0"/>
                    <w:ind w:left="0" w:right="0"/>
                    <w:rPr>
                      <w:rFonts w:hint="default"/>
                    </w:rPr>
                  </w:pPr>
                  <w:r>
                    <w:rPr>
                      <w:rFonts w:hint="default"/>
                    </w:rPr>
                    <w:t>3.442</w:t>
                  </w:r>
                </w:p>
              </w:tc>
            </w:tr>
            <w:tr w14:paraId="47DBE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742" w:type="pct"/>
                  <w:tcBorders>
                    <w:tl2br w:val="nil"/>
                    <w:tr2bl w:val="nil"/>
                  </w:tcBorders>
                  <w:shd w:val="clear" w:color="auto" w:fill="auto"/>
                  <w:vAlign w:val="center"/>
                </w:tcPr>
                <w:p w14:paraId="1BBD327C">
                  <w:pPr>
                    <w:pStyle w:val="26"/>
                    <w:keepNext w:val="0"/>
                    <w:keepLines w:val="0"/>
                    <w:suppressLineNumbers w:val="0"/>
                    <w:spacing w:before="0" w:beforeAutospacing="0" w:after="0" w:afterAutospacing="0"/>
                    <w:ind w:left="0" w:right="0"/>
                    <w:rPr>
                      <w:rFonts w:hint="default"/>
                    </w:rPr>
                  </w:pPr>
                  <w:r>
                    <w:rPr>
                      <w:rFonts w:hint="default"/>
                    </w:rPr>
                    <w:t>2</w:t>
                  </w:r>
                </w:p>
              </w:tc>
              <w:tc>
                <w:tcPr>
                  <w:tcW w:w="877" w:type="pct"/>
                  <w:tcBorders>
                    <w:tl2br w:val="nil"/>
                    <w:tr2bl w:val="nil"/>
                  </w:tcBorders>
                  <w:shd w:val="clear" w:color="auto" w:fill="auto"/>
                  <w:vAlign w:val="center"/>
                </w:tcPr>
                <w:p w14:paraId="6B4148CE">
                  <w:pPr>
                    <w:pStyle w:val="26"/>
                    <w:keepNext w:val="0"/>
                    <w:keepLines w:val="0"/>
                    <w:suppressLineNumbers w:val="0"/>
                    <w:spacing w:before="0" w:beforeAutospacing="0" w:after="0" w:afterAutospacing="0"/>
                    <w:ind w:left="0" w:right="0"/>
                    <w:rPr>
                      <w:rFonts w:hint="default"/>
                    </w:rPr>
                  </w:pPr>
                  <w:r>
                    <w:rPr>
                      <w:rFonts w:hint="default"/>
                    </w:rPr>
                    <w:t>硫化氢</w:t>
                  </w:r>
                </w:p>
              </w:tc>
              <w:tc>
                <w:tcPr>
                  <w:tcW w:w="1154" w:type="pct"/>
                  <w:tcBorders>
                    <w:tl2br w:val="nil"/>
                    <w:tr2bl w:val="nil"/>
                  </w:tcBorders>
                  <w:shd w:val="clear" w:color="auto" w:fill="auto"/>
                  <w:vAlign w:val="center"/>
                </w:tcPr>
                <w:p w14:paraId="6B26BF4C">
                  <w:pPr>
                    <w:pStyle w:val="26"/>
                    <w:keepNext w:val="0"/>
                    <w:keepLines w:val="0"/>
                    <w:suppressLineNumbers w:val="0"/>
                    <w:spacing w:before="0" w:beforeAutospacing="0" w:after="0" w:afterAutospacing="0"/>
                    <w:ind w:left="0" w:right="0"/>
                    <w:rPr>
                      <w:rFonts w:hint="default"/>
                    </w:rPr>
                  </w:pPr>
                  <w:r>
                    <w:rPr>
                      <w:rFonts w:hint="default"/>
                    </w:rPr>
                    <w:t>0.541</w:t>
                  </w:r>
                </w:p>
              </w:tc>
              <w:tc>
                <w:tcPr>
                  <w:tcW w:w="1073" w:type="pct"/>
                  <w:tcBorders>
                    <w:tl2br w:val="nil"/>
                    <w:tr2bl w:val="nil"/>
                  </w:tcBorders>
                  <w:shd w:val="clear" w:color="auto" w:fill="auto"/>
                  <w:vAlign w:val="center"/>
                </w:tcPr>
                <w:p w14:paraId="209683C7">
                  <w:pPr>
                    <w:pStyle w:val="26"/>
                    <w:keepNext w:val="0"/>
                    <w:keepLines w:val="0"/>
                    <w:suppressLineNumbers w:val="0"/>
                    <w:spacing w:before="0" w:beforeAutospacing="0" w:after="0" w:afterAutospacing="0"/>
                    <w:ind w:left="0" w:right="0"/>
                    <w:rPr>
                      <w:rFonts w:hint="default"/>
                    </w:rPr>
                  </w:pPr>
                  <w:r>
                    <w:rPr>
                      <w:rFonts w:hint="default"/>
                    </w:rPr>
                    <w:t>0.150</w:t>
                  </w:r>
                </w:p>
              </w:tc>
              <w:tc>
                <w:tcPr>
                  <w:tcW w:w="1153" w:type="pct"/>
                  <w:tcBorders>
                    <w:tl2br w:val="nil"/>
                    <w:tr2bl w:val="nil"/>
                  </w:tcBorders>
                  <w:shd w:val="clear" w:color="auto" w:fill="auto"/>
                  <w:vAlign w:val="center"/>
                </w:tcPr>
                <w:p w14:paraId="5AE905A2">
                  <w:pPr>
                    <w:pStyle w:val="26"/>
                    <w:keepNext w:val="0"/>
                    <w:keepLines w:val="0"/>
                    <w:suppressLineNumbers w:val="0"/>
                    <w:spacing w:before="0" w:beforeAutospacing="0" w:after="0" w:afterAutospacing="0"/>
                    <w:ind w:left="0" w:right="0"/>
                    <w:rPr>
                      <w:rFonts w:hint="default"/>
                    </w:rPr>
                  </w:pPr>
                  <w:r>
                    <w:rPr>
                      <w:rFonts w:hint="default"/>
                    </w:rPr>
                    <w:t>0.691</w:t>
                  </w:r>
                </w:p>
              </w:tc>
            </w:tr>
            <w:tr w14:paraId="05DEF3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742" w:type="pct"/>
                  <w:tcBorders>
                    <w:tl2br w:val="nil"/>
                    <w:tr2bl w:val="nil"/>
                  </w:tcBorders>
                  <w:shd w:val="clear" w:color="auto" w:fill="auto"/>
                  <w:vAlign w:val="center"/>
                </w:tcPr>
                <w:p w14:paraId="486840CC">
                  <w:pPr>
                    <w:pStyle w:val="26"/>
                    <w:keepNext w:val="0"/>
                    <w:keepLines w:val="0"/>
                    <w:suppressLineNumbers w:val="0"/>
                    <w:spacing w:before="0" w:beforeAutospacing="0" w:after="0" w:afterAutospacing="0"/>
                    <w:ind w:left="0" w:right="0"/>
                    <w:rPr>
                      <w:rFonts w:hint="default"/>
                    </w:rPr>
                  </w:pPr>
                  <w:r>
                    <w:rPr>
                      <w:rFonts w:hint="default"/>
                    </w:rPr>
                    <w:t>3</w:t>
                  </w:r>
                </w:p>
              </w:tc>
              <w:tc>
                <w:tcPr>
                  <w:tcW w:w="877" w:type="pct"/>
                  <w:tcBorders>
                    <w:tl2br w:val="nil"/>
                    <w:tr2bl w:val="nil"/>
                  </w:tcBorders>
                  <w:shd w:val="clear" w:color="auto" w:fill="auto"/>
                  <w:noWrap/>
                  <w:vAlign w:val="center"/>
                </w:tcPr>
                <w:p w14:paraId="12F929D3">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1154" w:type="pct"/>
                  <w:tcBorders>
                    <w:tl2br w:val="nil"/>
                    <w:tr2bl w:val="nil"/>
                  </w:tcBorders>
                  <w:shd w:val="clear" w:color="auto" w:fill="auto"/>
                  <w:vAlign w:val="center"/>
                </w:tcPr>
                <w:p w14:paraId="1A314C7F">
                  <w:pPr>
                    <w:pStyle w:val="26"/>
                    <w:keepNext w:val="0"/>
                    <w:keepLines w:val="0"/>
                    <w:suppressLineNumbers w:val="0"/>
                    <w:spacing w:before="0" w:beforeAutospacing="0" w:after="0" w:afterAutospacing="0"/>
                    <w:ind w:left="0" w:right="0"/>
                    <w:rPr>
                      <w:rFonts w:hint="default"/>
                    </w:rPr>
                  </w:pPr>
                  <w:r>
                    <w:rPr>
                      <w:rFonts w:hint="default"/>
                    </w:rPr>
                    <w:t>/</w:t>
                  </w:r>
                </w:p>
              </w:tc>
              <w:tc>
                <w:tcPr>
                  <w:tcW w:w="1073" w:type="pct"/>
                  <w:tcBorders>
                    <w:tl2br w:val="nil"/>
                    <w:tr2bl w:val="nil"/>
                  </w:tcBorders>
                  <w:shd w:val="clear" w:color="auto" w:fill="auto"/>
                  <w:vAlign w:val="center"/>
                </w:tcPr>
                <w:p w14:paraId="62A21A2B">
                  <w:pPr>
                    <w:pStyle w:val="26"/>
                    <w:keepNext w:val="0"/>
                    <w:keepLines w:val="0"/>
                    <w:suppressLineNumbers w:val="0"/>
                    <w:spacing w:before="0" w:beforeAutospacing="0" w:after="0" w:afterAutospacing="0"/>
                    <w:ind w:left="0" w:right="0"/>
                    <w:rPr>
                      <w:rFonts w:hint="default"/>
                    </w:rPr>
                  </w:pPr>
                  <w:r>
                    <w:rPr>
                      <w:rFonts w:hint="default"/>
                    </w:rPr>
                    <w:t>0.75</w:t>
                  </w:r>
                </w:p>
              </w:tc>
              <w:tc>
                <w:tcPr>
                  <w:tcW w:w="1153" w:type="pct"/>
                  <w:tcBorders>
                    <w:tl2br w:val="nil"/>
                    <w:tr2bl w:val="nil"/>
                  </w:tcBorders>
                  <w:shd w:val="clear" w:color="auto" w:fill="auto"/>
                  <w:vAlign w:val="center"/>
                </w:tcPr>
                <w:p w14:paraId="34529B16">
                  <w:pPr>
                    <w:pStyle w:val="26"/>
                    <w:keepNext w:val="0"/>
                    <w:keepLines w:val="0"/>
                    <w:suppressLineNumbers w:val="0"/>
                    <w:spacing w:before="0" w:beforeAutospacing="0" w:after="0" w:afterAutospacing="0"/>
                    <w:ind w:left="0" w:right="0"/>
                    <w:rPr>
                      <w:rFonts w:hint="default"/>
                    </w:rPr>
                  </w:pPr>
                  <w:r>
                    <w:rPr>
                      <w:rFonts w:hint="default"/>
                    </w:rPr>
                    <w:t>0.75</w:t>
                  </w:r>
                </w:p>
              </w:tc>
            </w:tr>
          </w:tbl>
          <w:p w14:paraId="3FCB444C">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5、废气非正常排放分析</w:t>
            </w:r>
          </w:p>
          <w:p w14:paraId="5475823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本项目废气非正常工况主要考虑项目生产过程中废气处理系统发生故障不能正常运行，污染物未经处理直接排放的情况。非正常工况下，废气污染排放情况见下表。</w:t>
            </w:r>
          </w:p>
          <w:p w14:paraId="1BD92B2D">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本项目废气非正常排放情况核算一览表</w:t>
            </w:r>
          </w:p>
          <w:tbl>
            <w:tblPr>
              <w:tblStyle w:val="18"/>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8"/>
              <w:gridCol w:w="1113"/>
              <w:gridCol w:w="886"/>
              <w:gridCol w:w="910"/>
              <w:gridCol w:w="894"/>
              <w:gridCol w:w="716"/>
              <w:gridCol w:w="694"/>
              <w:gridCol w:w="582"/>
              <w:gridCol w:w="960"/>
            </w:tblGrid>
            <w:tr w14:paraId="750AA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0" w:type="pct"/>
                  <w:tcBorders>
                    <w:tl2br w:val="nil"/>
                    <w:tr2bl w:val="nil"/>
                  </w:tcBorders>
                  <w:shd w:val="clear" w:color="auto" w:fill="auto"/>
                  <w:vAlign w:val="center"/>
                </w:tcPr>
                <w:p w14:paraId="66B96797">
                  <w:pPr>
                    <w:pStyle w:val="26"/>
                    <w:keepNext w:val="0"/>
                    <w:keepLines w:val="0"/>
                    <w:suppressLineNumbers w:val="0"/>
                    <w:spacing w:before="0" w:beforeAutospacing="0" w:after="0" w:afterAutospacing="0"/>
                    <w:ind w:left="0" w:right="0"/>
                    <w:rPr>
                      <w:rFonts w:hint="default"/>
                    </w:rPr>
                  </w:pPr>
                  <w:r>
                    <w:rPr>
                      <w:rFonts w:hint="default"/>
                    </w:rPr>
                    <w:t>排放口名称</w:t>
                  </w:r>
                </w:p>
              </w:tc>
              <w:tc>
                <w:tcPr>
                  <w:tcW w:w="735" w:type="pct"/>
                  <w:tcBorders>
                    <w:tl2br w:val="nil"/>
                    <w:tr2bl w:val="nil"/>
                  </w:tcBorders>
                  <w:shd w:val="clear" w:color="auto" w:fill="auto"/>
                  <w:vAlign w:val="center"/>
                </w:tcPr>
                <w:p w14:paraId="32330B97">
                  <w:pPr>
                    <w:pStyle w:val="26"/>
                    <w:keepNext w:val="0"/>
                    <w:keepLines w:val="0"/>
                    <w:suppressLineNumbers w:val="0"/>
                    <w:spacing w:before="0" w:beforeAutospacing="0" w:after="0" w:afterAutospacing="0"/>
                    <w:ind w:left="0" w:right="0"/>
                    <w:rPr>
                      <w:rFonts w:hint="default"/>
                    </w:rPr>
                  </w:pPr>
                  <w:r>
                    <w:rPr>
                      <w:rFonts w:hint="default"/>
                    </w:rPr>
                    <w:t>非正常排放原因</w:t>
                  </w:r>
                </w:p>
              </w:tc>
              <w:tc>
                <w:tcPr>
                  <w:tcW w:w="585" w:type="pct"/>
                  <w:tcBorders>
                    <w:tl2br w:val="nil"/>
                    <w:tr2bl w:val="nil"/>
                  </w:tcBorders>
                  <w:shd w:val="clear" w:color="auto" w:fill="auto"/>
                  <w:vAlign w:val="center"/>
                </w:tcPr>
                <w:p w14:paraId="41725B0D">
                  <w:pPr>
                    <w:pStyle w:val="26"/>
                    <w:keepNext w:val="0"/>
                    <w:keepLines w:val="0"/>
                    <w:suppressLineNumbers w:val="0"/>
                    <w:spacing w:before="0" w:beforeAutospacing="0" w:after="0" w:afterAutospacing="0"/>
                    <w:ind w:left="0" w:right="0"/>
                    <w:rPr>
                      <w:rFonts w:hint="default"/>
                    </w:rPr>
                  </w:pPr>
                  <w:r>
                    <w:rPr>
                      <w:rFonts w:hint="default"/>
                    </w:rPr>
                    <w:t>污染物</w:t>
                  </w:r>
                </w:p>
              </w:tc>
              <w:tc>
                <w:tcPr>
                  <w:tcW w:w="601" w:type="pct"/>
                  <w:tcBorders>
                    <w:tl2br w:val="nil"/>
                    <w:tr2bl w:val="nil"/>
                  </w:tcBorders>
                  <w:shd w:val="clear" w:color="auto" w:fill="auto"/>
                  <w:vAlign w:val="center"/>
                </w:tcPr>
                <w:p w14:paraId="12F6FA84">
                  <w:pPr>
                    <w:pStyle w:val="26"/>
                    <w:keepNext w:val="0"/>
                    <w:keepLines w:val="0"/>
                    <w:suppressLineNumbers w:val="0"/>
                    <w:spacing w:before="0" w:beforeAutospacing="0" w:after="0" w:afterAutospacing="0"/>
                    <w:ind w:left="0" w:right="0"/>
                    <w:rPr>
                      <w:rFonts w:hint="default"/>
                    </w:rPr>
                  </w:pPr>
                  <w:r>
                    <w:rPr>
                      <w:rFonts w:hint="default"/>
                    </w:rPr>
                    <w:t>非正常工况排放量t/次</w:t>
                  </w:r>
                </w:p>
              </w:tc>
              <w:tc>
                <w:tcPr>
                  <w:tcW w:w="590" w:type="pct"/>
                  <w:tcBorders>
                    <w:tl2br w:val="nil"/>
                    <w:tr2bl w:val="nil"/>
                  </w:tcBorders>
                  <w:shd w:val="clear" w:color="auto" w:fill="auto"/>
                  <w:vAlign w:val="center"/>
                </w:tcPr>
                <w:p w14:paraId="108EF37F">
                  <w:pPr>
                    <w:pStyle w:val="26"/>
                    <w:keepNext w:val="0"/>
                    <w:keepLines w:val="0"/>
                    <w:suppressLineNumbers w:val="0"/>
                    <w:spacing w:before="0" w:beforeAutospacing="0" w:after="0" w:afterAutospacing="0"/>
                    <w:ind w:left="0" w:right="0"/>
                    <w:rPr>
                      <w:rFonts w:hint="default"/>
                    </w:rPr>
                  </w:pPr>
                  <w:r>
                    <w:rPr>
                      <w:rFonts w:hint="default"/>
                    </w:rPr>
                    <w:t>非正常排放浓度mg/m</w:t>
                  </w:r>
                  <w:r>
                    <w:rPr>
                      <w:rFonts w:hint="default"/>
                      <w:vertAlign w:val="superscript"/>
                    </w:rPr>
                    <w:t>3</w:t>
                  </w:r>
                </w:p>
              </w:tc>
              <w:tc>
                <w:tcPr>
                  <w:tcW w:w="473" w:type="pct"/>
                  <w:tcBorders>
                    <w:tl2br w:val="nil"/>
                    <w:tr2bl w:val="nil"/>
                  </w:tcBorders>
                  <w:shd w:val="clear" w:color="auto" w:fill="auto"/>
                  <w:vAlign w:val="center"/>
                </w:tcPr>
                <w:p w14:paraId="71D78BF4">
                  <w:pPr>
                    <w:pStyle w:val="26"/>
                    <w:keepNext w:val="0"/>
                    <w:keepLines w:val="0"/>
                    <w:suppressLineNumbers w:val="0"/>
                    <w:spacing w:before="0" w:beforeAutospacing="0" w:after="0" w:afterAutospacing="0"/>
                    <w:ind w:left="0" w:right="0"/>
                    <w:rPr>
                      <w:rFonts w:hint="default"/>
                    </w:rPr>
                  </w:pPr>
                  <w:r>
                    <w:rPr>
                      <w:rFonts w:hint="default"/>
                    </w:rPr>
                    <w:t>非正常排放速率kg/h</w:t>
                  </w:r>
                </w:p>
              </w:tc>
              <w:tc>
                <w:tcPr>
                  <w:tcW w:w="458" w:type="pct"/>
                  <w:tcBorders>
                    <w:tl2br w:val="nil"/>
                    <w:tr2bl w:val="nil"/>
                  </w:tcBorders>
                  <w:shd w:val="clear" w:color="auto" w:fill="auto"/>
                  <w:vAlign w:val="center"/>
                </w:tcPr>
                <w:p w14:paraId="30BCDF92">
                  <w:pPr>
                    <w:pStyle w:val="26"/>
                    <w:keepNext w:val="0"/>
                    <w:keepLines w:val="0"/>
                    <w:suppressLineNumbers w:val="0"/>
                    <w:spacing w:before="0" w:beforeAutospacing="0" w:after="0" w:afterAutospacing="0"/>
                    <w:ind w:left="0" w:right="0"/>
                    <w:rPr>
                      <w:rFonts w:hint="default"/>
                    </w:rPr>
                  </w:pPr>
                  <w:r>
                    <w:rPr>
                      <w:rFonts w:hint="default"/>
                    </w:rPr>
                    <w:t>单次持续时间/h</w:t>
                  </w:r>
                </w:p>
              </w:tc>
              <w:tc>
                <w:tcPr>
                  <w:tcW w:w="384" w:type="pct"/>
                  <w:tcBorders>
                    <w:tl2br w:val="nil"/>
                    <w:tr2bl w:val="nil"/>
                  </w:tcBorders>
                  <w:shd w:val="clear" w:color="auto" w:fill="auto"/>
                  <w:vAlign w:val="center"/>
                </w:tcPr>
                <w:p w14:paraId="6CC01AF4">
                  <w:pPr>
                    <w:pStyle w:val="26"/>
                    <w:keepNext w:val="0"/>
                    <w:keepLines w:val="0"/>
                    <w:suppressLineNumbers w:val="0"/>
                    <w:spacing w:before="0" w:beforeAutospacing="0" w:after="0" w:afterAutospacing="0"/>
                    <w:ind w:left="0" w:right="0"/>
                    <w:rPr>
                      <w:rFonts w:hint="default"/>
                    </w:rPr>
                  </w:pPr>
                  <w:r>
                    <w:rPr>
                      <w:rFonts w:hint="default"/>
                    </w:rPr>
                    <w:t>年发生频次</w:t>
                  </w:r>
                </w:p>
              </w:tc>
              <w:tc>
                <w:tcPr>
                  <w:tcW w:w="634" w:type="pct"/>
                  <w:tcBorders>
                    <w:tl2br w:val="nil"/>
                    <w:tr2bl w:val="nil"/>
                  </w:tcBorders>
                  <w:shd w:val="clear" w:color="auto" w:fill="auto"/>
                  <w:vAlign w:val="center"/>
                </w:tcPr>
                <w:p w14:paraId="28BD8953">
                  <w:pPr>
                    <w:pStyle w:val="26"/>
                    <w:keepNext w:val="0"/>
                    <w:keepLines w:val="0"/>
                    <w:suppressLineNumbers w:val="0"/>
                    <w:spacing w:before="0" w:beforeAutospacing="0" w:after="0" w:afterAutospacing="0"/>
                    <w:ind w:left="0" w:right="0"/>
                    <w:rPr>
                      <w:rFonts w:hint="default"/>
                    </w:rPr>
                  </w:pPr>
                  <w:r>
                    <w:rPr>
                      <w:rFonts w:hint="default"/>
                    </w:rPr>
                    <w:t>应对措施</w:t>
                  </w:r>
                </w:p>
              </w:tc>
            </w:tr>
            <w:tr w14:paraId="525F0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540" w:type="pct"/>
                  <w:vMerge w:val="restart"/>
                  <w:tcBorders>
                    <w:tl2br w:val="nil"/>
                    <w:tr2bl w:val="nil"/>
                  </w:tcBorders>
                  <w:shd w:val="clear" w:color="auto" w:fill="auto"/>
                  <w:vAlign w:val="center"/>
                </w:tcPr>
                <w:p w14:paraId="0A2CE0AF">
                  <w:pPr>
                    <w:pStyle w:val="26"/>
                    <w:keepNext w:val="0"/>
                    <w:keepLines w:val="0"/>
                    <w:suppressLineNumbers w:val="0"/>
                    <w:spacing w:before="0" w:beforeAutospacing="0" w:after="0" w:afterAutospacing="0"/>
                    <w:ind w:left="0" w:right="0"/>
                    <w:rPr>
                      <w:rFonts w:hint="default"/>
                    </w:rPr>
                  </w:pPr>
                  <w:r>
                    <w:rPr>
                      <w:rFonts w:hint="default"/>
                    </w:rPr>
                    <w:t>DA001</w:t>
                  </w:r>
                </w:p>
              </w:tc>
              <w:tc>
                <w:tcPr>
                  <w:tcW w:w="735" w:type="pct"/>
                  <w:vMerge w:val="restart"/>
                  <w:tcBorders>
                    <w:tl2br w:val="nil"/>
                    <w:tr2bl w:val="nil"/>
                  </w:tcBorders>
                  <w:shd w:val="clear" w:color="auto" w:fill="auto"/>
                  <w:vAlign w:val="center"/>
                </w:tcPr>
                <w:p w14:paraId="294D74BB">
                  <w:pPr>
                    <w:pStyle w:val="26"/>
                    <w:keepNext w:val="0"/>
                    <w:keepLines w:val="0"/>
                    <w:suppressLineNumbers w:val="0"/>
                    <w:spacing w:before="0" w:beforeAutospacing="0" w:after="0" w:afterAutospacing="0"/>
                    <w:ind w:left="0" w:right="0"/>
                    <w:rPr>
                      <w:rFonts w:hint="default"/>
                    </w:rPr>
                  </w:pPr>
                  <w:r>
                    <w:rPr>
                      <w:rFonts w:hint="default"/>
                    </w:rPr>
                    <w:t>“旋风水膜除尘”失效</w:t>
                  </w:r>
                </w:p>
              </w:tc>
              <w:tc>
                <w:tcPr>
                  <w:tcW w:w="585" w:type="pct"/>
                  <w:tcBorders>
                    <w:tl2br w:val="nil"/>
                    <w:tr2bl w:val="nil"/>
                  </w:tcBorders>
                  <w:shd w:val="clear" w:color="auto" w:fill="auto"/>
                  <w:noWrap/>
                  <w:vAlign w:val="center"/>
                </w:tcPr>
                <w:p w14:paraId="6EE0D5CA">
                  <w:pPr>
                    <w:pStyle w:val="26"/>
                    <w:keepNext w:val="0"/>
                    <w:keepLines w:val="0"/>
                    <w:suppressLineNumbers w:val="0"/>
                    <w:spacing w:before="0" w:beforeAutospacing="0" w:after="0" w:afterAutospacing="0"/>
                    <w:ind w:left="0" w:right="0"/>
                    <w:rPr>
                      <w:rFonts w:hint="default"/>
                    </w:rPr>
                  </w:pPr>
                  <w:r>
                    <w:rPr>
                      <w:rFonts w:hint="default"/>
                    </w:rPr>
                    <w:t>颗粒物</w:t>
                  </w:r>
                </w:p>
              </w:tc>
              <w:tc>
                <w:tcPr>
                  <w:tcW w:w="601" w:type="pct"/>
                  <w:tcBorders>
                    <w:tl2br w:val="nil"/>
                    <w:tr2bl w:val="nil"/>
                  </w:tcBorders>
                  <w:shd w:val="clear" w:color="auto" w:fill="auto"/>
                  <w:vAlign w:val="center"/>
                </w:tcPr>
                <w:p w14:paraId="5F69A641">
                  <w:pPr>
                    <w:pStyle w:val="26"/>
                    <w:keepNext w:val="0"/>
                    <w:keepLines w:val="0"/>
                    <w:suppressLineNumbers w:val="0"/>
                    <w:spacing w:before="0" w:beforeAutospacing="0" w:after="0" w:afterAutospacing="0"/>
                    <w:ind w:left="0" w:right="0"/>
                    <w:rPr>
                      <w:rFonts w:hint="default"/>
                    </w:rPr>
                  </w:pPr>
                  <w:r>
                    <w:rPr>
                      <w:rFonts w:hint="default"/>
                    </w:rPr>
                    <w:t>0.0019</w:t>
                  </w:r>
                </w:p>
              </w:tc>
              <w:tc>
                <w:tcPr>
                  <w:tcW w:w="590" w:type="pct"/>
                  <w:tcBorders>
                    <w:tl2br w:val="nil"/>
                    <w:tr2bl w:val="nil"/>
                  </w:tcBorders>
                  <w:shd w:val="clear" w:color="auto" w:fill="auto"/>
                  <w:vAlign w:val="center"/>
                </w:tcPr>
                <w:p w14:paraId="412B781D">
                  <w:pPr>
                    <w:pStyle w:val="26"/>
                    <w:keepNext w:val="0"/>
                    <w:keepLines w:val="0"/>
                    <w:suppressLineNumbers w:val="0"/>
                    <w:spacing w:before="0" w:beforeAutospacing="0" w:after="0" w:afterAutospacing="0"/>
                    <w:ind w:left="0" w:right="0"/>
                    <w:rPr>
                      <w:rFonts w:hint="default"/>
                    </w:rPr>
                  </w:pPr>
                  <w:r>
                    <w:rPr>
                      <w:rFonts w:hint="default"/>
                    </w:rPr>
                    <w:t>135</w:t>
                  </w:r>
                </w:p>
              </w:tc>
              <w:tc>
                <w:tcPr>
                  <w:tcW w:w="473" w:type="pct"/>
                  <w:tcBorders>
                    <w:tl2br w:val="nil"/>
                    <w:tr2bl w:val="nil"/>
                  </w:tcBorders>
                  <w:shd w:val="clear" w:color="auto" w:fill="auto"/>
                  <w:vAlign w:val="center"/>
                </w:tcPr>
                <w:p w14:paraId="5C224B58">
                  <w:pPr>
                    <w:pStyle w:val="26"/>
                    <w:keepNext w:val="0"/>
                    <w:keepLines w:val="0"/>
                    <w:suppressLineNumbers w:val="0"/>
                    <w:spacing w:before="0" w:beforeAutospacing="0" w:after="0" w:afterAutospacing="0"/>
                    <w:ind w:left="0" w:right="0"/>
                    <w:rPr>
                      <w:rFonts w:hint="default"/>
                    </w:rPr>
                  </w:pPr>
                  <w:r>
                    <w:rPr>
                      <w:rFonts w:hint="default"/>
                    </w:rPr>
                    <w:t>1.89</w:t>
                  </w:r>
                </w:p>
              </w:tc>
              <w:tc>
                <w:tcPr>
                  <w:tcW w:w="458" w:type="pct"/>
                  <w:vMerge w:val="restart"/>
                  <w:tcBorders>
                    <w:tl2br w:val="nil"/>
                    <w:tr2bl w:val="nil"/>
                  </w:tcBorders>
                  <w:shd w:val="clear" w:color="auto" w:fill="auto"/>
                  <w:vAlign w:val="center"/>
                </w:tcPr>
                <w:p w14:paraId="6DBD6502">
                  <w:pPr>
                    <w:pStyle w:val="26"/>
                    <w:keepNext w:val="0"/>
                    <w:keepLines w:val="0"/>
                    <w:suppressLineNumbers w:val="0"/>
                    <w:spacing w:before="0" w:beforeAutospacing="0" w:after="0" w:afterAutospacing="0"/>
                    <w:ind w:left="0" w:right="0"/>
                    <w:rPr>
                      <w:rFonts w:hint="default"/>
                    </w:rPr>
                  </w:pPr>
                  <w:r>
                    <w:rPr>
                      <w:rFonts w:hint="default"/>
                    </w:rPr>
                    <w:t>1</w:t>
                  </w:r>
                </w:p>
              </w:tc>
              <w:tc>
                <w:tcPr>
                  <w:tcW w:w="384" w:type="pct"/>
                  <w:vMerge w:val="restart"/>
                  <w:tcBorders>
                    <w:tl2br w:val="nil"/>
                    <w:tr2bl w:val="nil"/>
                  </w:tcBorders>
                  <w:shd w:val="clear" w:color="auto" w:fill="auto"/>
                  <w:vAlign w:val="center"/>
                </w:tcPr>
                <w:p w14:paraId="6DFEB726">
                  <w:pPr>
                    <w:pStyle w:val="26"/>
                    <w:keepNext w:val="0"/>
                    <w:keepLines w:val="0"/>
                    <w:suppressLineNumbers w:val="0"/>
                    <w:spacing w:before="0" w:beforeAutospacing="0" w:after="0" w:afterAutospacing="0"/>
                    <w:ind w:left="0" w:right="0"/>
                    <w:rPr>
                      <w:rFonts w:hint="default"/>
                    </w:rPr>
                  </w:pPr>
                  <w:r>
                    <w:rPr>
                      <w:rFonts w:hint="default"/>
                    </w:rPr>
                    <w:t>1次/年</w:t>
                  </w:r>
                </w:p>
              </w:tc>
              <w:tc>
                <w:tcPr>
                  <w:tcW w:w="634" w:type="pct"/>
                  <w:vMerge w:val="restart"/>
                  <w:tcBorders>
                    <w:tl2br w:val="nil"/>
                    <w:tr2bl w:val="nil"/>
                  </w:tcBorders>
                  <w:shd w:val="clear" w:color="auto" w:fill="auto"/>
                  <w:vAlign w:val="center"/>
                </w:tcPr>
                <w:p w14:paraId="5DE27A17">
                  <w:pPr>
                    <w:pStyle w:val="26"/>
                    <w:keepNext w:val="0"/>
                    <w:keepLines w:val="0"/>
                    <w:suppressLineNumbers w:val="0"/>
                    <w:spacing w:before="0" w:beforeAutospacing="0" w:after="0" w:afterAutospacing="0"/>
                    <w:ind w:left="0" w:right="0"/>
                    <w:rPr>
                      <w:rFonts w:hint="default"/>
                    </w:rPr>
                  </w:pPr>
                  <w:r>
                    <w:rPr>
                      <w:rFonts w:hint="default"/>
                    </w:rPr>
                    <w:t>加强废气治理设施维护，定期检修，做好环保设备巡检记录</w:t>
                  </w:r>
                </w:p>
              </w:tc>
            </w:tr>
            <w:tr w14:paraId="5D2EB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0" w:type="pct"/>
                  <w:vMerge w:val="continue"/>
                  <w:tcBorders>
                    <w:tl2br w:val="nil"/>
                    <w:tr2bl w:val="nil"/>
                  </w:tcBorders>
                  <w:shd w:val="clear" w:color="auto" w:fill="auto"/>
                  <w:vAlign w:val="center"/>
                </w:tcPr>
                <w:p w14:paraId="6BB32603">
                  <w:pPr>
                    <w:pStyle w:val="26"/>
                    <w:keepNext w:val="0"/>
                    <w:keepLines w:val="0"/>
                    <w:suppressLineNumbers w:val="0"/>
                    <w:spacing w:before="0" w:beforeAutospacing="0" w:after="0" w:afterAutospacing="0"/>
                    <w:ind w:left="0" w:right="0"/>
                    <w:rPr>
                      <w:rFonts w:hint="default"/>
                    </w:rPr>
                  </w:pPr>
                </w:p>
              </w:tc>
              <w:tc>
                <w:tcPr>
                  <w:tcW w:w="735" w:type="pct"/>
                  <w:vMerge w:val="continue"/>
                  <w:tcBorders>
                    <w:tl2br w:val="nil"/>
                    <w:tr2bl w:val="nil"/>
                  </w:tcBorders>
                  <w:shd w:val="clear" w:color="auto" w:fill="auto"/>
                  <w:vAlign w:val="center"/>
                </w:tcPr>
                <w:p w14:paraId="65E8EEA4">
                  <w:pPr>
                    <w:pStyle w:val="26"/>
                    <w:keepNext w:val="0"/>
                    <w:keepLines w:val="0"/>
                    <w:suppressLineNumbers w:val="0"/>
                    <w:spacing w:before="0" w:beforeAutospacing="0" w:after="0" w:afterAutospacing="0"/>
                    <w:ind w:left="0" w:right="0"/>
                    <w:rPr>
                      <w:rFonts w:hint="default"/>
                    </w:rPr>
                  </w:pPr>
                </w:p>
              </w:tc>
              <w:tc>
                <w:tcPr>
                  <w:tcW w:w="585" w:type="pct"/>
                  <w:tcBorders>
                    <w:tl2br w:val="nil"/>
                    <w:tr2bl w:val="nil"/>
                  </w:tcBorders>
                  <w:shd w:val="clear" w:color="auto" w:fill="auto"/>
                  <w:noWrap/>
                  <w:vAlign w:val="center"/>
                </w:tcPr>
                <w:p w14:paraId="55847817">
                  <w:pPr>
                    <w:pStyle w:val="26"/>
                    <w:keepNext w:val="0"/>
                    <w:keepLines w:val="0"/>
                    <w:suppressLineNumbers w:val="0"/>
                    <w:spacing w:before="0" w:beforeAutospacing="0" w:after="0" w:afterAutospacing="0"/>
                    <w:ind w:left="0" w:right="0"/>
                    <w:rPr>
                      <w:rFonts w:hint="default"/>
                    </w:rPr>
                  </w:pPr>
                  <w:r>
                    <w:rPr>
                      <w:rFonts w:hint="default"/>
                    </w:rPr>
                    <w:t>硫化氢</w:t>
                  </w:r>
                </w:p>
              </w:tc>
              <w:tc>
                <w:tcPr>
                  <w:tcW w:w="601" w:type="pct"/>
                  <w:tcBorders>
                    <w:tl2br w:val="nil"/>
                    <w:tr2bl w:val="nil"/>
                  </w:tcBorders>
                  <w:shd w:val="clear" w:color="auto" w:fill="auto"/>
                  <w:vAlign w:val="center"/>
                </w:tcPr>
                <w:p w14:paraId="6AA79EA5">
                  <w:pPr>
                    <w:pStyle w:val="26"/>
                    <w:keepNext w:val="0"/>
                    <w:keepLines w:val="0"/>
                    <w:suppressLineNumbers w:val="0"/>
                    <w:spacing w:before="0" w:beforeAutospacing="0" w:after="0" w:afterAutospacing="0"/>
                    <w:ind w:left="0" w:right="0"/>
                    <w:rPr>
                      <w:rFonts w:hint="default"/>
                    </w:rPr>
                  </w:pPr>
                  <w:r>
                    <w:rPr>
                      <w:rFonts w:hint="default"/>
                    </w:rPr>
                    <w:t>0.0002</w:t>
                  </w:r>
                </w:p>
              </w:tc>
              <w:tc>
                <w:tcPr>
                  <w:tcW w:w="590" w:type="pct"/>
                  <w:tcBorders>
                    <w:tl2br w:val="nil"/>
                    <w:tr2bl w:val="nil"/>
                  </w:tcBorders>
                  <w:shd w:val="clear" w:color="auto" w:fill="auto"/>
                  <w:vAlign w:val="center"/>
                </w:tcPr>
                <w:p w14:paraId="042BB0F8">
                  <w:pPr>
                    <w:pStyle w:val="26"/>
                    <w:keepNext w:val="0"/>
                    <w:keepLines w:val="0"/>
                    <w:suppressLineNumbers w:val="0"/>
                    <w:spacing w:before="0" w:beforeAutospacing="0" w:after="0" w:afterAutospacing="0"/>
                    <w:ind w:left="0" w:right="0"/>
                    <w:rPr>
                      <w:rFonts w:hint="default"/>
                    </w:rPr>
                  </w:pPr>
                  <w:r>
                    <w:rPr>
                      <w:rFonts w:hint="default"/>
                    </w:rPr>
                    <w:t>12</w:t>
                  </w:r>
                </w:p>
              </w:tc>
              <w:tc>
                <w:tcPr>
                  <w:tcW w:w="473" w:type="pct"/>
                  <w:tcBorders>
                    <w:tl2br w:val="nil"/>
                    <w:tr2bl w:val="nil"/>
                  </w:tcBorders>
                  <w:shd w:val="clear" w:color="auto" w:fill="auto"/>
                  <w:vAlign w:val="center"/>
                </w:tcPr>
                <w:p w14:paraId="11CDE045">
                  <w:pPr>
                    <w:pStyle w:val="26"/>
                    <w:keepNext w:val="0"/>
                    <w:keepLines w:val="0"/>
                    <w:suppressLineNumbers w:val="0"/>
                    <w:spacing w:before="0" w:beforeAutospacing="0" w:after="0" w:afterAutospacing="0"/>
                    <w:ind w:left="0" w:right="0"/>
                    <w:rPr>
                      <w:rFonts w:hint="default"/>
                    </w:rPr>
                  </w:pPr>
                  <w:r>
                    <w:rPr>
                      <w:rFonts w:hint="default"/>
                    </w:rPr>
                    <w:t>0.169</w:t>
                  </w:r>
                </w:p>
              </w:tc>
              <w:tc>
                <w:tcPr>
                  <w:tcW w:w="458" w:type="pct"/>
                  <w:vMerge w:val="continue"/>
                  <w:tcBorders>
                    <w:tl2br w:val="nil"/>
                    <w:tr2bl w:val="nil"/>
                  </w:tcBorders>
                  <w:shd w:val="clear" w:color="auto" w:fill="auto"/>
                  <w:vAlign w:val="center"/>
                </w:tcPr>
                <w:p w14:paraId="3400903B">
                  <w:pPr>
                    <w:pStyle w:val="26"/>
                    <w:keepNext w:val="0"/>
                    <w:keepLines w:val="0"/>
                    <w:suppressLineNumbers w:val="0"/>
                    <w:spacing w:before="0" w:beforeAutospacing="0" w:after="0" w:afterAutospacing="0"/>
                    <w:ind w:left="0" w:right="0"/>
                    <w:rPr>
                      <w:rFonts w:hint="default"/>
                    </w:rPr>
                  </w:pPr>
                </w:p>
              </w:tc>
              <w:tc>
                <w:tcPr>
                  <w:tcW w:w="384" w:type="pct"/>
                  <w:vMerge w:val="continue"/>
                  <w:tcBorders>
                    <w:tl2br w:val="nil"/>
                    <w:tr2bl w:val="nil"/>
                  </w:tcBorders>
                  <w:shd w:val="clear" w:color="auto" w:fill="auto"/>
                  <w:vAlign w:val="center"/>
                </w:tcPr>
                <w:p w14:paraId="02C2B3C1">
                  <w:pPr>
                    <w:pStyle w:val="26"/>
                    <w:keepNext w:val="0"/>
                    <w:keepLines w:val="0"/>
                    <w:suppressLineNumbers w:val="0"/>
                    <w:spacing w:before="0" w:beforeAutospacing="0" w:after="0" w:afterAutospacing="0"/>
                    <w:ind w:left="0" w:right="0"/>
                    <w:rPr>
                      <w:rFonts w:hint="default"/>
                    </w:rPr>
                  </w:pPr>
                </w:p>
              </w:tc>
              <w:tc>
                <w:tcPr>
                  <w:tcW w:w="634" w:type="pct"/>
                  <w:vMerge w:val="continue"/>
                  <w:tcBorders>
                    <w:tl2br w:val="nil"/>
                    <w:tr2bl w:val="nil"/>
                  </w:tcBorders>
                  <w:shd w:val="clear" w:color="auto" w:fill="auto"/>
                  <w:vAlign w:val="center"/>
                </w:tcPr>
                <w:p w14:paraId="770DC3BC">
                  <w:pPr>
                    <w:pStyle w:val="26"/>
                    <w:keepNext w:val="0"/>
                    <w:keepLines w:val="0"/>
                    <w:suppressLineNumbers w:val="0"/>
                    <w:spacing w:before="0" w:beforeAutospacing="0" w:after="0" w:afterAutospacing="0"/>
                    <w:ind w:left="0" w:right="0"/>
                    <w:rPr>
                      <w:rFonts w:hint="default"/>
                    </w:rPr>
                  </w:pPr>
                </w:p>
              </w:tc>
            </w:tr>
          </w:tbl>
          <w:p w14:paraId="0A81F3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为防止生产废气非正常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B673F3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（1）安排专人负责环保设备的日常维护和管理，</w:t>
            </w:r>
            <w:r>
              <w:rPr>
                <w:rFonts w:hint="eastAsia" w:cs="Times New Roman"/>
                <w:color w:val="auto"/>
              </w:rPr>
              <w:t>每隔</w:t>
            </w:r>
            <w:r>
              <w:rPr>
                <w:rFonts w:hint="default" w:cs="Times New Roman"/>
                <w:color w:val="auto"/>
              </w:rPr>
              <w:t>固定时间检查、汇报情况，及时发现废气处理设备的隐患，确保废气处理系统正常运行；</w:t>
            </w:r>
          </w:p>
          <w:p w14:paraId="7954C8B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（2）建立健全的环保管理机构，对环保管理人员和技术人员进行岗位培训，委托具有专业资质的环境检测单位对项目排放的各类污染物进行定期检测；</w:t>
            </w:r>
          </w:p>
          <w:p w14:paraId="530A4BD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应定期维护、检修废气净化装置，以保持废气处理装置的净化能力。</w:t>
            </w:r>
          </w:p>
          <w:p w14:paraId="3BC9580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6、跟踪监测计划</w:t>
            </w:r>
          </w:p>
          <w:p w14:paraId="6871899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按照《排污单位自行监测技术指南 无机化学工业》（HJ 1138-2020）、《排污许可证申请与核发技术规范 食品制造工业—方便食品、食品及饲料添加剂制造工业》（HJ 1030.3—2019）及《排污单位自行监测技术指南 储油库、加油站》（HJ1249-2022）等，本次环评建议项目制定以下监测计划：</w:t>
            </w:r>
          </w:p>
          <w:p w14:paraId="5D3B8996">
            <w:pPr>
              <w:pStyle w:val="33"/>
              <w:keepNext w:val="0"/>
              <w:keepLines w:val="0"/>
              <w:suppressLineNumbers w:val="0"/>
              <w:spacing w:before="0" w:beforeAutospacing="0" w:after="0" w:afterAutospacing="0"/>
              <w:ind w:left="0" w:right="0"/>
              <w:rPr>
                <w:rFonts w:hint="default" w:cs="Times New Roman"/>
              </w:rPr>
            </w:pPr>
            <w:r>
              <w:rPr>
                <w:rFonts w:hint="default" w:cs="Times New Roman"/>
              </w:rPr>
              <w:t>废气监测计划一览表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822"/>
              <w:gridCol w:w="897"/>
              <w:gridCol w:w="1498"/>
              <w:gridCol w:w="1050"/>
              <w:gridCol w:w="2656"/>
            </w:tblGrid>
            <w:tr w14:paraId="19008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3" w:type="pct"/>
                  <w:tcBorders>
                    <w:tl2br w:val="nil"/>
                    <w:tr2bl w:val="nil"/>
                  </w:tcBorders>
                  <w:shd w:val="clear" w:color="auto" w:fill="auto"/>
                  <w:vAlign w:val="center"/>
                </w:tcPr>
                <w:p w14:paraId="60037270">
                  <w:pPr>
                    <w:pStyle w:val="26"/>
                    <w:keepNext w:val="0"/>
                    <w:keepLines w:val="0"/>
                    <w:suppressLineNumbers w:val="0"/>
                    <w:spacing w:before="0" w:beforeAutospacing="0" w:after="0" w:afterAutospacing="0"/>
                    <w:ind w:left="0" w:right="0"/>
                    <w:rPr>
                      <w:rFonts w:hint="default"/>
                    </w:rPr>
                  </w:pPr>
                  <w:r>
                    <w:rPr>
                      <w:rFonts w:hint="default"/>
                    </w:rPr>
                    <w:t>类型</w:t>
                  </w:r>
                </w:p>
              </w:tc>
              <w:tc>
                <w:tcPr>
                  <w:tcW w:w="542" w:type="pct"/>
                  <w:tcBorders>
                    <w:tl2br w:val="nil"/>
                    <w:tr2bl w:val="nil"/>
                  </w:tcBorders>
                  <w:shd w:val="clear" w:color="auto" w:fill="auto"/>
                  <w:vAlign w:val="center"/>
                </w:tcPr>
                <w:p w14:paraId="04A9A43F">
                  <w:pPr>
                    <w:pStyle w:val="26"/>
                    <w:keepNext w:val="0"/>
                    <w:keepLines w:val="0"/>
                    <w:suppressLineNumbers w:val="0"/>
                    <w:spacing w:before="0" w:beforeAutospacing="0" w:after="0" w:afterAutospacing="0"/>
                    <w:ind w:left="0" w:right="0"/>
                    <w:rPr>
                      <w:rFonts w:hint="default"/>
                    </w:rPr>
                  </w:pPr>
                  <w:r>
                    <w:rPr>
                      <w:rFonts w:hint="default"/>
                    </w:rPr>
                    <w:t>污染源</w:t>
                  </w:r>
                </w:p>
              </w:tc>
              <w:tc>
                <w:tcPr>
                  <w:tcW w:w="592" w:type="pct"/>
                  <w:tcBorders>
                    <w:tl2br w:val="nil"/>
                    <w:tr2bl w:val="nil"/>
                  </w:tcBorders>
                  <w:shd w:val="clear" w:color="auto" w:fill="auto"/>
                  <w:vAlign w:val="center"/>
                </w:tcPr>
                <w:p w14:paraId="5C14B5EF">
                  <w:pPr>
                    <w:pStyle w:val="26"/>
                    <w:keepNext w:val="0"/>
                    <w:keepLines w:val="0"/>
                    <w:suppressLineNumbers w:val="0"/>
                    <w:spacing w:before="0" w:beforeAutospacing="0" w:after="0" w:afterAutospacing="0"/>
                    <w:ind w:left="0" w:right="0"/>
                    <w:rPr>
                      <w:rFonts w:hint="default"/>
                    </w:rPr>
                  </w:pPr>
                  <w:r>
                    <w:rPr>
                      <w:rFonts w:hint="default"/>
                    </w:rPr>
                    <w:t>监测点位</w:t>
                  </w:r>
                </w:p>
              </w:tc>
              <w:tc>
                <w:tcPr>
                  <w:tcW w:w="988" w:type="pct"/>
                  <w:tcBorders>
                    <w:tl2br w:val="nil"/>
                    <w:tr2bl w:val="nil"/>
                  </w:tcBorders>
                  <w:shd w:val="clear" w:color="auto" w:fill="auto"/>
                  <w:vAlign w:val="center"/>
                </w:tcPr>
                <w:p w14:paraId="2CEF7AE1">
                  <w:pPr>
                    <w:pStyle w:val="26"/>
                    <w:keepNext w:val="0"/>
                    <w:keepLines w:val="0"/>
                    <w:suppressLineNumbers w:val="0"/>
                    <w:spacing w:before="0" w:beforeAutospacing="0" w:after="0" w:afterAutospacing="0"/>
                    <w:ind w:left="0" w:right="0"/>
                    <w:rPr>
                      <w:rFonts w:hint="default"/>
                    </w:rPr>
                  </w:pPr>
                  <w:r>
                    <w:rPr>
                      <w:rFonts w:hint="default"/>
                    </w:rPr>
                    <w:t>监测因子</w:t>
                  </w:r>
                </w:p>
              </w:tc>
              <w:tc>
                <w:tcPr>
                  <w:tcW w:w="693" w:type="pct"/>
                  <w:tcBorders>
                    <w:tl2br w:val="nil"/>
                    <w:tr2bl w:val="nil"/>
                  </w:tcBorders>
                  <w:shd w:val="clear" w:color="auto" w:fill="auto"/>
                  <w:vAlign w:val="center"/>
                </w:tcPr>
                <w:p w14:paraId="37573F36">
                  <w:pPr>
                    <w:pStyle w:val="26"/>
                    <w:keepNext w:val="0"/>
                    <w:keepLines w:val="0"/>
                    <w:suppressLineNumbers w:val="0"/>
                    <w:spacing w:before="0" w:beforeAutospacing="0" w:after="0" w:afterAutospacing="0"/>
                    <w:ind w:left="0" w:right="0"/>
                    <w:rPr>
                      <w:rFonts w:hint="default"/>
                    </w:rPr>
                  </w:pPr>
                  <w:r>
                    <w:rPr>
                      <w:rFonts w:hint="default"/>
                    </w:rPr>
                    <w:t>监测频次</w:t>
                  </w:r>
                </w:p>
              </w:tc>
              <w:tc>
                <w:tcPr>
                  <w:tcW w:w="1752" w:type="pct"/>
                  <w:tcBorders>
                    <w:tl2br w:val="nil"/>
                    <w:tr2bl w:val="nil"/>
                  </w:tcBorders>
                  <w:shd w:val="clear" w:color="auto" w:fill="auto"/>
                  <w:vAlign w:val="center"/>
                </w:tcPr>
                <w:p w14:paraId="0680D390">
                  <w:pPr>
                    <w:pStyle w:val="26"/>
                    <w:keepNext w:val="0"/>
                    <w:keepLines w:val="0"/>
                    <w:suppressLineNumbers w:val="0"/>
                    <w:spacing w:before="0" w:beforeAutospacing="0" w:after="0" w:afterAutospacing="0"/>
                    <w:ind w:left="0" w:right="0"/>
                    <w:rPr>
                      <w:rFonts w:hint="default"/>
                    </w:rPr>
                  </w:pPr>
                  <w:r>
                    <w:rPr>
                      <w:rFonts w:hint="default"/>
                    </w:rPr>
                    <w:t>执行标准</w:t>
                  </w:r>
                </w:p>
              </w:tc>
            </w:tr>
            <w:tr w14:paraId="7F64B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3" w:type="pct"/>
                  <w:vMerge w:val="restart"/>
                  <w:tcBorders>
                    <w:tl2br w:val="nil"/>
                    <w:tr2bl w:val="nil"/>
                  </w:tcBorders>
                  <w:shd w:val="clear" w:color="auto" w:fill="auto"/>
                  <w:vAlign w:val="center"/>
                </w:tcPr>
                <w:p w14:paraId="2BB9FC8F">
                  <w:pPr>
                    <w:pStyle w:val="26"/>
                    <w:keepNext w:val="0"/>
                    <w:keepLines w:val="0"/>
                    <w:suppressLineNumbers w:val="0"/>
                    <w:spacing w:before="0" w:beforeAutospacing="0" w:after="0" w:afterAutospacing="0"/>
                    <w:ind w:left="0" w:right="0"/>
                    <w:rPr>
                      <w:rFonts w:hint="default"/>
                    </w:rPr>
                  </w:pPr>
                  <w:r>
                    <w:rPr>
                      <w:rFonts w:hint="default"/>
                    </w:rPr>
                    <w:t>废气</w:t>
                  </w:r>
                </w:p>
              </w:tc>
              <w:tc>
                <w:tcPr>
                  <w:tcW w:w="542" w:type="pct"/>
                  <w:vMerge w:val="restart"/>
                  <w:tcBorders>
                    <w:tl2br w:val="nil"/>
                    <w:tr2bl w:val="nil"/>
                  </w:tcBorders>
                  <w:shd w:val="clear" w:color="auto" w:fill="auto"/>
                  <w:vAlign w:val="center"/>
                </w:tcPr>
                <w:p w14:paraId="61FF931A">
                  <w:pPr>
                    <w:pStyle w:val="26"/>
                    <w:keepNext w:val="0"/>
                    <w:keepLines w:val="0"/>
                    <w:suppressLineNumbers w:val="0"/>
                    <w:spacing w:before="0" w:beforeAutospacing="0" w:after="0" w:afterAutospacing="0"/>
                    <w:ind w:left="0" w:right="0"/>
                    <w:rPr>
                      <w:rFonts w:hint="default"/>
                    </w:rPr>
                  </w:pPr>
                  <w:r>
                    <w:rPr>
                      <w:rFonts w:hint="default"/>
                    </w:rPr>
                    <w:t>有组织</w:t>
                  </w:r>
                </w:p>
              </w:tc>
              <w:tc>
                <w:tcPr>
                  <w:tcW w:w="592" w:type="pct"/>
                  <w:vMerge w:val="restart"/>
                  <w:tcBorders>
                    <w:tl2br w:val="nil"/>
                    <w:tr2bl w:val="nil"/>
                  </w:tcBorders>
                  <w:shd w:val="clear" w:color="auto" w:fill="auto"/>
                  <w:vAlign w:val="center"/>
                </w:tcPr>
                <w:p w14:paraId="2721ED3D">
                  <w:pPr>
                    <w:pStyle w:val="26"/>
                    <w:keepNext w:val="0"/>
                    <w:keepLines w:val="0"/>
                    <w:suppressLineNumbers w:val="0"/>
                    <w:spacing w:before="0" w:beforeAutospacing="0" w:after="0" w:afterAutospacing="0"/>
                    <w:ind w:left="0" w:right="0"/>
                    <w:rPr>
                      <w:rFonts w:hint="default"/>
                    </w:rPr>
                  </w:pPr>
                  <w:r>
                    <w:rPr>
                      <w:rFonts w:hint="default"/>
                    </w:rPr>
                    <w:t>DA001</w:t>
                  </w:r>
                </w:p>
              </w:tc>
              <w:tc>
                <w:tcPr>
                  <w:tcW w:w="988" w:type="pct"/>
                  <w:tcBorders>
                    <w:tl2br w:val="nil"/>
                    <w:tr2bl w:val="nil"/>
                  </w:tcBorders>
                  <w:shd w:val="clear" w:color="auto" w:fill="auto"/>
                  <w:vAlign w:val="center"/>
                </w:tcPr>
                <w:p w14:paraId="40FEB3C1">
                  <w:pPr>
                    <w:pStyle w:val="26"/>
                    <w:keepNext w:val="0"/>
                    <w:keepLines w:val="0"/>
                    <w:suppressLineNumbers w:val="0"/>
                    <w:spacing w:before="0" w:beforeAutospacing="0" w:after="0" w:afterAutospacing="0"/>
                    <w:ind w:left="0" w:right="0"/>
                    <w:rPr>
                      <w:rFonts w:hint="default"/>
                    </w:rPr>
                  </w:pPr>
                  <w:r>
                    <w:rPr>
                      <w:rFonts w:hint="default"/>
                    </w:rPr>
                    <w:t>颗粒物</w:t>
                  </w:r>
                </w:p>
              </w:tc>
              <w:tc>
                <w:tcPr>
                  <w:tcW w:w="693" w:type="pct"/>
                  <w:vMerge w:val="restart"/>
                  <w:tcBorders>
                    <w:tl2br w:val="nil"/>
                    <w:tr2bl w:val="nil"/>
                  </w:tcBorders>
                  <w:shd w:val="clear" w:color="auto" w:fill="auto"/>
                  <w:vAlign w:val="center"/>
                </w:tcPr>
                <w:p w14:paraId="1B0E64DF">
                  <w:pPr>
                    <w:pStyle w:val="26"/>
                    <w:keepNext w:val="0"/>
                    <w:keepLines w:val="0"/>
                    <w:suppressLineNumbers w:val="0"/>
                    <w:spacing w:before="0" w:beforeAutospacing="0" w:after="0" w:afterAutospacing="0"/>
                    <w:ind w:left="0" w:right="0"/>
                    <w:rPr>
                      <w:rFonts w:hint="default"/>
                    </w:rPr>
                  </w:pPr>
                  <w:r>
                    <w:rPr>
                      <w:rFonts w:hint="default"/>
                    </w:rPr>
                    <w:t>1次/半年</w:t>
                  </w:r>
                </w:p>
              </w:tc>
              <w:tc>
                <w:tcPr>
                  <w:tcW w:w="1752" w:type="pct"/>
                  <w:vMerge w:val="restart"/>
                  <w:tcBorders>
                    <w:tl2br w:val="nil"/>
                    <w:tr2bl w:val="nil"/>
                  </w:tcBorders>
                  <w:shd w:val="clear" w:color="auto" w:fill="auto"/>
                  <w:vAlign w:val="center"/>
                </w:tcPr>
                <w:p w14:paraId="287B3CD8">
                  <w:pPr>
                    <w:pStyle w:val="26"/>
                    <w:keepNext w:val="0"/>
                    <w:keepLines w:val="0"/>
                    <w:suppressLineNumbers w:val="0"/>
                    <w:spacing w:before="0" w:beforeAutospacing="0" w:after="0" w:afterAutospacing="0"/>
                    <w:ind w:left="0" w:right="0"/>
                    <w:rPr>
                      <w:rFonts w:hint="default"/>
                    </w:rPr>
                  </w:pPr>
                  <w:r>
                    <w:rPr>
                      <w:rFonts w:hint="default"/>
                    </w:rPr>
                    <w:t>《无机化学工业污染物排放标准》（GB31573-2015）及其修改单</w:t>
                  </w:r>
                </w:p>
              </w:tc>
            </w:tr>
            <w:tr w14:paraId="1660D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0" w:hRule="atLeast"/>
              </w:trPr>
              <w:tc>
                <w:tcPr>
                  <w:tcW w:w="433" w:type="pct"/>
                  <w:vMerge w:val="continue"/>
                  <w:tcBorders>
                    <w:tl2br w:val="nil"/>
                    <w:tr2bl w:val="nil"/>
                  </w:tcBorders>
                  <w:shd w:val="clear" w:color="auto" w:fill="auto"/>
                  <w:vAlign w:val="center"/>
                </w:tcPr>
                <w:p w14:paraId="7B8A66E6">
                  <w:pPr>
                    <w:pStyle w:val="26"/>
                    <w:keepNext w:val="0"/>
                    <w:keepLines w:val="0"/>
                    <w:suppressLineNumbers w:val="0"/>
                    <w:spacing w:before="0" w:beforeAutospacing="0" w:after="0" w:afterAutospacing="0"/>
                    <w:ind w:left="0" w:right="0"/>
                    <w:rPr>
                      <w:rFonts w:hint="default"/>
                    </w:rPr>
                  </w:pPr>
                </w:p>
              </w:tc>
              <w:tc>
                <w:tcPr>
                  <w:tcW w:w="542" w:type="pct"/>
                  <w:vMerge w:val="continue"/>
                  <w:tcBorders>
                    <w:tl2br w:val="nil"/>
                    <w:tr2bl w:val="nil"/>
                  </w:tcBorders>
                  <w:shd w:val="clear" w:color="auto" w:fill="auto"/>
                  <w:vAlign w:val="center"/>
                </w:tcPr>
                <w:p w14:paraId="62DC1032">
                  <w:pPr>
                    <w:pStyle w:val="26"/>
                    <w:keepNext w:val="0"/>
                    <w:keepLines w:val="0"/>
                    <w:suppressLineNumbers w:val="0"/>
                    <w:spacing w:before="0" w:beforeAutospacing="0" w:after="0" w:afterAutospacing="0"/>
                    <w:ind w:left="0" w:right="0"/>
                    <w:rPr>
                      <w:rFonts w:hint="default"/>
                    </w:rPr>
                  </w:pPr>
                </w:p>
              </w:tc>
              <w:tc>
                <w:tcPr>
                  <w:tcW w:w="592" w:type="pct"/>
                  <w:vMerge w:val="continue"/>
                  <w:tcBorders>
                    <w:tl2br w:val="nil"/>
                    <w:tr2bl w:val="nil"/>
                  </w:tcBorders>
                  <w:shd w:val="clear" w:color="auto" w:fill="auto"/>
                  <w:vAlign w:val="center"/>
                </w:tcPr>
                <w:p w14:paraId="696DCF31">
                  <w:pPr>
                    <w:pStyle w:val="26"/>
                    <w:keepNext w:val="0"/>
                    <w:keepLines w:val="0"/>
                    <w:suppressLineNumbers w:val="0"/>
                    <w:spacing w:before="0" w:beforeAutospacing="0" w:after="0" w:afterAutospacing="0"/>
                    <w:ind w:left="0" w:right="0"/>
                    <w:rPr>
                      <w:rFonts w:hint="default"/>
                    </w:rPr>
                  </w:pPr>
                </w:p>
              </w:tc>
              <w:tc>
                <w:tcPr>
                  <w:tcW w:w="988" w:type="pct"/>
                  <w:tcBorders>
                    <w:tl2br w:val="nil"/>
                    <w:tr2bl w:val="nil"/>
                  </w:tcBorders>
                  <w:shd w:val="clear" w:color="auto" w:fill="auto"/>
                  <w:noWrap/>
                  <w:vAlign w:val="center"/>
                </w:tcPr>
                <w:p w14:paraId="204CA072">
                  <w:pPr>
                    <w:pStyle w:val="26"/>
                    <w:keepNext w:val="0"/>
                    <w:keepLines w:val="0"/>
                    <w:suppressLineNumbers w:val="0"/>
                    <w:spacing w:before="0" w:beforeAutospacing="0" w:after="0" w:afterAutospacing="0"/>
                    <w:ind w:left="0" w:right="0"/>
                    <w:rPr>
                      <w:rFonts w:hint="default"/>
                    </w:rPr>
                  </w:pPr>
                  <w:r>
                    <w:rPr>
                      <w:rFonts w:hint="default"/>
                    </w:rPr>
                    <w:t>硫化氢</w:t>
                  </w:r>
                </w:p>
              </w:tc>
              <w:tc>
                <w:tcPr>
                  <w:tcW w:w="693" w:type="pct"/>
                  <w:vMerge w:val="continue"/>
                  <w:tcBorders>
                    <w:tl2br w:val="nil"/>
                    <w:tr2bl w:val="nil"/>
                  </w:tcBorders>
                  <w:shd w:val="clear" w:color="auto" w:fill="auto"/>
                  <w:noWrap/>
                  <w:vAlign w:val="center"/>
                </w:tcPr>
                <w:p w14:paraId="7A49B2E1">
                  <w:pPr>
                    <w:pStyle w:val="26"/>
                    <w:keepNext w:val="0"/>
                    <w:keepLines w:val="0"/>
                    <w:suppressLineNumbers w:val="0"/>
                    <w:spacing w:before="0" w:beforeAutospacing="0" w:after="0" w:afterAutospacing="0"/>
                    <w:ind w:left="0" w:right="0"/>
                    <w:rPr>
                      <w:rFonts w:hint="default"/>
                    </w:rPr>
                  </w:pPr>
                </w:p>
              </w:tc>
              <w:tc>
                <w:tcPr>
                  <w:tcW w:w="1752" w:type="pct"/>
                  <w:vMerge w:val="continue"/>
                  <w:tcBorders>
                    <w:tl2br w:val="nil"/>
                    <w:tr2bl w:val="nil"/>
                  </w:tcBorders>
                  <w:shd w:val="clear" w:color="auto" w:fill="auto"/>
                  <w:vAlign w:val="center"/>
                </w:tcPr>
                <w:p w14:paraId="5B5BE8EC">
                  <w:pPr>
                    <w:pStyle w:val="26"/>
                    <w:keepNext w:val="0"/>
                    <w:keepLines w:val="0"/>
                    <w:suppressLineNumbers w:val="0"/>
                    <w:spacing w:before="0" w:beforeAutospacing="0" w:after="0" w:afterAutospacing="0"/>
                    <w:ind w:left="0" w:right="0"/>
                    <w:rPr>
                      <w:rFonts w:hint="default"/>
                    </w:rPr>
                  </w:pPr>
                </w:p>
              </w:tc>
            </w:tr>
            <w:tr w14:paraId="088106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0" w:hRule="atLeast"/>
              </w:trPr>
              <w:tc>
                <w:tcPr>
                  <w:tcW w:w="433" w:type="pct"/>
                  <w:vMerge w:val="continue"/>
                  <w:tcBorders>
                    <w:tl2br w:val="nil"/>
                    <w:tr2bl w:val="nil"/>
                  </w:tcBorders>
                  <w:shd w:val="clear" w:color="auto" w:fill="auto"/>
                  <w:vAlign w:val="center"/>
                </w:tcPr>
                <w:p w14:paraId="16C3C7D8">
                  <w:pPr>
                    <w:pStyle w:val="26"/>
                    <w:keepNext w:val="0"/>
                    <w:keepLines w:val="0"/>
                    <w:suppressLineNumbers w:val="0"/>
                    <w:spacing w:before="0" w:beforeAutospacing="0" w:after="0" w:afterAutospacing="0"/>
                    <w:ind w:left="0" w:right="0"/>
                    <w:rPr>
                      <w:rFonts w:hint="default"/>
                    </w:rPr>
                  </w:pPr>
                </w:p>
              </w:tc>
              <w:tc>
                <w:tcPr>
                  <w:tcW w:w="542" w:type="pct"/>
                  <w:vMerge w:val="restart"/>
                  <w:tcBorders>
                    <w:tl2br w:val="nil"/>
                    <w:tr2bl w:val="nil"/>
                  </w:tcBorders>
                  <w:shd w:val="clear" w:color="auto" w:fill="auto"/>
                  <w:vAlign w:val="center"/>
                </w:tcPr>
                <w:p w14:paraId="7849225B">
                  <w:pPr>
                    <w:pStyle w:val="26"/>
                    <w:keepNext w:val="0"/>
                    <w:keepLines w:val="0"/>
                    <w:suppressLineNumbers w:val="0"/>
                    <w:spacing w:before="0" w:beforeAutospacing="0" w:after="0" w:afterAutospacing="0"/>
                    <w:ind w:left="0" w:right="0"/>
                    <w:rPr>
                      <w:rFonts w:hint="default"/>
                    </w:rPr>
                  </w:pPr>
                  <w:r>
                    <w:rPr>
                      <w:rFonts w:hint="default"/>
                    </w:rPr>
                    <w:t>无组织</w:t>
                  </w:r>
                </w:p>
              </w:tc>
              <w:tc>
                <w:tcPr>
                  <w:tcW w:w="592" w:type="pct"/>
                  <w:vMerge w:val="restart"/>
                  <w:tcBorders>
                    <w:tl2br w:val="nil"/>
                    <w:tr2bl w:val="nil"/>
                  </w:tcBorders>
                  <w:shd w:val="clear" w:color="auto" w:fill="auto"/>
                  <w:vAlign w:val="center"/>
                </w:tcPr>
                <w:p w14:paraId="451DEE0D">
                  <w:pPr>
                    <w:pStyle w:val="26"/>
                    <w:keepNext w:val="0"/>
                    <w:keepLines w:val="0"/>
                    <w:suppressLineNumbers w:val="0"/>
                    <w:spacing w:before="0" w:beforeAutospacing="0" w:after="0" w:afterAutospacing="0"/>
                    <w:ind w:left="0" w:right="0"/>
                    <w:rPr>
                      <w:rFonts w:hint="default"/>
                    </w:rPr>
                  </w:pPr>
                  <w:r>
                    <w:rPr>
                      <w:rFonts w:hint="default"/>
                    </w:rPr>
                    <w:t>厂界</w:t>
                  </w:r>
                </w:p>
              </w:tc>
              <w:tc>
                <w:tcPr>
                  <w:tcW w:w="988" w:type="pct"/>
                  <w:tcBorders>
                    <w:tl2br w:val="nil"/>
                    <w:tr2bl w:val="nil"/>
                  </w:tcBorders>
                  <w:shd w:val="clear" w:color="auto" w:fill="auto"/>
                  <w:vAlign w:val="center"/>
                </w:tcPr>
                <w:p w14:paraId="03079ED9">
                  <w:pPr>
                    <w:pStyle w:val="26"/>
                    <w:keepNext w:val="0"/>
                    <w:keepLines w:val="0"/>
                    <w:suppressLineNumbers w:val="0"/>
                    <w:spacing w:before="0" w:beforeAutospacing="0" w:after="0" w:afterAutospacing="0"/>
                    <w:ind w:left="0" w:right="0"/>
                    <w:rPr>
                      <w:rFonts w:hint="default"/>
                    </w:rPr>
                  </w:pPr>
                  <w:r>
                    <w:rPr>
                      <w:rFonts w:hint="default"/>
                    </w:rPr>
                    <w:t>颗粒物</w:t>
                  </w:r>
                </w:p>
              </w:tc>
              <w:tc>
                <w:tcPr>
                  <w:tcW w:w="693" w:type="pct"/>
                  <w:tcBorders>
                    <w:tl2br w:val="nil"/>
                    <w:tr2bl w:val="nil"/>
                  </w:tcBorders>
                  <w:shd w:val="clear" w:color="auto" w:fill="auto"/>
                  <w:vAlign w:val="center"/>
                </w:tcPr>
                <w:p w14:paraId="4115EC22">
                  <w:pPr>
                    <w:pStyle w:val="26"/>
                    <w:keepNext w:val="0"/>
                    <w:keepLines w:val="0"/>
                    <w:suppressLineNumbers w:val="0"/>
                    <w:spacing w:before="0" w:beforeAutospacing="0" w:after="0" w:afterAutospacing="0"/>
                    <w:ind w:left="0" w:right="0"/>
                    <w:rPr>
                      <w:rFonts w:hint="default"/>
                    </w:rPr>
                  </w:pPr>
                  <w:r>
                    <w:rPr>
                      <w:rFonts w:hint="default"/>
                    </w:rPr>
                    <w:t>1次/半年</w:t>
                  </w:r>
                </w:p>
              </w:tc>
              <w:tc>
                <w:tcPr>
                  <w:tcW w:w="1752" w:type="pct"/>
                  <w:tcBorders>
                    <w:tl2br w:val="nil"/>
                    <w:tr2bl w:val="nil"/>
                  </w:tcBorders>
                  <w:shd w:val="clear" w:color="auto" w:fill="auto"/>
                  <w:vAlign w:val="center"/>
                </w:tcPr>
                <w:p w14:paraId="6B7DA506">
                  <w:pPr>
                    <w:pStyle w:val="26"/>
                    <w:keepNext w:val="0"/>
                    <w:keepLines w:val="0"/>
                    <w:suppressLineNumbers w:val="0"/>
                    <w:spacing w:before="0" w:beforeAutospacing="0" w:after="0" w:afterAutospacing="0"/>
                    <w:ind w:left="0" w:right="0"/>
                    <w:rPr>
                      <w:rFonts w:hint="default"/>
                    </w:rPr>
                  </w:pPr>
                  <w:r>
                    <w:rPr>
                      <w:rFonts w:hint="default"/>
                    </w:rPr>
                    <w:t>《大气污染物综合排放标准》（GB16297-1996）</w:t>
                  </w:r>
                </w:p>
              </w:tc>
            </w:tr>
            <w:tr w14:paraId="17FBE2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3" w:type="pct"/>
                  <w:vMerge w:val="continue"/>
                  <w:tcBorders>
                    <w:tl2br w:val="nil"/>
                    <w:tr2bl w:val="nil"/>
                  </w:tcBorders>
                  <w:shd w:val="clear" w:color="auto" w:fill="auto"/>
                  <w:vAlign w:val="center"/>
                </w:tcPr>
                <w:p w14:paraId="13795C0A">
                  <w:pPr>
                    <w:pStyle w:val="26"/>
                    <w:keepNext w:val="0"/>
                    <w:keepLines w:val="0"/>
                    <w:suppressLineNumbers w:val="0"/>
                    <w:spacing w:before="0" w:beforeAutospacing="0" w:after="0" w:afterAutospacing="0"/>
                    <w:ind w:left="0" w:right="0"/>
                    <w:rPr>
                      <w:rFonts w:hint="default"/>
                    </w:rPr>
                  </w:pPr>
                </w:p>
              </w:tc>
              <w:tc>
                <w:tcPr>
                  <w:tcW w:w="542" w:type="pct"/>
                  <w:vMerge w:val="continue"/>
                  <w:tcBorders>
                    <w:tl2br w:val="nil"/>
                    <w:tr2bl w:val="nil"/>
                  </w:tcBorders>
                  <w:shd w:val="clear" w:color="auto" w:fill="auto"/>
                  <w:vAlign w:val="center"/>
                </w:tcPr>
                <w:p w14:paraId="1C34F0DA">
                  <w:pPr>
                    <w:pStyle w:val="26"/>
                    <w:keepNext w:val="0"/>
                    <w:keepLines w:val="0"/>
                    <w:suppressLineNumbers w:val="0"/>
                    <w:spacing w:before="0" w:beforeAutospacing="0" w:after="0" w:afterAutospacing="0"/>
                    <w:ind w:left="0" w:right="0"/>
                    <w:rPr>
                      <w:rFonts w:hint="default"/>
                    </w:rPr>
                  </w:pPr>
                </w:p>
              </w:tc>
              <w:tc>
                <w:tcPr>
                  <w:tcW w:w="592" w:type="pct"/>
                  <w:vMerge w:val="continue"/>
                  <w:tcBorders>
                    <w:tl2br w:val="nil"/>
                    <w:tr2bl w:val="nil"/>
                  </w:tcBorders>
                  <w:shd w:val="clear" w:color="auto" w:fill="auto"/>
                  <w:vAlign w:val="center"/>
                </w:tcPr>
                <w:p w14:paraId="63797A3E">
                  <w:pPr>
                    <w:pStyle w:val="26"/>
                    <w:keepNext w:val="0"/>
                    <w:keepLines w:val="0"/>
                    <w:suppressLineNumbers w:val="0"/>
                    <w:spacing w:before="0" w:beforeAutospacing="0" w:after="0" w:afterAutospacing="0"/>
                    <w:ind w:left="0" w:right="0"/>
                    <w:rPr>
                      <w:rFonts w:hint="default"/>
                    </w:rPr>
                  </w:pPr>
                </w:p>
              </w:tc>
              <w:tc>
                <w:tcPr>
                  <w:tcW w:w="988" w:type="pct"/>
                  <w:tcBorders>
                    <w:tl2br w:val="nil"/>
                    <w:tr2bl w:val="nil"/>
                  </w:tcBorders>
                  <w:shd w:val="clear" w:color="auto" w:fill="auto"/>
                  <w:noWrap/>
                  <w:vAlign w:val="center"/>
                </w:tcPr>
                <w:p w14:paraId="4AAB81D0">
                  <w:pPr>
                    <w:pStyle w:val="26"/>
                    <w:keepNext w:val="0"/>
                    <w:keepLines w:val="0"/>
                    <w:suppressLineNumbers w:val="0"/>
                    <w:spacing w:before="0" w:beforeAutospacing="0" w:after="0" w:afterAutospacing="0"/>
                    <w:ind w:left="0" w:right="0"/>
                    <w:rPr>
                      <w:rFonts w:hint="default"/>
                    </w:rPr>
                  </w:pPr>
                  <w:r>
                    <w:rPr>
                      <w:rFonts w:hint="default"/>
                    </w:rPr>
                    <w:t>硫化氢</w:t>
                  </w:r>
                </w:p>
              </w:tc>
              <w:tc>
                <w:tcPr>
                  <w:tcW w:w="693" w:type="pct"/>
                  <w:tcBorders>
                    <w:tl2br w:val="nil"/>
                    <w:tr2bl w:val="nil"/>
                  </w:tcBorders>
                  <w:shd w:val="clear" w:color="auto" w:fill="auto"/>
                  <w:vAlign w:val="center"/>
                </w:tcPr>
                <w:p w14:paraId="17CA1346">
                  <w:pPr>
                    <w:pStyle w:val="26"/>
                    <w:keepNext w:val="0"/>
                    <w:keepLines w:val="0"/>
                    <w:suppressLineNumbers w:val="0"/>
                    <w:spacing w:before="0" w:beforeAutospacing="0" w:after="0" w:afterAutospacing="0"/>
                    <w:ind w:left="0" w:right="0"/>
                    <w:rPr>
                      <w:rFonts w:hint="default"/>
                    </w:rPr>
                  </w:pPr>
                  <w:r>
                    <w:rPr>
                      <w:rFonts w:hint="default"/>
                    </w:rPr>
                    <w:t>1次/半年</w:t>
                  </w:r>
                </w:p>
              </w:tc>
              <w:tc>
                <w:tcPr>
                  <w:tcW w:w="1752" w:type="pct"/>
                  <w:tcBorders>
                    <w:tl2br w:val="nil"/>
                    <w:tr2bl w:val="nil"/>
                  </w:tcBorders>
                  <w:shd w:val="clear" w:color="auto" w:fill="auto"/>
                  <w:vAlign w:val="center"/>
                </w:tcPr>
                <w:p w14:paraId="6A6253DA">
                  <w:pPr>
                    <w:pStyle w:val="26"/>
                    <w:keepNext w:val="0"/>
                    <w:keepLines w:val="0"/>
                    <w:suppressLineNumbers w:val="0"/>
                    <w:spacing w:before="0" w:beforeAutospacing="0" w:after="0" w:afterAutospacing="0"/>
                    <w:ind w:left="0" w:right="0"/>
                    <w:rPr>
                      <w:rFonts w:hint="default"/>
                    </w:rPr>
                  </w:pPr>
                  <w:r>
                    <w:rPr>
                      <w:rFonts w:hint="default"/>
                    </w:rPr>
                    <w:t>《无机化学工业污染物排放标准》（GB31573-2015）及其修改单</w:t>
                  </w:r>
                </w:p>
              </w:tc>
            </w:tr>
            <w:tr w14:paraId="25CCE5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0" w:hRule="atLeast"/>
              </w:trPr>
              <w:tc>
                <w:tcPr>
                  <w:tcW w:w="433" w:type="pct"/>
                  <w:vMerge w:val="continue"/>
                  <w:tcBorders>
                    <w:tl2br w:val="nil"/>
                    <w:tr2bl w:val="nil"/>
                  </w:tcBorders>
                  <w:shd w:val="clear" w:color="auto" w:fill="auto"/>
                  <w:vAlign w:val="center"/>
                </w:tcPr>
                <w:p w14:paraId="7C776A79">
                  <w:pPr>
                    <w:pStyle w:val="26"/>
                    <w:keepNext w:val="0"/>
                    <w:keepLines w:val="0"/>
                    <w:suppressLineNumbers w:val="0"/>
                    <w:spacing w:before="0" w:beforeAutospacing="0" w:after="0" w:afterAutospacing="0"/>
                    <w:ind w:left="0" w:right="0"/>
                    <w:rPr>
                      <w:rFonts w:hint="default"/>
                    </w:rPr>
                  </w:pPr>
                </w:p>
              </w:tc>
              <w:tc>
                <w:tcPr>
                  <w:tcW w:w="542" w:type="pct"/>
                  <w:vMerge w:val="continue"/>
                  <w:tcBorders>
                    <w:tl2br w:val="nil"/>
                    <w:tr2bl w:val="nil"/>
                  </w:tcBorders>
                  <w:shd w:val="clear" w:color="auto" w:fill="auto"/>
                  <w:vAlign w:val="center"/>
                </w:tcPr>
                <w:p w14:paraId="7C5D73B0">
                  <w:pPr>
                    <w:pStyle w:val="26"/>
                    <w:keepNext w:val="0"/>
                    <w:keepLines w:val="0"/>
                    <w:suppressLineNumbers w:val="0"/>
                    <w:spacing w:before="0" w:beforeAutospacing="0" w:after="0" w:afterAutospacing="0"/>
                    <w:ind w:left="0" w:right="0"/>
                    <w:rPr>
                      <w:rFonts w:hint="default"/>
                    </w:rPr>
                  </w:pPr>
                </w:p>
              </w:tc>
              <w:tc>
                <w:tcPr>
                  <w:tcW w:w="592" w:type="pct"/>
                  <w:vMerge w:val="continue"/>
                  <w:tcBorders>
                    <w:tl2br w:val="nil"/>
                    <w:tr2bl w:val="nil"/>
                  </w:tcBorders>
                  <w:shd w:val="clear" w:color="auto" w:fill="auto"/>
                  <w:vAlign w:val="center"/>
                </w:tcPr>
                <w:p w14:paraId="3DFA1C89">
                  <w:pPr>
                    <w:pStyle w:val="26"/>
                    <w:keepNext w:val="0"/>
                    <w:keepLines w:val="0"/>
                    <w:suppressLineNumbers w:val="0"/>
                    <w:spacing w:before="0" w:beforeAutospacing="0" w:after="0" w:afterAutospacing="0"/>
                    <w:ind w:left="0" w:right="0"/>
                    <w:rPr>
                      <w:rFonts w:hint="default"/>
                    </w:rPr>
                  </w:pPr>
                </w:p>
              </w:tc>
              <w:tc>
                <w:tcPr>
                  <w:tcW w:w="988" w:type="pct"/>
                  <w:tcBorders>
                    <w:tl2br w:val="nil"/>
                    <w:tr2bl w:val="nil"/>
                  </w:tcBorders>
                  <w:shd w:val="clear" w:color="auto" w:fill="auto"/>
                  <w:noWrap/>
                  <w:vAlign w:val="center"/>
                </w:tcPr>
                <w:p w14:paraId="598130C8">
                  <w:pPr>
                    <w:pStyle w:val="26"/>
                    <w:keepNext w:val="0"/>
                    <w:keepLines w:val="0"/>
                    <w:suppressLineNumbers w:val="0"/>
                    <w:spacing w:before="0" w:beforeAutospacing="0" w:after="0" w:afterAutospacing="0"/>
                    <w:ind w:left="0" w:right="0"/>
                    <w:rPr>
                      <w:rFonts w:hint="default"/>
                    </w:rPr>
                  </w:pPr>
                  <w:r>
                    <w:rPr>
                      <w:rFonts w:hint="default"/>
                    </w:rPr>
                    <w:t>非甲烷总烃</w:t>
                  </w:r>
                </w:p>
              </w:tc>
              <w:tc>
                <w:tcPr>
                  <w:tcW w:w="693" w:type="pct"/>
                  <w:tcBorders>
                    <w:tl2br w:val="nil"/>
                    <w:tr2bl w:val="nil"/>
                  </w:tcBorders>
                  <w:shd w:val="clear" w:color="auto" w:fill="auto"/>
                  <w:vAlign w:val="center"/>
                </w:tcPr>
                <w:p w14:paraId="0192AAF2">
                  <w:pPr>
                    <w:pStyle w:val="26"/>
                    <w:keepNext w:val="0"/>
                    <w:keepLines w:val="0"/>
                    <w:suppressLineNumbers w:val="0"/>
                    <w:spacing w:before="0" w:beforeAutospacing="0" w:after="0" w:afterAutospacing="0"/>
                    <w:ind w:left="0" w:right="0"/>
                    <w:rPr>
                      <w:rFonts w:hint="default"/>
                    </w:rPr>
                  </w:pPr>
                  <w:r>
                    <w:rPr>
                      <w:rFonts w:hint="default"/>
                    </w:rPr>
                    <w:t>1次/年</w:t>
                  </w:r>
                </w:p>
              </w:tc>
              <w:tc>
                <w:tcPr>
                  <w:tcW w:w="1752" w:type="pct"/>
                  <w:tcBorders>
                    <w:tl2br w:val="nil"/>
                    <w:tr2bl w:val="nil"/>
                  </w:tcBorders>
                  <w:shd w:val="clear" w:color="auto" w:fill="auto"/>
                  <w:vAlign w:val="center"/>
                </w:tcPr>
                <w:p w14:paraId="68F9637A">
                  <w:pPr>
                    <w:pStyle w:val="26"/>
                    <w:keepNext w:val="0"/>
                    <w:keepLines w:val="0"/>
                    <w:suppressLineNumbers w:val="0"/>
                    <w:spacing w:before="0" w:beforeAutospacing="0" w:after="0" w:afterAutospacing="0"/>
                    <w:ind w:left="0" w:right="0"/>
                    <w:rPr>
                      <w:rFonts w:hint="default"/>
                    </w:rPr>
                  </w:pPr>
                  <w:r>
                    <w:rPr>
                      <w:rFonts w:hint="default"/>
                    </w:rPr>
                    <w:t>《四川省加油站大气污染物排放标准》</w:t>
                  </w:r>
                </w:p>
              </w:tc>
            </w:tr>
          </w:tbl>
          <w:p w14:paraId="036301A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综上所述，严格落实本报告提出的各项大气污染防治措施后，本项目废气可实现达标排放，对周围环境影响较小。</w:t>
            </w:r>
          </w:p>
          <w:p w14:paraId="50C2ADEC">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二、废水产生及治理措施分析</w:t>
            </w:r>
          </w:p>
          <w:p w14:paraId="3093710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根据工程分析内容，项目营运期废水主要包括生活污水和生产废水。</w:t>
            </w:r>
          </w:p>
          <w:p w14:paraId="5187B1F6">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1、废水产生情况</w:t>
            </w:r>
          </w:p>
          <w:p w14:paraId="37A1B21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（1）生活污水</w:t>
            </w:r>
          </w:p>
          <w:p w14:paraId="5424EA9C">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color w:val="auto"/>
              </w:rPr>
              <w:t>本项目劳动定员30人，本项目员工生活用水量为1.5m</w:t>
            </w:r>
            <w:r>
              <w:rPr>
                <w:rFonts w:hint="default" w:cs="Times New Roman"/>
                <w:color w:val="auto"/>
                <w:vertAlign w:val="superscript"/>
              </w:rPr>
              <w:t>3</w:t>
            </w:r>
            <w:r>
              <w:rPr>
                <w:rFonts w:hint="default" w:cs="Times New Roman"/>
                <w:color w:val="auto"/>
              </w:rPr>
              <w:t>/d（501m</w:t>
            </w:r>
            <w:r>
              <w:rPr>
                <w:rFonts w:hint="default" w:cs="Times New Roman"/>
                <w:color w:val="auto"/>
                <w:vertAlign w:val="superscript"/>
              </w:rPr>
              <w:t>3</w:t>
            </w:r>
            <w:r>
              <w:rPr>
                <w:rFonts w:hint="default" w:cs="Times New Roman"/>
                <w:color w:val="auto"/>
              </w:rPr>
              <w:t>/a），食堂用水量为0.75m</w:t>
            </w:r>
            <w:r>
              <w:rPr>
                <w:rFonts w:hint="default" w:cs="Times New Roman"/>
                <w:color w:val="auto"/>
                <w:vertAlign w:val="superscript"/>
              </w:rPr>
              <w:t>3</w:t>
            </w:r>
            <w:r>
              <w:rPr>
                <w:rFonts w:hint="default" w:cs="Times New Roman"/>
                <w:color w:val="auto"/>
              </w:rPr>
              <w:t>/d（250.5m</w:t>
            </w:r>
            <w:r>
              <w:rPr>
                <w:rFonts w:hint="default" w:cs="Times New Roman"/>
                <w:color w:val="auto"/>
                <w:vertAlign w:val="superscript"/>
              </w:rPr>
              <w:t>3</w:t>
            </w:r>
            <w:r>
              <w:rPr>
                <w:rFonts w:hint="default" w:cs="Times New Roman"/>
                <w:color w:val="auto"/>
              </w:rPr>
              <w:t>/a），排放系数按0.80计算，则项目员工生活污水产生量为1.2m</w:t>
            </w:r>
            <w:r>
              <w:rPr>
                <w:rFonts w:hint="default" w:cs="Times New Roman"/>
                <w:color w:val="auto"/>
                <w:vertAlign w:val="superscript"/>
              </w:rPr>
              <w:t>3</w:t>
            </w:r>
            <w:r>
              <w:rPr>
                <w:rFonts w:hint="default" w:cs="Times New Roman"/>
                <w:color w:val="auto"/>
              </w:rPr>
              <w:t>/d（400.8m</w:t>
            </w:r>
            <w:r>
              <w:rPr>
                <w:rFonts w:hint="default" w:cs="Times New Roman"/>
                <w:color w:val="auto"/>
                <w:vertAlign w:val="superscript"/>
              </w:rPr>
              <w:t>3</w:t>
            </w:r>
            <w:r>
              <w:rPr>
                <w:rFonts w:hint="default" w:cs="Times New Roman"/>
                <w:color w:val="auto"/>
              </w:rPr>
              <w:t>/a），食堂废水产生量为0.6m</w:t>
            </w:r>
            <w:r>
              <w:rPr>
                <w:rFonts w:hint="default" w:cs="Times New Roman"/>
                <w:color w:val="auto"/>
                <w:vertAlign w:val="superscript"/>
              </w:rPr>
              <w:t>3</w:t>
            </w:r>
            <w:r>
              <w:rPr>
                <w:rFonts w:hint="default" w:cs="Times New Roman"/>
                <w:color w:val="auto"/>
              </w:rPr>
              <w:t>/d（200.4m</w:t>
            </w:r>
            <w:r>
              <w:rPr>
                <w:rFonts w:hint="default" w:cs="Times New Roman"/>
                <w:color w:val="auto"/>
                <w:vertAlign w:val="superscript"/>
              </w:rPr>
              <w:t>3</w:t>
            </w:r>
            <w:r>
              <w:rPr>
                <w:rFonts w:hint="default" w:cs="Times New Roman"/>
                <w:color w:val="auto"/>
              </w:rPr>
              <w:t>/a）。</w:t>
            </w:r>
          </w:p>
          <w:p w14:paraId="0F2FDDD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bCs/>
                <w:color w:val="auto"/>
                <w:kern w:val="0"/>
                <w:lang w:bidi="ar"/>
              </w:rPr>
              <w:t>本项目生活污水</w:t>
            </w:r>
            <w:r>
              <w:rPr>
                <w:rFonts w:hint="default" w:cs="Times New Roman"/>
                <w:color w:val="auto"/>
              </w:rPr>
              <w:t>主要污染物包括pH、COD、BOD</w:t>
            </w:r>
            <w:r>
              <w:rPr>
                <w:rFonts w:hint="default" w:cs="Times New Roman"/>
                <w:color w:val="auto"/>
                <w:vertAlign w:val="subscript"/>
              </w:rPr>
              <w:t>5</w:t>
            </w:r>
            <w:r>
              <w:rPr>
                <w:rFonts w:hint="default" w:cs="Times New Roman"/>
                <w:color w:val="auto"/>
              </w:rPr>
              <w:t>、SS、TP、TN、氨氮，食堂废水主要污染物包括pH、COD、BOD</w:t>
            </w:r>
            <w:r>
              <w:rPr>
                <w:rFonts w:hint="default" w:cs="Times New Roman"/>
                <w:color w:val="auto"/>
                <w:vertAlign w:val="subscript"/>
              </w:rPr>
              <w:t>5</w:t>
            </w:r>
            <w:r>
              <w:rPr>
                <w:rFonts w:hint="default" w:cs="Times New Roman"/>
                <w:color w:val="auto"/>
              </w:rPr>
              <w:t>、SS、TP、TN、氨氮、动植物油，参考《排放源统计调查产排污核算方法和系数手册》（公告2021年第24号）中“生活源产排污核算系数手册-城镇生活源水污染物产生系数-六区（重庆、四川、贵州、云南、西藏）”，四川城镇生活源水污染物产生浓度为COD：325mg/L、TP：4.28mg/L、TN：49.8mg/L、氨氮：37.7mg/L，参考《水处理工程师手册》（化学工业出版社），BOD：200mg/L、SS：200mg/L，参考《饮食业环境保护技术规范》（HJ554-2010）中“饮食业单位含油污水水质”，动植物油：150mg/L。</w:t>
            </w:r>
          </w:p>
          <w:p w14:paraId="4C808B07">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（2）生产废水</w:t>
            </w:r>
          </w:p>
          <w:p w14:paraId="3F6BA4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本项目生产无工艺废水产生，生产废水主要为软水制备废水。项目软水制备系统采用离子交换树脂工艺，软水制备率按80%计，本项目软水制备使用水量为153.6m</w:t>
            </w:r>
            <w:r>
              <w:rPr>
                <w:rFonts w:hint="default" w:cs="Times New Roman"/>
                <w:color w:val="auto"/>
                <w:vertAlign w:val="superscript"/>
              </w:rPr>
              <w:t>3</w:t>
            </w:r>
            <w:r>
              <w:rPr>
                <w:rFonts w:hint="default" w:cs="Times New Roman"/>
                <w:color w:val="auto"/>
              </w:rPr>
              <w:t>/d（51302.4m</w:t>
            </w:r>
            <w:r>
              <w:rPr>
                <w:rFonts w:hint="default" w:cs="Times New Roman"/>
                <w:color w:val="auto"/>
                <w:vertAlign w:val="superscript"/>
              </w:rPr>
              <w:t>3</w:t>
            </w:r>
            <w:r>
              <w:rPr>
                <w:rFonts w:hint="default" w:cs="Times New Roman"/>
                <w:color w:val="auto"/>
              </w:rPr>
              <w:t>/a），则软水制备废水产生量为30.72m</w:t>
            </w:r>
            <w:r>
              <w:rPr>
                <w:rFonts w:hint="default" w:cs="Times New Roman"/>
                <w:color w:val="auto"/>
                <w:vertAlign w:val="superscript"/>
              </w:rPr>
              <w:t>3</w:t>
            </w:r>
            <w:r>
              <w:rPr>
                <w:rFonts w:hint="default" w:cs="Times New Roman"/>
                <w:color w:val="auto"/>
              </w:rPr>
              <w:t>/d（10260.48m</w:t>
            </w:r>
            <w:r>
              <w:rPr>
                <w:rFonts w:hint="default" w:cs="Times New Roman"/>
                <w:color w:val="auto"/>
                <w:vertAlign w:val="superscript"/>
              </w:rPr>
              <w:t>3</w:t>
            </w:r>
            <w:r>
              <w:rPr>
                <w:rFonts w:hint="default" w:cs="Times New Roman"/>
                <w:color w:val="auto"/>
              </w:rPr>
              <w:t>/d），SS浓度约为100mg/L。</w:t>
            </w:r>
          </w:p>
          <w:p w14:paraId="67CB5085">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（3）初期雨水</w:t>
            </w:r>
          </w:p>
          <w:p w14:paraId="04FF8AC7">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根据《达州市城市管理行政执法局达州市气象局关于下发达州市中心城区暴雨强度公式及设计雨型的通知》（达市城管发〔2025〕7号），本项目初期雨水量按照如下公式计算：</w:t>
            </w:r>
          </w:p>
          <w:p w14:paraId="21542392">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V=q×ψ×F×t×60÷1000</w:t>
            </w:r>
          </w:p>
          <w:p w14:paraId="122A7346">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式中：</w:t>
            </w:r>
          </w:p>
          <w:p w14:paraId="6202AE0D">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V-初期雨水最大量，m</w:t>
            </w:r>
            <w:r>
              <w:rPr>
                <w:rFonts w:hint="default" w:cs="Times New Roman"/>
                <w:color w:val="auto"/>
                <w:vertAlign w:val="superscript"/>
              </w:rPr>
              <w:t>3</w:t>
            </w:r>
            <w:r>
              <w:rPr>
                <w:rFonts w:hint="default" w:cs="Times New Roman"/>
                <w:color w:val="auto"/>
              </w:rPr>
              <w:t>；</w:t>
            </w:r>
          </w:p>
          <w:p w14:paraId="6FA42A37">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t-降雨历时，min；</w:t>
            </w:r>
          </w:p>
          <w:p w14:paraId="06636A29">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ψ-径流系数，取0.85；</w:t>
            </w:r>
          </w:p>
          <w:p w14:paraId="5FF3F67D">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F-汇水面积，hm</w:t>
            </w:r>
            <w:r>
              <w:rPr>
                <w:rFonts w:hint="default" w:cs="Times New Roman"/>
                <w:color w:val="auto"/>
                <w:vertAlign w:val="superscript"/>
              </w:rPr>
              <w:t>2</w:t>
            </w:r>
            <w:r>
              <w:rPr>
                <w:rFonts w:hint="default" w:cs="Times New Roman"/>
                <w:color w:val="auto"/>
              </w:rPr>
              <w:t>，本次计算整个项目场地占地面积，按20000m</w:t>
            </w:r>
            <w:r>
              <w:rPr>
                <w:rFonts w:hint="default" w:cs="Times New Roman"/>
                <w:color w:val="auto"/>
                <w:vertAlign w:val="superscript"/>
              </w:rPr>
              <w:t>2</w:t>
            </w:r>
            <w:r>
              <w:rPr>
                <w:rFonts w:hint="default" w:cs="Times New Roman"/>
                <w:color w:val="auto"/>
              </w:rPr>
              <w:t>计，即2.00hm</w:t>
            </w:r>
            <w:r>
              <w:rPr>
                <w:rFonts w:hint="default" w:cs="Times New Roman"/>
                <w:color w:val="auto"/>
                <w:vertAlign w:val="superscript"/>
              </w:rPr>
              <w:t>2</w:t>
            </w:r>
            <w:r>
              <w:rPr>
                <w:rFonts w:hint="default" w:cs="Times New Roman"/>
                <w:color w:val="auto"/>
              </w:rPr>
              <w:t>；</w:t>
            </w:r>
          </w:p>
          <w:p w14:paraId="5732FB26">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q-设计暴雨强度，L/（s·hm</w:t>
            </w:r>
            <w:r>
              <w:rPr>
                <w:rFonts w:hint="default" w:cs="Times New Roman"/>
                <w:color w:val="auto"/>
                <w:vertAlign w:val="superscript"/>
              </w:rPr>
              <w:t>2</w:t>
            </w:r>
            <w:r>
              <w:rPr>
                <w:rFonts w:hint="default" w:cs="Times New Roman"/>
                <w:color w:val="auto"/>
              </w:rPr>
              <w:t>）。</w:t>
            </w:r>
          </w:p>
          <w:p w14:paraId="44863A3D">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设计暴雨强度公式如下：</w:t>
            </w:r>
          </w:p>
          <w:p w14:paraId="57C0E667">
            <w:pPr>
              <w:keepNext w:val="0"/>
              <w:keepLines w:val="0"/>
              <w:suppressLineNumbers w:val="0"/>
              <w:adjustRightInd w:val="0"/>
              <w:snapToGrid w:val="0"/>
              <w:spacing w:before="0" w:beforeAutospacing="0" w:after="0" w:afterAutospacing="0"/>
              <w:ind w:left="0" w:right="0" w:firstLine="480"/>
              <w:rPr>
                <w:rFonts w:hint="default" w:cs="Times New Roman"/>
                <w:color w:val="auto"/>
              </w:rPr>
            </w:pPr>
            <m:oMathPara>
              <m:oMath>
                <m:r>
                  <m:rPr>
                    <m:nor/>
                  </m:rPr>
                  <w:rPr>
                    <w:rFonts w:hint="default" w:cs="Times New Roman"/>
                    <w:i/>
                    <w:color w:val="auto"/>
                  </w:rPr>
                  <m:t>q</m:t>
                </m:r>
                <m:r>
                  <m:rPr>
                    <m:nor/>
                    <m:sty m:val="p"/>
                  </m:rPr>
                  <w:rPr>
                    <w:rFonts w:hint="default" w:cs="Times New Roman"/>
                    <w:b w:val="0"/>
                    <w:i w:val="0"/>
                    <w:color w:val="auto"/>
                  </w:rPr>
                  <m:t>=</m:t>
                </m:r>
                <m:f>
                  <m:fPr>
                    <m:ctrlPr>
                      <w:rPr>
                        <w:rFonts w:hint="default" w:ascii="Cambria Math" w:hAnsi="Cambria Math" w:cs="Times New Roman"/>
                        <w:i/>
                        <w:color w:val="auto"/>
                      </w:rPr>
                    </m:ctrlPr>
                  </m:fPr>
                  <m:num>
                    <m:r>
                      <m:rPr>
                        <m:nor/>
                        <m:sty m:val="p"/>
                      </m:rPr>
                      <w:rPr>
                        <w:rFonts w:hint="default" w:cs="Times New Roman"/>
                        <w:b w:val="0"/>
                        <w:i w:val="0"/>
                        <w:color w:val="auto"/>
                      </w:rPr>
                      <m:t>1215.274(1+0.0.997</m:t>
                    </m:r>
                    <m:r>
                      <m:rPr>
                        <m:nor/>
                      </m:rPr>
                      <w:rPr>
                        <w:rFonts w:hint="default" w:cs="Times New Roman"/>
                        <w:i/>
                        <w:color w:val="auto"/>
                      </w:rPr>
                      <m:t>lgP</m:t>
                    </m:r>
                    <m:r>
                      <m:rPr>
                        <m:nor/>
                        <m:sty m:val="p"/>
                      </m:rPr>
                      <w:rPr>
                        <w:rFonts w:hint="default" w:cs="Times New Roman"/>
                        <w:b w:val="0"/>
                        <w:i w:val="0"/>
                        <w:color w:val="auto"/>
                      </w:rPr>
                      <m:t>)</m:t>
                    </m:r>
                    <m:ctrlPr>
                      <w:rPr>
                        <w:rFonts w:hint="default" w:ascii="Cambria Math" w:hAnsi="Cambria Math" w:cs="Times New Roman"/>
                        <w:i/>
                        <w:color w:val="auto"/>
                      </w:rPr>
                    </m:ctrlPr>
                  </m:num>
                  <m:den>
                    <m:r>
                      <m:rPr>
                        <m:nor/>
                        <m:sty m:val="p"/>
                      </m:rPr>
                      <w:rPr>
                        <w:rFonts w:hint="default" w:cs="Times New Roman"/>
                        <w:b w:val="0"/>
                        <w:i w:val="0"/>
                        <w:color w:val="auto"/>
                      </w:rPr>
                      <m:t>(</m:t>
                    </m:r>
                    <m:r>
                      <m:rPr>
                        <m:nor/>
                      </m:rPr>
                      <w:rPr>
                        <w:rFonts w:hint="default" w:cs="Times New Roman"/>
                        <w:i/>
                        <w:color w:val="auto"/>
                      </w:rPr>
                      <m:t>t</m:t>
                    </m:r>
                    <m:r>
                      <m:rPr>
                        <m:nor/>
                        <m:sty m:val="p"/>
                      </m:rPr>
                      <w:rPr>
                        <w:rFonts w:hint="default" w:cs="Times New Roman"/>
                        <w:b w:val="0"/>
                        <w:i w:val="0"/>
                        <w:color w:val="auto"/>
                      </w:rPr>
                      <m:t>+9.102</m:t>
                    </m:r>
                    <m:sSup>
                      <m:sSupPr>
                        <m:ctrlPr>
                          <w:rPr>
                            <w:rFonts w:hint="default" w:ascii="Cambria Math" w:hAnsi="Cambria Math" w:cs="Times New Roman"/>
                            <w:i/>
                            <w:color w:val="auto"/>
                          </w:rPr>
                        </m:ctrlPr>
                      </m:sSupPr>
                      <m:e>
                        <m:r>
                          <m:rPr>
                            <m:nor/>
                            <m:sty m:val="p"/>
                          </m:rPr>
                          <w:rPr>
                            <w:rFonts w:hint="default" w:cs="Times New Roman"/>
                            <w:b w:val="0"/>
                            <w:i w:val="0"/>
                            <w:color w:val="auto"/>
                          </w:rPr>
                          <m:t>)</m:t>
                        </m:r>
                        <m:ctrlPr>
                          <w:rPr>
                            <w:rFonts w:hint="default" w:ascii="Cambria Math" w:hAnsi="Cambria Math" w:cs="Times New Roman"/>
                            <w:i/>
                            <w:color w:val="auto"/>
                          </w:rPr>
                        </m:ctrlPr>
                      </m:e>
                      <m:sup>
                        <m:r>
                          <m:rPr>
                            <m:nor/>
                            <m:sty m:val="p"/>
                          </m:rPr>
                          <w:rPr>
                            <w:rFonts w:hint="default" w:cs="Times New Roman"/>
                            <w:b w:val="0"/>
                            <w:i w:val="0"/>
                            <w:color w:val="auto"/>
                          </w:rPr>
                          <m:t>0.639</m:t>
                        </m:r>
                        <m:ctrlPr>
                          <w:rPr>
                            <w:rFonts w:hint="default" w:ascii="Cambria Math" w:hAnsi="Cambria Math" w:cs="Times New Roman"/>
                            <w:i/>
                            <w:color w:val="auto"/>
                          </w:rPr>
                        </m:ctrlPr>
                      </m:sup>
                    </m:sSup>
                    <m:ctrlPr>
                      <w:rPr>
                        <w:rFonts w:hint="default" w:ascii="Cambria Math" w:hAnsi="Cambria Math" w:cs="Times New Roman"/>
                        <w:i/>
                        <w:color w:val="auto"/>
                      </w:rPr>
                    </m:ctrlPr>
                  </m:den>
                </m:f>
              </m:oMath>
            </m:oMathPara>
          </w:p>
          <w:p w14:paraId="660F2CAB">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式中：</w:t>
            </w:r>
          </w:p>
          <w:p w14:paraId="2C46B801">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q-设计暴雨强度，L/（s·hm</w:t>
            </w:r>
            <w:r>
              <w:rPr>
                <w:rFonts w:hint="default" w:cs="Times New Roman"/>
                <w:color w:val="auto"/>
                <w:vertAlign w:val="superscript"/>
              </w:rPr>
              <w:t>2</w:t>
            </w:r>
            <w:r>
              <w:rPr>
                <w:rFonts w:hint="default" w:cs="Times New Roman"/>
                <w:color w:val="auto"/>
              </w:rPr>
              <w:t>），经计算为206.79L/（s·hm</w:t>
            </w:r>
            <w:r>
              <w:rPr>
                <w:rFonts w:hint="default" w:cs="Times New Roman"/>
                <w:color w:val="auto"/>
                <w:vertAlign w:val="superscript"/>
              </w:rPr>
              <w:t>2</w:t>
            </w:r>
            <w:r>
              <w:rPr>
                <w:rFonts w:hint="default" w:cs="Times New Roman"/>
                <w:color w:val="auto"/>
              </w:rPr>
              <w:t>）；</w:t>
            </w:r>
          </w:p>
          <w:p w14:paraId="585A533C">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p-设计暴雨重现期（年），本次取值为2年；</w:t>
            </w:r>
          </w:p>
          <w:p w14:paraId="727074D4">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t-降雨历时（min），取15min。</w:t>
            </w:r>
          </w:p>
          <w:p w14:paraId="281AE521">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经计算，本项目15min初期雨水产生量约为316.39m</w:t>
            </w:r>
            <w:r>
              <w:rPr>
                <w:rFonts w:hint="default" w:cs="Times New Roman"/>
                <w:color w:val="auto"/>
                <w:vertAlign w:val="superscript"/>
              </w:rPr>
              <w:t>3</w:t>
            </w:r>
            <w:r>
              <w:rPr>
                <w:rFonts w:hint="default" w:cs="Times New Roman"/>
                <w:color w:val="auto"/>
              </w:rPr>
              <w:t>/次。</w:t>
            </w:r>
          </w:p>
          <w:p w14:paraId="1F6314F2">
            <w:pPr>
              <w:keepNext w:val="0"/>
              <w:keepLines w:val="0"/>
              <w:suppressLineNumbers w:val="0"/>
              <w:adjustRightInd w:val="0"/>
              <w:snapToGrid w:val="0"/>
              <w:spacing w:before="0" w:beforeAutospacing="0" w:after="0" w:afterAutospacing="0"/>
              <w:ind w:left="0" w:right="0" w:firstLine="480"/>
              <w:rPr>
                <w:rFonts w:hint="default" w:cs="Times New Roman"/>
                <w:color w:val="auto"/>
              </w:rPr>
            </w:pPr>
            <w:r>
              <w:rPr>
                <w:rFonts w:hint="default" w:cs="Times New Roman"/>
                <w:color w:val="auto"/>
              </w:rPr>
              <w:t>其中，柴油撬装站区域（含撬装装置以及装卸区）设置独立的初期雨水收集区域，该区域的雨水经隔油池（20m</w:t>
            </w:r>
            <w:r>
              <w:rPr>
                <w:rFonts w:hint="default" w:cs="Times New Roman"/>
                <w:color w:val="auto"/>
                <w:vertAlign w:val="superscript"/>
              </w:rPr>
              <w:t>3</w:t>
            </w:r>
            <w:r>
              <w:rPr>
                <w:rFonts w:hint="default" w:cs="Times New Roman"/>
                <w:color w:val="auto"/>
              </w:rPr>
              <w:t>）处理后进入后期的雨水管网。</w:t>
            </w:r>
          </w:p>
          <w:p w14:paraId="12EF5407">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2、废水治理措施及可行性分析</w:t>
            </w:r>
          </w:p>
          <w:p w14:paraId="78F7BDC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根据上述排污水的水量、水质特点及目标要求，本项目排水实行“雨污分流制”，雨水经雨水管网排入市政雨水管网，最终汇入附近河流。</w:t>
            </w:r>
          </w:p>
          <w:p w14:paraId="11AC902E">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（1）生活污水</w:t>
            </w:r>
          </w:p>
          <w:p w14:paraId="0F2CA48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办公生活污水经综合办公楼预处理池（20m</w:t>
            </w:r>
            <w:r>
              <w:rPr>
                <w:rFonts w:hint="default" w:cs="Times New Roman"/>
                <w:color w:val="auto"/>
                <w:vertAlign w:val="superscript"/>
              </w:rPr>
              <w:t>3</w:t>
            </w:r>
            <w:r>
              <w:rPr>
                <w:rFonts w:hint="default" w:cs="Times New Roman"/>
                <w:color w:val="auto"/>
              </w:rPr>
              <w:t>）处理，</w:t>
            </w:r>
            <w:r>
              <w:rPr>
                <w:rFonts w:hint="eastAsia" w:cs="Times New Roman"/>
                <w:color w:val="auto"/>
              </w:rPr>
              <w:t>食堂废水利用隔油池处理后引入办公楼预处理池处理，经处理后的生活污水、食堂废水达到</w:t>
            </w:r>
            <w:r>
              <w:rPr>
                <w:rFonts w:hint="default"/>
                <w:color w:val="auto"/>
              </w:rPr>
              <w:t>《</w:t>
            </w:r>
            <w:r>
              <w:rPr>
                <w:rFonts w:hint="eastAsia"/>
                <w:color w:val="auto"/>
              </w:rPr>
              <w:t>四川省化工园区水污染物排放标准</w:t>
            </w:r>
            <w:r>
              <w:rPr>
                <w:rFonts w:hint="default"/>
                <w:color w:val="auto"/>
              </w:rPr>
              <w:t>》（</w:t>
            </w:r>
            <w:r>
              <w:rPr>
                <w:rFonts w:hint="eastAsia"/>
                <w:color w:val="auto"/>
              </w:rPr>
              <w:t>DB51/3202</w:t>
            </w:r>
            <w:r>
              <w:rPr>
                <w:rFonts w:hint="default"/>
                <w:color w:val="auto"/>
              </w:rPr>
              <w:t>-</w:t>
            </w:r>
            <w:r>
              <w:rPr>
                <w:rFonts w:hint="eastAsia"/>
                <w:color w:val="auto"/>
              </w:rPr>
              <w:t>2024</w:t>
            </w:r>
            <w:r>
              <w:rPr>
                <w:rFonts w:hint="default"/>
                <w:color w:val="auto"/>
              </w:rPr>
              <w:t>）</w:t>
            </w:r>
            <w:r>
              <w:rPr>
                <w:rFonts w:hint="eastAsia"/>
                <w:color w:val="auto"/>
              </w:rPr>
              <w:t>表1</w:t>
            </w:r>
            <w:r>
              <w:rPr>
                <w:rFonts w:hint="default"/>
                <w:color w:val="auto"/>
              </w:rPr>
              <w:t>标准</w:t>
            </w:r>
            <w:r>
              <w:rPr>
                <w:rFonts w:hint="default" w:cs="Times New Roman"/>
                <w:color w:val="auto"/>
              </w:rPr>
              <w:t>后排入</w:t>
            </w:r>
            <w:r>
              <w:rPr>
                <w:rFonts w:hint="eastAsia" w:cs="Times New Roman"/>
                <w:color w:val="auto"/>
              </w:rPr>
              <w:t>园区</w:t>
            </w:r>
            <w:r>
              <w:rPr>
                <w:rFonts w:hint="default" w:cs="Times New Roman"/>
                <w:color w:val="auto"/>
              </w:rPr>
              <w:t>污水管网，经普光工业园区污水处理厂处理达《城镇污水处理厂污染物排放标准》（GB18918-2002）中一级A标后，最终排入后河。</w:t>
            </w:r>
          </w:p>
          <w:p w14:paraId="0F364DB7">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（2）生产废水</w:t>
            </w:r>
          </w:p>
          <w:p w14:paraId="2ACDF7C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软水制备废水直接排入</w:t>
            </w:r>
            <w:r>
              <w:rPr>
                <w:rFonts w:hint="eastAsia" w:cs="Times New Roman"/>
                <w:color w:val="auto"/>
              </w:rPr>
              <w:t>园区</w:t>
            </w:r>
            <w:r>
              <w:rPr>
                <w:rFonts w:hint="default" w:cs="Times New Roman"/>
                <w:color w:val="auto"/>
              </w:rPr>
              <w:t>污水管网，经普光工业园区污水处理厂处理达《城镇污水处理厂污染物排放标准》（GB18918-2002）中一级A标后，最终排入后河。</w:t>
            </w:r>
          </w:p>
          <w:p w14:paraId="624049A3">
            <w:pPr>
              <w:keepNext w:val="0"/>
              <w:keepLines w:val="0"/>
              <w:suppressLineNumbers w:val="0"/>
              <w:spacing w:before="0" w:beforeAutospacing="0" w:after="0" w:afterAutospacing="0"/>
              <w:ind w:left="0" w:right="0" w:firstLine="482"/>
              <w:rPr>
                <w:rFonts w:hint="default" w:cs="Times New Roman"/>
                <w:b/>
                <w:color w:val="auto"/>
              </w:rPr>
            </w:pPr>
            <w:r>
              <w:rPr>
                <w:rFonts w:hint="default" w:cs="Times New Roman"/>
                <w:b/>
                <w:color w:val="auto"/>
              </w:rPr>
              <w:t>（3）初期雨水</w:t>
            </w:r>
          </w:p>
          <w:p w14:paraId="617E07A9">
            <w:pPr>
              <w:keepNext w:val="0"/>
              <w:keepLines w:val="0"/>
              <w:suppressLineNumbers w:val="0"/>
              <w:spacing w:before="0" w:beforeAutospacing="0" w:after="0" w:afterAutospacing="0"/>
              <w:ind w:left="0" w:right="0" w:firstLine="480"/>
              <w:rPr>
                <w:rFonts w:hint="default" w:cs="Times New Roman"/>
                <w:color w:val="auto"/>
              </w:rPr>
            </w:pPr>
            <w:bookmarkStart w:id="112" w:name="OLE_LINK144"/>
            <w:bookmarkStart w:id="113" w:name="OLE_LINK145"/>
            <w:r>
              <w:rPr>
                <w:rFonts w:hint="default" w:cs="Times New Roman"/>
                <w:color w:val="auto"/>
              </w:rPr>
              <w:t>柴油撬装站区域（含撬装装置以及装卸区）设置独立的初期雨水收集区域，该区域的雨水经隔油池（20m</w:t>
            </w:r>
            <w:r>
              <w:rPr>
                <w:rFonts w:hint="default" w:cs="Times New Roman"/>
                <w:color w:val="auto"/>
                <w:vertAlign w:val="superscript"/>
              </w:rPr>
              <w:t>3</w:t>
            </w:r>
            <w:r>
              <w:rPr>
                <w:rFonts w:hint="default" w:cs="Times New Roman"/>
                <w:color w:val="auto"/>
              </w:rPr>
              <w:t>）处理后进入后期的雨水管网。厂区其余区域的初期雨水经初期雨水池收集沉淀后，通过管网进入普光工业园区污水处理厂处理达《城镇污水处理厂污染物排放标准》（GB18918-2002）中一级A标后，最终排入后河</w:t>
            </w:r>
            <w:bookmarkEnd w:id="112"/>
            <w:bookmarkEnd w:id="113"/>
            <w:r>
              <w:rPr>
                <w:rFonts w:hint="default" w:cs="Times New Roman"/>
                <w:color w:val="auto"/>
              </w:rPr>
              <w:t>。</w:t>
            </w:r>
          </w:p>
          <w:p w14:paraId="3EF85CFF">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3、排放口</w:t>
            </w:r>
          </w:p>
          <w:p w14:paraId="26B72A0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本项目废水排放口基本情况如下表所示：</w:t>
            </w:r>
          </w:p>
          <w:p w14:paraId="18E36D74">
            <w:pPr>
              <w:pStyle w:val="33"/>
              <w:keepNext w:val="0"/>
              <w:keepLines w:val="0"/>
              <w:suppressLineNumbers w:val="0"/>
              <w:spacing w:before="0" w:beforeAutospacing="0" w:after="0" w:afterAutospacing="0"/>
              <w:ind w:left="0" w:right="0"/>
              <w:rPr>
                <w:rFonts w:hint="default" w:cs="Times New Roman"/>
              </w:rPr>
            </w:pPr>
            <w:r>
              <w:rPr>
                <w:rFonts w:hint="default" w:cs="Times New Roman"/>
              </w:rPr>
              <w:t>废水排放口基本情况表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45"/>
              <w:gridCol w:w="1568"/>
              <w:gridCol w:w="1055"/>
              <w:gridCol w:w="1096"/>
              <w:gridCol w:w="1509"/>
              <w:gridCol w:w="1603"/>
            </w:tblGrid>
            <w:tr w14:paraId="0E679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8" w:hRule="atLeast"/>
                <w:jc w:val="center"/>
              </w:trPr>
              <w:tc>
                <w:tcPr>
                  <w:tcW w:w="492" w:type="pct"/>
                  <w:vMerge w:val="restart"/>
                  <w:tcBorders>
                    <w:tl2br w:val="nil"/>
                    <w:tr2bl w:val="nil"/>
                  </w:tcBorders>
                  <w:vAlign w:val="center"/>
                </w:tcPr>
                <w:p w14:paraId="043941F3">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编号</w:t>
                  </w:r>
                </w:p>
              </w:tc>
              <w:tc>
                <w:tcPr>
                  <w:tcW w:w="1034" w:type="pct"/>
                  <w:vMerge w:val="restart"/>
                  <w:tcBorders>
                    <w:tl2br w:val="nil"/>
                    <w:tr2bl w:val="nil"/>
                  </w:tcBorders>
                  <w:vAlign w:val="center"/>
                </w:tcPr>
                <w:p w14:paraId="730FB909">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名称</w:t>
                  </w:r>
                </w:p>
              </w:tc>
              <w:tc>
                <w:tcPr>
                  <w:tcW w:w="696" w:type="pct"/>
                  <w:vMerge w:val="restart"/>
                  <w:tcBorders>
                    <w:tl2br w:val="nil"/>
                    <w:tr2bl w:val="nil"/>
                  </w:tcBorders>
                  <w:vAlign w:val="center"/>
                </w:tcPr>
                <w:p w14:paraId="38E017A2">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类型</w:t>
                  </w:r>
                </w:p>
              </w:tc>
              <w:tc>
                <w:tcPr>
                  <w:tcW w:w="723" w:type="pct"/>
                  <w:vMerge w:val="restart"/>
                  <w:tcBorders>
                    <w:tl2br w:val="nil"/>
                    <w:tr2bl w:val="nil"/>
                  </w:tcBorders>
                  <w:vAlign w:val="center"/>
                </w:tcPr>
                <w:p w14:paraId="634330ED">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排放规律</w:t>
                  </w:r>
                </w:p>
              </w:tc>
              <w:tc>
                <w:tcPr>
                  <w:tcW w:w="2052" w:type="pct"/>
                  <w:gridSpan w:val="2"/>
                  <w:tcBorders>
                    <w:tl2br w:val="nil"/>
                    <w:tr2bl w:val="nil"/>
                  </w:tcBorders>
                  <w:vAlign w:val="center"/>
                </w:tcPr>
                <w:p w14:paraId="3235F9EA">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地理坐标</w:t>
                  </w:r>
                </w:p>
              </w:tc>
            </w:tr>
            <w:tr w14:paraId="24437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28" w:hRule="atLeast"/>
                <w:jc w:val="center"/>
              </w:trPr>
              <w:tc>
                <w:tcPr>
                  <w:tcW w:w="492" w:type="pct"/>
                  <w:vMerge w:val="continue"/>
                  <w:tcBorders>
                    <w:tl2br w:val="nil"/>
                    <w:tr2bl w:val="nil"/>
                  </w:tcBorders>
                  <w:vAlign w:val="center"/>
                </w:tcPr>
                <w:p w14:paraId="18BAE6C4">
                  <w:pPr>
                    <w:pStyle w:val="24"/>
                    <w:keepNext w:val="0"/>
                    <w:keepLines w:val="0"/>
                    <w:suppressLineNumbers w:val="0"/>
                    <w:spacing w:before="0" w:beforeAutospacing="0" w:after="0" w:afterAutospacing="0"/>
                    <w:ind w:left="0" w:right="0"/>
                    <w:rPr>
                      <w:rFonts w:hint="default" w:ascii="Times New Roman" w:hAnsi="Times New Roman"/>
                      <w:color w:val="auto"/>
                    </w:rPr>
                  </w:pPr>
                </w:p>
              </w:tc>
              <w:tc>
                <w:tcPr>
                  <w:tcW w:w="1034" w:type="pct"/>
                  <w:vMerge w:val="continue"/>
                  <w:tcBorders>
                    <w:tl2br w:val="nil"/>
                    <w:tr2bl w:val="nil"/>
                  </w:tcBorders>
                  <w:vAlign w:val="center"/>
                </w:tcPr>
                <w:p w14:paraId="48C526BF">
                  <w:pPr>
                    <w:pStyle w:val="24"/>
                    <w:keepNext w:val="0"/>
                    <w:keepLines w:val="0"/>
                    <w:suppressLineNumbers w:val="0"/>
                    <w:spacing w:before="0" w:beforeAutospacing="0" w:after="0" w:afterAutospacing="0"/>
                    <w:ind w:left="0" w:right="0"/>
                    <w:rPr>
                      <w:rFonts w:hint="default" w:ascii="Times New Roman" w:hAnsi="Times New Roman"/>
                      <w:color w:val="auto"/>
                    </w:rPr>
                  </w:pPr>
                </w:p>
              </w:tc>
              <w:tc>
                <w:tcPr>
                  <w:tcW w:w="696" w:type="pct"/>
                  <w:vMerge w:val="continue"/>
                  <w:tcBorders>
                    <w:tl2br w:val="nil"/>
                    <w:tr2bl w:val="nil"/>
                  </w:tcBorders>
                  <w:vAlign w:val="center"/>
                </w:tcPr>
                <w:p w14:paraId="70B780F9">
                  <w:pPr>
                    <w:pStyle w:val="24"/>
                    <w:keepNext w:val="0"/>
                    <w:keepLines w:val="0"/>
                    <w:suppressLineNumbers w:val="0"/>
                    <w:spacing w:before="0" w:beforeAutospacing="0" w:after="0" w:afterAutospacing="0"/>
                    <w:ind w:left="0" w:right="0"/>
                    <w:rPr>
                      <w:rFonts w:hint="default" w:ascii="Times New Roman" w:hAnsi="Times New Roman"/>
                      <w:color w:val="auto"/>
                    </w:rPr>
                  </w:pPr>
                </w:p>
              </w:tc>
              <w:tc>
                <w:tcPr>
                  <w:tcW w:w="723" w:type="pct"/>
                  <w:vMerge w:val="continue"/>
                  <w:tcBorders>
                    <w:tl2br w:val="nil"/>
                    <w:tr2bl w:val="nil"/>
                  </w:tcBorders>
                  <w:vAlign w:val="center"/>
                </w:tcPr>
                <w:p w14:paraId="188209ED">
                  <w:pPr>
                    <w:pStyle w:val="24"/>
                    <w:keepNext w:val="0"/>
                    <w:keepLines w:val="0"/>
                    <w:suppressLineNumbers w:val="0"/>
                    <w:spacing w:before="0" w:beforeAutospacing="0" w:after="0" w:afterAutospacing="0"/>
                    <w:ind w:left="0" w:right="0"/>
                    <w:rPr>
                      <w:rFonts w:hint="default" w:ascii="Times New Roman" w:hAnsi="Times New Roman"/>
                      <w:color w:val="auto"/>
                    </w:rPr>
                  </w:pPr>
                </w:p>
              </w:tc>
              <w:tc>
                <w:tcPr>
                  <w:tcW w:w="995" w:type="pct"/>
                  <w:tcBorders>
                    <w:tl2br w:val="nil"/>
                    <w:tr2bl w:val="nil"/>
                  </w:tcBorders>
                  <w:vAlign w:val="center"/>
                </w:tcPr>
                <w:p w14:paraId="5A61C221">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经度</w:t>
                  </w:r>
                </w:p>
              </w:tc>
              <w:tc>
                <w:tcPr>
                  <w:tcW w:w="1056" w:type="pct"/>
                  <w:tcBorders>
                    <w:tl2br w:val="nil"/>
                    <w:tr2bl w:val="nil"/>
                  </w:tcBorders>
                  <w:vAlign w:val="center"/>
                </w:tcPr>
                <w:p w14:paraId="26260FD2">
                  <w:pPr>
                    <w:pStyle w:val="24"/>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b/>
                      <w:bCs/>
                      <w:color w:val="auto"/>
                    </w:rPr>
                    <w:t>纬度</w:t>
                  </w:r>
                </w:p>
              </w:tc>
            </w:tr>
            <w:tr w14:paraId="7BE1F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492" w:type="pct"/>
                  <w:tcBorders>
                    <w:tl2br w:val="nil"/>
                    <w:tr2bl w:val="nil"/>
                  </w:tcBorders>
                  <w:vAlign w:val="center"/>
                </w:tcPr>
                <w:p w14:paraId="748FCCD3">
                  <w:pPr>
                    <w:pStyle w:val="24"/>
                    <w:keepNext w:val="0"/>
                    <w:keepLines w:val="0"/>
                    <w:suppressLineNumbers w:val="0"/>
                    <w:spacing w:before="0" w:beforeAutospacing="0" w:after="0" w:afterAutospacing="0"/>
                    <w:ind w:left="0" w:right="0"/>
                    <w:rPr>
                      <w:rFonts w:hint="default" w:ascii="Times New Roman" w:hAnsi="Times New Roman"/>
                      <w:color w:val="auto"/>
                      <w:kern w:val="0"/>
                    </w:rPr>
                  </w:pPr>
                  <w:r>
                    <w:rPr>
                      <w:rFonts w:hint="default" w:ascii="Times New Roman" w:hAnsi="Times New Roman"/>
                      <w:color w:val="auto"/>
                    </w:rPr>
                    <w:t>DW001</w:t>
                  </w:r>
                </w:p>
              </w:tc>
              <w:tc>
                <w:tcPr>
                  <w:tcW w:w="1034" w:type="pct"/>
                  <w:tcBorders>
                    <w:tl2br w:val="nil"/>
                    <w:tr2bl w:val="nil"/>
                  </w:tcBorders>
                  <w:vAlign w:val="center"/>
                </w:tcPr>
                <w:p w14:paraId="33928AD0">
                  <w:pPr>
                    <w:pStyle w:val="24"/>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企业废水总排口</w:t>
                  </w:r>
                </w:p>
              </w:tc>
              <w:tc>
                <w:tcPr>
                  <w:tcW w:w="696" w:type="pct"/>
                  <w:tcBorders>
                    <w:tl2br w:val="nil"/>
                    <w:tr2bl w:val="nil"/>
                  </w:tcBorders>
                  <w:vAlign w:val="center"/>
                </w:tcPr>
                <w:p w14:paraId="3B5C9CF5">
                  <w:pPr>
                    <w:pStyle w:val="24"/>
                    <w:keepNext w:val="0"/>
                    <w:keepLines w:val="0"/>
                    <w:suppressLineNumbers w:val="0"/>
                    <w:spacing w:before="0" w:beforeAutospacing="0" w:after="0" w:afterAutospacing="0"/>
                    <w:ind w:left="0" w:right="0"/>
                    <w:rPr>
                      <w:rFonts w:hint="default" w:ascii="Times New Roman" w:hAnsi="Times New Roman"/>
                      <w:color w:val="auto"/>
                      <w:kern w:val="0"/>
                    </w:rPr>
                  </w:pPr>
                  <w:r>
                    <w:rPr>
                      <w:rFonts w:hint="default" w:ascii="Times New Roman" w:hAnsi="Times New Roman"/>
                      <w:color w:val="auto"/>
                    </w:rPr>
                    <w:t>一般排放口</w:t>
                  </w:r>
                </w:p>
              </w:tc>
              <w:tc>
                <w:tcPr>
                  <w:tcW w:w="723" w:type="pct"/>
                  <w:tcBorders>
                    <w:tl2br w:val="nil"/>
                    <w:tr2bl w:val="nil"/>
                  </w:tcBorders>
                  <w:vAlign w:val="center"/>
                </w:tcPr>
                <w:p w14:paraId="18685539">
                  <w:pPr>
                    <w:pStyle w:val="24"/>
                    <w:keepNext w:val="0"/>
                    <w:keepLines w:val="0"/>
                    <w:suppressLineNumbers w:val="0"/>
                    <w:spacing w:before="0" w:beforeAutospacing="0" w:after="0" w:afterAutospacing="0"/>
                    <w:ind w:left="0" w:right="0"/>
                    <w:rPr>
                      <w:rFonts w:hint="default" w:ascii="Times New Roman" w:hAnsi="Times New Roman"/>
                      <w:color w:val="auto"/>
                      <w:kern w:val="0"/>
                    </w:rPr>
                  </w:pPr>
                  <w:r>
                    <w:rPr>
                      <w:rFonts w:hint="default" w:ascii="Times New Roman" w:hAnsi="Times New Roman"/>
                      <w:color w:val="auto"/>
                    </w:rPr>
                    <w:t>间歇排放</w:t>
                  </w:r>
                </w:p>
              </w:tc>
              <w:tc>
                <w:tcPr>
                  <w:tcW w:w="995" w:type="pct"/>
                  <w:tcBorders>
                    <w:tl2br w:val="nil"/>
                    <w:tr2bl w:val="nil"/>
                  </w:tcBorders>
                  <w:vAlign w:val="center"/>
                </w:tcPr>
                <w:p w14:paraId="13D24AFB">
                  <w:pPr>
                    <w:pStyle w:val="24"/>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107.684333</w:t>
                  </w:r>
                </w:p>
              </w:tc>
              <w:tc>
                <w:tcPr>
                  <w:tcW w:w="1056" w:type="pct"/>
                  <w:tcBorders>
                    <w:tl2br w:val="nil"/>
                    <w:tr2bl w:val="nil"/>
                  </w:tcBorders>
                  <w:vAlign w:val="center"/>
                </w:tcPr>
                <w:p w14:paraId="6E95FDB6">
                  <w:pPr>
                    <w:pStyle w:val="24"/>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31.523771</w:t>
                  </w:r>
                </w:p>
              </w:tc>
            </w:tr>
          </w:tbl>
          <w:p w14:paraId="604E7889">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4、废水污染物达标排放情况</w:t>
            </w:r>
          </w:p>
          <w:p w14:paraId="135653F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本项目营运过程中废水产排情况如下表所示：</w:t>
            </w:r>
          </w:p>
          <w:p w14:paraId="0E77B02B">
            <w:pPr>
              <w:pStyle w:val="33"/>
              <w:keepNext w:val="0"/>
              <w:keepLines w:val="0"/>
              <w:suppressLineNumbers w:val="0"/>
              <w:spacing w:before="0" w:beforeAutospacing="0" w:after="0" w:afterAutospacing="0"/>
              <w:ind w:left="0" w:right="0"/>
              <w:rPr>
                <w:rFonts w:hint="default" w:cs="Times New Roman"/>
              </w:rPr>
            </w:pPr>
            <w:r>
              <w:rPr>
                <w:rFonts w:hint="default" w:cs="Times New Roman"/>
              </w:rPr>
              <w:t>项目废水排放情况一览表</w:t>
            </w:r>
          </w:p>
          <w:tbl>
            <w:tblPr>
              <w:tblStyle w:val="18"/>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0"/>
              <w:gridCol w:w="598"/>
              <w:gridCol w:w="1148"/>
              <w:gridCol w:w="891"/>
              <w:gridCol w:w="780"/>
              <w:gridCol w:w="701"/>
              <w:gridCol w:w="701"/>
              <w:gridCol w:w="717"/>
              <w:gridCol w:w="705"/>
              <w:gridCol w:w="702"/>
            </w:tblGrid>
            <w:tr w14:paraId="08DBA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1569" w:type="pct"/>
                  <w:gridSpan w:val="3"/>
                  <w:tcBorders>
                    <w:tl2br w:val="nil"/>
                    <w:tr2bl w:val="nil"/>
                  </w:tcBorders>
                  <w:shd w:val="clear" w:color="auto" w:fill="auto"/>
                  <w:vAlign w:val="center"/>
                </w:tcPr>
                <w:p w14:paraId="65DAF8F0">
                  <w:pPr>
                    <w:pStyle w:val="26"/>
                    <w:keepNext w:val="0"/>
                    <w:keepLines w:val="0"/>
                    <w:suppressLineNumbers w:val="0"/>
                    <w:spacing w:before="0" w:beforeAutospacing="0" w:after="0" w:afterAutospacing="0"/>
                    <w:ind w:left="0" w:right="0"/>
                    <w:rPr>
                      <w:rFonts w:hint="default"/>
                    </w:rPr>
                  </w:pPr>
                  <w:r>
                    <w:rPr>
                      <w:rFonts w:hint="default"/>
                    </w:rPr>
                    <w:t>项目</w:t>
                  </w:r>
                </w:p>
              </w:tc>
              <w:tc>
                <w:tcPr>
                  <w:tcW w:w="588" w:type="pct"/>
                  <w:tcBorders>
                    <w:tl2br w:val="nil"/>
                    <w:tr2bl w:val="nil"/>
                  </w:tcBorders>
                  <w:shd w:val="clear" w:color="auto" w:fill="auto"/>
                  <w:vAlign w:val="center"/>
                </w:tcPr>
                <w:p w14:paraId="1BD406E3">
                  <w:pPr>
                    <w:pStyle w:val="26"/>
                    <w:keepNext w:val="0"/>
                    <w:keepLines w:val="0"/>
                    <w:suppressLineNumbers w:val="0"/>
                    <w:spacing w:before="0" w:beforeAutospacing="0" w:after="0" w:afterAutospacing="0"/>
                    <w:ind w:left="0" w:right="0"/>
                    <w:rPr>
                      <w:rFonts w:hint="default"/>
                    </w:rPr>
                  </w:pPr>
                  <w:r>
                    <w:rPr>
                      <w:rFonts w:hint="default"/>
                    </w:rPr>
                    <w:t>废水量</w:t>
                  </w:r>
                  <w:r>
                    <w:rPr>
                      <w:rFonts w:hint="eastAsia"/>
                    </w:rPr>
                    <w:t>（</w:t>
                  </w:r>
                  <w:r>
                    <w:rPr>
                      <w:rFonts w:hint="default"/>
                    </w:rPr>
                    <w:t>m</w:t>
                  </w:r>
                  <w:r>
                    <w:rPr>
                      <w:rFonts w:hint="default"/>
                      <w:vertAlign w:val="superscript"/>
                    </w:rPr>
                    <w:t>3</w:t>
                  </w:r>
                  <w:r>
                    <w:rPr>
                      <w:rFonts w:hint="default"/>
                    </w:rPr>
                    <w:t>/a</w:t>
                  </w:r>
                  <w:r>
                    <w:rPr>
                      <w:rFonts w:hint="eastAsia"/>
                    </w:rPr>
                    <w:t>）</w:t>
                  </w:r>
                </w:p>
              </w:tc>
              <w:tc>
                <w:tcPr>
                  <w:tcW w:w="515" w:type="pct"/>
                  <w:tcBorders>
                    <w:tl2br w:val="nil"/>
                    <w:tr2bl w:val="nil"/>
                  </w:tcBorders>
                  <w:shd w:val="clear" w:color="auto" w:fill="auto"/>
                  <w:vAlign w:val="center"/>
                </w:tcPr>
                <w:p w14:paraId="1CFFB0B9">
                  <w:pPr>
                    <w:pStyle w:val="26"/>
                    <w:keepNext w:val="0"/>
                    <w:keepLines w:val="0"/>
                    <w:suppressLineNumbers w:val="0"/>
                    <w:spacing w:before="0" w:beforeAutospacing="0" w:after="0" w:afterAutospacing="0"/>
                    <w:ind w:left="0" w:right="0"/>
                    <w:rPr>
                      <w:rFonts w:hint="default"/>
                    </w:rPr>
                  </w:pPr>
                  <w:r>
                    <w:rPr>
                      <w:rFonts w:hint="default"/>
                    </w:rPr>
                    <w:t>COD</w:t>
                  </w:r>
                  <w:r>
                    <w:rPr>
                      <w:rFonts w:hint="default"/>
                      <w:vertAlign w:val="subscript"/>
                    </w:rPr>
                    <w:t>Cr</w:t>
                  </w:r>
                </w:p>
              </w:tc>
              <w:tc>
                <w:tcPr>
                  <w:tcW w:w="463" w:type="pct"/>
                  <w:tcBorders>
                    <w:tl2br w:val="nil"/>
                    <w:tr2bl w:val="nil"/>
                  </w:tcBorders>
                  <w:shd w:val="clear" w:color="auto" w:fill="auto"/>
                  <w:vAlign w:val="center"/>
                </w:tcPr>
                <w:p w14:paraId="03B813E0">
                  <w:pPr>
                    <w:pStyle w:val="26"/>
                    <w:keepNext w:val="0"/>
                    <w:keepLines w:val="0"/>
                    <w:suppressLineNumbers w:val="0"/>
                    <w:spacing w:before="0" w:beforeAutospacing="0" w:after="0" w:afterAutospacing="0"/>
                    <w:ind w:left="0" w:right="0"/>
                    <w:rPr>
                      <w:rFonts w:hint="default"/>
                    </w:rPr>
                  </w:pPr>
                  <w:r>
                    <w:rPr>
                      <w:rFonts w:hint="default"/>
                    </w:rPr>
                    <w:t>BOD</w:t>
                  </w:r>
                  <w:r>
                    <w:rPr>
                      <w:rFonts w:hint="default"/>
                      <w:vertAlign w:val="subscript"/>
                    </w:rPr>
                    <w:t>5</w:t>
                  </w:r>
                </w:p>
              </w:tc>
              <w:tc>
                <w:tcPr>
                  <w:tcW w:w="463" w:type="pct"/>
                  <w:tcBorders>
                    <w:tl2br w:val="nil"/>
                    <w:tr2bl w:val="nil"/>
                  </w:tcBorders>
                  <w:shd w:val="clear" w:color="auto" w:fill="auto"/>
                  <w:vAlign w:val="center"/>
                </w:tcPr>
                <w:p w14:paraId="49F07DD0">
                  <w:pPr>
                    <w:pStyle w:val="26"/>
                    <w:keepNext w:val="0"/>
                    <w:keepLines w:val="0"/>
                    <w:suppressLineNumbers w:val="0"/>
                    <w:spacing w:before="0" w:beforeAutospacing="0" w:after="0" w:afterAutospacing="0"/>
                    <w:ind w:left="0" w:right="0"/>
                    <w:rPr>
                      <w:rFonts w:hint="default"/>
                    </w:rPr>
                  </w:pPr>
                  <w:r>
                    <w:rPr>
                      <w:rFonts w:hint="default"/>
                    </w:rPr>
                    <w:t>SS</w:t>
                  </w:r>
                </w:p>
              </w:tc>
              <w:tc>
                <w:tcPr>
                  <w:tcW w:w="473" w:type="pct"/>
                  <w:tcBorders>
                    <w:tl2br w:val="nil"/>
                    <w:tr2bl w:val="nil"/>
                  </w:tcBorders>
                  <w:shd w:val="clear" w:color="auto" w:fill="auto"/>
                  <w:vAlign w:val="center"/>
                </w:tcPr>
                <w:p w14:paraId="150650CF">
                  <w:pPr>
                    <w:pStyle w:val="26"/>
                    <w:keepNext w:val="0"/>
                    <w:keepLines w:val="0"/>
                    <w:suppressLineNumbers w:val="0"/>
                    <w:spacing w:before="0" w:beforeAutospacing="0" w:after="0" w:afterAutospacing="0"/>
                    <w:ind w:left="0" w:right="0"/>
                    <w:rPr>
                      <w:rFonts w:hint="default"/>
                    </w:rPr>
                  </w:pPr>
                  <w:r>
                    <w:rPr>
                      <w:rFonts w:hint="default"/>
                    </w:rPr>
                    <w:t>NH</w:t>
                  </w:r>
                  <w:r>
                    <w:rPr>
                      <w:rFonts w:hint="default"/>
                      <w:vertAlign w:val="subscript"/>
                    </w:rPr>
                    <w:t>3</w:t>
                  </w:r>
                  <w:r>
                    <w:rPr>
                      <w:rFonts w:hint="default"/>
                    </w:rPr>
                    <w:t>-N</w:t>
                  </w:r>
                </w:p>
              </w:tc>
              <w:tc>
                <w:tcPr>
                  <w:tcW w:w="465" w:type="pct"/>
                  <w:tcBorders>
                    <w:tl2br w:val="nil"/>
                    <w:tr2bl w:val="nil"/>
                  </w:tcBorders>
                  <w:shd w:val="clear" w:color="auto" w:fill="auto"/>
                  <w:vAlign w:val="center"/>
                </w:tcPr>
                <w:p w14:paraId="513F6C8E">
                  <w:pPr>
                    <w:pStyle w:val="26"/>
                    <w:keepNext w:val="0"/>
                    <w:keepLines w:val="0"/>
                    <w:suppressLineNumbers w:val="0"/>
                    <w:spacing w:before="0" w:beforeAutospacing="0" w:after="0" w:afterAutospacing="0"/>
                    <w:ind w:left="0" w:right="0"/>
                    <w:rPr>
                      <w:rFonts w:hint="default"/>
                    </w:rPr>
                  </w:pPr>
                  <w:r>
                    <w:rPr>
                      <w:rFonts w:hint="default"/>
                    </w:rPr>
                    <w:t>TP</w:t>
                  </w:r>
                </w:p>
              </w:tc>
              <w:tc>
                <w:tcPr>
                  <w:tcW w:w="463" w:type="pct"/>
                  <w:tcBorders>
                    <w:tl2br w:val="nil"/>
                    <w:tr2bl w:val="nil"/>
                  </w:tcBorders>
                  <w:shd w:val="clear" w:color="auto" w:fill="auto"/>
                  <w:noWrap/>
                  <w:vAlign w:val="center"/>
                </w:tcPr>
                <w:p w14:paraId="42E2B3D7">
                  <w:pPr>
                    <w:pStyle w:val="26"/>
                    <w:keepNext w:val="0"/>
                    <w:keepLines w:val="0"/>
                    <w:suppressLineNumbers w:val="0"/>
                    <w:spacing w:before="0" w:beforeAutospacing="0" w:after="0" w:afterAutospacing="0"/>
                    <w:ind w:left="0" w:right="0"/>
                    <w:rPr>
                      <w:rFonts w:hint="default"/>
                    </w:rPr>
                  </w:pPr>
                  <w:r>
                    <w:rPr>
                      <w:rFonts w:hint="default"/>
                    </w:rPr>
                    <w:t>TN</w:t>
                  </w:r>
                </w:p>
              </w:tc>
            </w:tr>
            <w:tr w14:paraId="397DC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restart"/>
                  <w:tcBorders>
                    <w:tl2br w:val="nil"/>
                    <w:tr2bl w:val="nil"/>
                  </w:tcBorders>
                  <w:shd w:val="clear" w:color="auto" w:fill="auto"/>
                  <w:vAlign w:val="center"/>
                </w:tcPr>
                <w:p w14:paraId="353E01EA">
                  <w:pPr>
                    <w:pStyle w:val="26"/>
                    <w:keepNext w:val="0"/>
                    <w:keepLines w:val="0"/>
                    <w:suppressLineNumbers w:val="0"/>
                    <w:spacing w:before="0" w:beforeAutospacing="0" w:after="0" w:afterAutospacing="0"/>
                    <w:ind w:left="0" w:right="0"/>
                    <w:rPr>
                      <w:rFonts w:hint="default"/>
                    </w:rPr>
                  </w:pPr>
                  <w:r>
                    <w:rPr>
                      <w:rFonts w:hint="default"/>
                    </w:rPr>
                    <w:t>生活污水</w:t>
                  </w:r>
                </w:p>
              </w:tc>
              <w:tc>
                <w:tcPr>
                  <w:tcW w:w="395" w:type="pct"/>
                  <w:vMerge w:val="restart"/>
                  <w:tcBorders>
                    <w:tl2br w:val="nil"/>
                    <w:tr2bl w:val="nil"/>
                  </w:tcBorders>
                  <w:shd w:val="clear" w:color="auto" w:fill="auto"/>
                  <w:vAlign w:val="center"/>
                </w:tcPr>
                <w:p w14:paraId="08EB2615">
                  <w:pPr>
                    <w:pStyle w:val="26"/>
                    <w:keepNext w:val="0"/>
                    <w:keepLines w:val="0"/>
                    <w:suppressLineNumbers w:val="0"/>
                    <w:spacing w:before="0" w:beforeAutospacing="0" w:after="0" w:afterAutospacing="0"/>
                    <w:ind w:left="0" w:right="0"/>
                    <w:rPr>
                      <w:rFonts w:hint="default"/>
                    </w:rPr>
                  </w:pPr>
                  <w:r>
                    <w:rPr>
                      <w:rFonts w:hint="default"/>
                    </w:rPr>
                    <w:t>处理前</w:t>
                  </w:r>
                </w:p>
              </w:tc>
              <w:tc>
                <w:tcPr>
                  <w:tcW w:w="758" w:type="pct"/>
                  <w:tcBorders>
                    <w:tl2br w:val="nil"/>
                    <w:tr2bl w:val="nil"/>
                  </w:tcBorders>
                  <w:shd w:val="clear" w:color="auto" w:fill="auto"/>
                  <w:vAlign w:val="center"/>
                </w:tcPr>
                <w:p w14:paraId="496020E8">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4E4C412F">
                  <w:pPr>
                    <w:pStyle w:val="28"/>
                    <w:keepNext w:val="0"/>
                    <w:keepLines w:val="0"/>
                    <w:suppressLineNumbers w:val="0"/>
                    <w:spacing w:before="0" w:beforeAutospacing="0" w:after="0" w:afterAutospacing="0"/>
                    <w:ind w:left="0" w:right="0"/>
                    <w:rPr>
                      <w:rFonts w:hint="default"/>
                      <w:color w:val="auto"/>
                    </w:rPr>
                  </w:pPr>
                  <w:r>
                    <w:rPr>
                      <w:rFonts w:hint="default"/>
                      <w:color w:val="auto"/>
                    </w:rPr>
                    <w:t>400.8</w:t>
                  </w:r>
                </w:p>
              </w:tc>
              <w:tc>
                <w:tcPr>
                  <w:tcW w:w="515" w:type="pct"/>
                  <w:tcBorders>
                    <w:tl2br w:val="nil"/>
                    <w:tr2bl w:val="nil"/>
                  </w:tcBorders>
                  <w:shd w:val="clear" w:color="auto" w:fill="auto"/>
                  <w:vAlign w:val="center"/>
                </w:tcPr>
                <w:p w14:paraId="7A2CD3B6">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325</w:t>
                  </w:r>
                </w:p>
              </w:tc>
              <w:tc>
                <w:tcPr>
                  <w:tcW w:w="463" w:type="pct"/>
                  <w:tcBorders>
                    <w:tl2br w:val="nil"/>
                    <w:tr2bl w:val="nil"/>
                  </w:tcBorders>
                  <w:shd w:val="clear" w:color="auto" w:fill="auto"/>
                  <w:vAlign w:val="center"/>
                </w:tcPr>
                <w:p w14:paraId="5BAAB561">
                  <w:pPr>
                    <w:pStyle w:val="28"/>
                    <w:keepNext w:val="0"/>
                    <w:keepLines w:val="0"/>
                    <w:suppressLineNumbers w:val="0"/>
                    <w:spacing w:before="0" w:beforeAutospacing="0" w:after="0" w:afterAutospacing="0"/>
                    <w:ind w:left="0" w:right="0"/>
                    <w:rPr>
                      <w:rFonts w:hint="default"/>
                      <w:color w:val="auto"/>
                    </w:rPr>
                  </w:pPr>
                  <w:r>
                    <w:rPr>
                      <w:rFonts w:hint="default"/>
                      <w:color w:val="auto"/>
                    </w:rPr>
                    <w:t>200</w:t>
                  </w:r>
                </w:p>
              </w:tc>
              <w:tc>
                <w:tcPr>
                  <w:tcW w:w="463" w:type="pct"/>
                  <w:tcBorders>
                    <w:tl2br w:val="nil"/>
                    <w:tr2bl w:val="nil"/>
                  </w:tcBorders>
                  <w:shd w:val="clear" w:color="auto" w:fill="auto"/>
                  <w:vAlign w:val="center"/>
                </w:tcPr>
                <w:p w14:paraId="72C60897">
                  <w:pPr>
                    <w:pStyle w:val="28"/>
                    <w:keepNext w:val="0"/>
                    <w:keepLines w:val="0"/>
                    <w:suppressLineNumbers w:val="0"/>
                    <w:spacing w:before="0" w:beforeAutospacing="0" w:after="0" w:afterAutospacing="0"/>
                    <w:ind w:left="0" w:right="0"/>
                    <w:rPr>
                      <w:rFonts w:hint="default"/>
                      <w:color w:val="auto"/>
                    </w:rPr>
                  </w:pPr>
                  <w:r>
                    <w:rPr>
                      <w:rFonts w:hint="default"/>
                      <w:color w:val="auto"/>
                    </w:rPr>
                    <w:t>200</w:t>
                  </w:r>
                </w:p>
              </w:tc>
              <w:tc>
                <w:tcPr>
                  <w:tcW w:w="473" w:type="pct"/>
                  <w:tcBorders>
                    <w:tl2br w:val="nil"/>
                    <w:tr2bl w:val="nil"/>
                  </w:tcBorders>
                  <w:shd w:val="clear" w:color="auto" w:fill="auto"/>
                  <w:vAlign w:val="center"/>
                </w:tcPr>
                <w:p w14:paraId="193DBDA1">
                  <w:pPr>
                    <w:pStyle w:val="28"/>
                    <w:keepNext w:val="0"/>
                    <w:keepLines w:val="0"/>
                    <w:suppressLineNumbers w:val="0"/>
                    <w:spacing w:before="0" w:beforeAutospacing="0" w:after="0" w:afterAutospacing="0"/>
                    <w:ind w:left="0" w:right="0"/>
                    <w:rPr>
                      <w:rFonts w:hint="default"/>
                      <w:color w:val="auto"/>
                    </w:rPr>
                  </w:pPr>
                  <w:r>
                    <w:rPr>
                      <w:rFonts w:hint="default"/>
                      <w:color w:val="auto"/>
                    </w:rPr>
                    <w:t>37.7</w:t>
                  </w:r>
                </w:p>
              </w:tc>
              <w:tc>
                <w:tcPr>
                  <w:tcW w:w="465" w:type="pct"/>
                  <w:tcBorders>
                    <w:tl2br w:val="nil"/>
                    <w:tr2bl w:val="nil"/>
                  </w:tcBorders>
                  <w:shd w:val="clear" w:color="auto" w:fill="auto"/>
                  <w:vAlign w:val="center"/>
                </w:tcPr>
                <w:p w14:paraId="7E1F46A8">
                  <w:pPr>
                    <w:pStyle w:val="28"/>
                    <w:keepNext w:val="0"/>
                    <w:keepLines w:val="0"/>
                    <w:suppressLineNumbers w:val="0"/>
                    <w:spacing w:before="0" w:beforeAutospacing="0" w:after="0" w:afterAutospacing="0"/>
                    <w:ind w:left="0" w:right="0"/>
                    <w:rPr>
                      <w:rFonts w:hint="default"/>
                      <w:color w:val="auto"/>
                    </w:rPr>
                  </w:pPr>
                  <w:r>
                    <w:rPr>
                      <w:rFonts w:hint="default"/>
                      <w:color w:val="auto"/>
                    </w:rPr>
                    <w:t>4.28</w:t>
                  </w:r>
                </w:p>
              </w:tc>
              <w:tc>
                <w:tcPr>
                  <w:tcW w:w="463" w:type="pct"/>
                  <w:tcBorders>
                    <w:tl2br w:val="nil"/>
                    <w:tr2bl w:val="nil"/>
                  </w:tcBorders>
                  <w:shd w:val="clear" w:color="auto" w:fill="auto"/>
                  <w:noWrap/>
                  <w:vAlign w:val="center"/>
                </w:tcPr>
                <w:p w14:paraId="7EC938A4">
                  <w:pPr>
                    <w:pStyle w:val="28"/>
                    <w:keepNext w:val="0"/>
                    <w:keepLines w:val="0"/>
                    <w:suppressLineNumbers w:val="0"/>
                    <w:spacing w:before="0" w:beforeAutospacing="0" w:after="0" w:afterAutospacing="0"/>
                    <w:ind w:left="0" w:right="0"/>
                    <w:rPr>
                      <w:rFonts w:hint="default"/>
                      <w:color w:val="auto"/>
                    </w:rPr>
                  </w:pPr>
                  <w:r>
                    <w:rPr>
                      <w:rFonts w:hint="default"/>
                      <w:color w:val="auto"/>
                    </w:rPr>
                    <w:t>49.8</w:t>
                  </w:r>
                </w:p>
              </w:tc>
            </w:tr>
            <w:tr w14:paraId="19D3E3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635B2841">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0F5C2C68">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04CAC069">
                  <w:pPr>
                    <w:pStyle w:val="26"/>
                    <w:keepNext w:val="0"/>
                    <w:keepLines w:val="0"/>
                    <w:suppressLineNumbers w:val="0"/>
                    <w:spacing w:before="0" w:beforeAutospacing="0" w:after="0" w:afterAutospacing="0"/>
                    <w:ind w:left="0" w:right="0"/>
                    <w:rPr>
                      <w:rFonts w:hint="default"/>
                    </w:rPr>
                  </w:pPr>
                  <w:r>
                    <w:rPr>
                      <w:rFonts w:hint="default"/>
                    </w:rPr>
                    <w:t>产生量（t/a）</w:t>
                  </w:r>
                </w:p>
              </w:tc>
              <w:tc>
                <w:tcPr>
                  <w:tcW w:w="588" w:type="pct"/>
                  <w:vMerge w:val="continue"/>
                  <w:tcBorders>
                    <w:tl2br w:val="nil"/>
                    <w:tr2bl w:val="nil"/>
                  </w:tcBorders>
                  <w:shd w:val="clear" w:color="auto" w:fill="auto"/>
                  <w:vAlign w:val="center"/>
                </w:tcPr>
                <w:p w14:paraId="42D54BCC">
                  <w:pPr>
                    <w:pStyle w:val="28"/>
                    <w:keepNext w:val="0"/>
                    <w:keepLines w:val="0"/>
                    <w:suppressLineNumbers w:val="0"/>
                    <w:spacing w:before="0" w:beforeAutospacing="0" w:after="0" w:afterAutospacing="0"/>
                    <w:ind w:left="0" w:right="0"/>
                    <w:rPr>
                      <w:rFonts w:hint="default"/>
                      <w:color w:val="auto"/>
                    </w:rPr>
                  </w:pPr>
                </w:p>
              </w:tc>
              <w:tc>
                <w:tcPr>
                  <w:tcW w:w="515" w:type="pct"/>
                  <w:tcBorders>
                    <w:tl2br w:val="nil"/>
                    <w:tr2bl w:val="nil"/>
                  </w:tcBorders>
                  <w:shd w:val="clear" w:color="auto" w:fill="auto"/>
                  <w:vAlign w:val="center"/>
                </w:tcPr>
                <w:p w14:paraId="67634672">
                  <w:pPr>
                    <w:pStyle w:val="28"/>
                    <w:keepNext w:val="0"/>
                    <w:keepLines w:val="0"/>
                    <w:suppressLineNumbers w:val="0"/>
                    <w:spacing w:before="0" w:beforeAutospacing="0" w:after="0" w:afterAutospacing="0"/>
                    <w:ind w:left="0" w:right="0"/>
                    <w:rPr>
                      <w:rFonts w:hint="default"/>
                      <w:color w:val="auto"/>
                    </w:rPr>
                  </w:pPr>
                  <w:r>
                    <w:rPr>
                      <w:rFonts w:hint="default"/>
                      <w:color w:val="auto"/>
                    </w:rPr>
                    <w:t>0.130</w:t>
                  </w:r>
                </w:p>
              </w:tc>
              <w:tc>
                <w:tcPr>
                  <w:tcW w:w="463" w:type="pct"/>
                  <w:tcBorders>
                    <w:tl2br w:val="nil"/>
                    <w:tr2bl w:val="nil"/>
                  </w:tcBorders>
                  <w:shd w:val="clear" w:color="auto" w:fill="auto"/>
                  <w:vAlign w:val="center"/>
                </w:tcPr>
                <w:p w14:paraId="4214C2AA">
                  <w:pPr>
                    <w:pStyle w:val="28"/>
                    <w:keepNext w:val="0"/>
                    <w:keepLines w:val="0"/>
                    <w:suppressLineNumbers w:val="0"/>
                    <w:spacing w:before="0" w:beforeAutospacing="0" w:after="0" w:afterAutospacing="0"/>
                    <w:ind w:left="0" w:right="0"/>
                    <w:rPr>
                      <w:rFonts w:hint="default"/>
                      <w:color w:val="auto"/>
                    </w:rPr>
                  </w:pPr>
                  <w:r>
                    <w:rPr>
                      <w:rFonts w:hint="default"/>
                      <w:color w:val="auto"/>
                    </w:rPr>
                    <w:t>0.080</w:t>
                  </w:r>
                </w:p>
              </w:tc>
              <w:tc>
                <w:tcPr>
                  <w:tcW w:w="463" w:type="pct"/>
                  <w:tcBorders>
                    <w:tl2br w:val="nil"/>
                    <w:tr2bl w:val="nil"/>
                  </w:tcBorders>
                  <w:shd w:val="clear" w:color="auto" w:fill="auto"/>
                  <w:vAlign w:val="center"/>
                </w:tcPr>
                <w:p w14:paraId="0FEF745E">
                  <w:pPr>
                    <w:pStyle w:val="28"/>
                    <w:keepNext w:val="0"/>
                    <w:keepLines w:val="0"/>
                    <w:suppressLineNumbers w:val="0"/>
                    <w:spacing w:before="0" w:beforeAutospacing="0" w:after="0" w:afterAutospacing="0"/>
                    <w:ind w:left="0" w:right="0"/>
                    <w:rPr>
                      <w:rFonts w:hint="default"/>
                      <w:color w:val="auto"/>
                    </w:rPr>
                  </w:pPr>
                  <w:r>
                    <w:rPr>
                      <w:rFonts w:hint="default"/>
                      <w:color w:val="auto"/>
                    </w:rPr>
                    <w:t>0.080</w:t>
                  </w:r>
                </w:p>
              </w:tc>
              <w:tc>
                <w:tcPr>
                  <w:tcW w:w="473" w:type="pct"/>
                  <w:tcBorders>
                    <w:tl2br w:val="nil"/>
                    <w:tr2bl w:val="nil"/>
                  </w:tcBorders>
                  <w:shd w:val="clear" w:color="auto" w:fill="auto"/>
                  <w:vAlign w:val="center"/>
                </w:tcPr>
                <w:p w14:paraId="47863577">
                  <w:pPr>
                    <w:pStyle w:val="28"/>
                    <w:keepNext w:val="0"/>
                    <w:keepLines w:val="0"/>
                    <w:suppressLineNumbers w:val="0"/>
                    <w:spacing w:before="0" w:beforeAutospacing="0" w:after="0" w:afterAutospacing="0"/>
                    <w:ind w:left="0" w:right="0"/>
                    <w:rPr>
                      <w:rFonts w:hint="default"/>
                      <w:color w:val="auto"/>
                    </w:rPr>
                  </w:pPr>
                  <w:r>
                    <w:rPr>
                      <w:rFonts w:hint="default"/>
                      <w:color w:val="auto"/>
                    </w:rPr>
                    <w:t>0.015</w:t>
                  </w:r>
                </w:p>
              </w:tc>
              <w:tc>
                <w:tcPr>
                  <w:tcW w:w="465" w:type="pct"/>
                  <w:tcBorders>
                    <w:tl2br w:val="nil"/>
                    <w:tr2bl w:val="nil"/>
                  </w:tcBorders>
                  <w:shd w:val="clear" w:color="auto" w:fill="auto"/>
                  <w:vAlign w:val="center"/>
                </w:tcPr>
                <w:p w14:paraId="33166817">
                  <w:pPr>
                    <w:pStyle w:val="28"/>
                    <w:keepNext w:val="0"/>
                    <w:keepLines w:val="0"/>
                    <w:suppressLineNumbers w:val="0"/>
                    <w:spacing w:before="0" w:beforeAutospacing="0" w:after="0" w:afterAutospacing="0"/>
                    <w:ind w:left="0" w:right="0"/>
                    <w:rPr>
                      <w:rFonts w:hint="default"/>
                      <w:color w:val="auto"/>
                    </w:rPr>
                  </w:pPr>
                  <w:r>
                    <w:rPr>
                      <w:rFonts w:hint="default"/>
                      <w:color w:val="auto"/>
                    </w:rPr>
                    <w:t>0.002</w:t>
                  </w:r>
                </w:p>
              </w:tc>
              <w:tc>
                <w:tcPr>
                  <w:tcW w:w="463" w:type="pct"/>
                  <w:tcBorders>
                    <w:tl2br w:val="nil"/>
                    <w:tr2bl w:val="nil"/>
                  </w:tcBorders>
                  <w:shd w:val="clear" w:color="auto" w:fill="auto"/>
                  <w:vAlign w:val="center"/>
                </w:tcPr>
                <w:p w14:paraId="7BBE8650">
                  <w:pPr>
                    <w:pStyle w:val="28"/>
                    <w:keepNext w:val="0"/>
                    <w:keepLines w:val="0"/>
                    <w:suppressLineNumbers w:val="0"/>
                    <w:spacing w:before="0" w:beforeAutospacing="0" w:after="0" w:afterAutospacing="0"/>
                    <w:ind w:left="0" w:right="0"/>
                    <w:rPr>
                      <w:rFonts w:hint="default"/>
                      <w:color w:val="auto"/>
                    </w:rPr>
                  </w:pPr>
                  <w:r>
                    <w:rPr>
                      <w:rFonts w:hint="default"/>
                      <w:color w:val="auto"/>
                    </w:rPr>
                    <w:t>0.020</w:t>
                  </w:r>
                </w:p>
              </w:tc>
            </w:tr>
            <w:tr w14:paraId="29B05D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3C14A49A">
                  <w:pPr>
                    <w:pStyle w:val="26"/>
                    <w:keepNext w:val="0"/>
                    <w:keepLines w:val="0"/>
                    <w:suppressLineNumbers w:val="0"/>
                    <w:spacing w:before="0" w:beforeAutospacing="0" w:after="0" w:afterAutospacing="0"/>
                    <w:ind w:left="0" w:right="0"/>
                    <w:rPr>
                      <w:rFonts w:hint="default"/>
                    </w:rPr>
                  </w:pPr>
                </w:p>
              </w:tc>
              <w:tc>
                <w:tcPr>
                  <w:tcW w:w="395" w:type="pct"/>
                  <w:vMerge w:val="restart"/>
                  <w:tcBorders>
                    <w:tl2br w:val="nil"/>
                    <w:tr2bl w:val="nil"/>
                  </w:tcBorders>
                  <w:shd w:val="clear" w:color="auto" w:fill="auto"/>
                  <w:vAlign w:val="center"/>
                </w:tcPr>
                <w:p w14:paraId="6B6F492C">
                  <w:pPr>
                    <w:pStyle w:val="26"/>
                    <w:keepNext w:val="0"/>
                    <w:keepLines w:val="0"/>
                    <w:suppressLineNumbers w:val="0"/>
                    <w:spacing w:before="0" w:beforeAutospacing="0" w:after="0" w:afterAutospacing="0"/>
                    <w:ind w:left="0" w:right="0"/>
                    <w:rPr>
                      <w:rFonts w:hint="default"/>
                    </w:rPr>
                  </w:pPr>
                  <w:r>
                    <w:rPr>
                      <w:rFonts w:hint="default"/>
                    </w:rPr>
                    <w:t>处理后</w:t>
                  </w:r>
                </w:p>
              </w:tc>
              <w:tc>
                <w:tcPr>
                  <w:tcW w:w="758" w:type="pct"/>
                  <w:tcBorders>
                    <w:tl2br w:val="nil"/>
                    <w:tr2bl w:val="nil"/>
                  </w:tcBorders>
                  <w:shd w:val="clear" w:color="auto" w:fill="auto"/>
                  <w:vAlign w:val="center"/>
                </w:tcPr>
                <w:p w14:paraId="0586AE37">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1064E1D0">
                  <w:pPr>
                    <w:pStyle w:val="28"/>
                    <w:keepNext w:val="0"/>
                    <w:keepLines w:val="0"/>
                    <w:suppressLineNumbers w:val="0"/>
                    <w:spacing w:before="0" w:beforeAutospacing="0" w:after="0" w:afterAutospacing="0"/>
                    <w:ind w:left="0" w:right="0"/>
                    <w:rPr>
                      <w:rFonts w:hint="default"/>
                      <w:color w:val="auto"/>
                    </w:rPr>
                  </w:pPr>
                  <w:r>
                    <w:rPr>
                      <w:rFonts w:hint="default"/>
                      <w:color w:val="auto"/>
                    </w:rPr>
                    <w:t>400.8</w:t>
                  </w:r>
                </w:p>
              </w:tc>
              <w:tc>
                <w:tcPr>
                  <w:tcW w:w="515" w:type="pct"/>
                  <w:tcBorders>
                    <w:tl2br w:val="nil"/>
                    <w:tr2bl w:val="nil"/>
                  </w:tcBorders>
                  <w:shd w:val="clear" w:color="auto" w:fill="auto"/>
                  <w:vAlign w:val="center"/>
                </w:tcPr>
                <w:p w14:paraId="4904FB89">
                  <w:pPr>
                    <w:pStyle w:val="28"/>
                    <w:keepNext w:val="0"/>
                    <w:keepLines w:val="0"/>
                    <w:suppressLineNumbers w:val="0"/>
                    <w:spacing w:before="0" w:beforeAutospacing="0" w:after="0" w:afterAutospacing="0"/>
                    <w:ind w:left="0" w:right="0"/>
                    <w:rPr>
                      <w:rFonts w:hint="default"/>
                      <w:color w:val="auto"/>
                    </w:rPr>
                  </w:pPr>
                  <w:r>
                    <w:rPr>
                      <w:rFonts w:hint="default"/>
                      <w:color w:val="auto"/>
                    </w:rPr>
                    <w:t>300</w:t>
                  </w:r>
                </w:p>
              </w:tc>
              <w:tc>
                <w:tcPr>
                  <w:tcW w:w="463" w:type="pct"/>
                  <w:tcBorders>
                    <w:tl2br w:val="nil"/>
                    <w:tr2bl w:val="nil"/>
                  </w:tcBorders>
                  <w:shd w:val="clear" w:color="auto" w:fill="auto"/>
                  <w:vAlign w:val="center"/>
                </w:tcPr>
                <w:p w14:paraId="1A05AA45">
                  <w:pPr>
                    <w:pStyle w:val="28"/>
                    <w:keepNext w:val="0"/>
                    <w:keepLines w:val="0"/>
                    <w:suppressLineNumbers w:val="0"/>
                    <w:spacing w:before="0" w:beforeAutospacing="0" w:after="0" w:afterAutospacing="0"/>
                    <w:ind w:left="0" w:right="0"/>
                    <w:rPr>
                      <w:rFonts w:hint="default"/>
                      <w:color w:val="auto"/>
                    </w:rPr>
                  </w:pPr>
                  <w:r>
                    <w:rPr>
                      <w:rFonts w:hint="default"/>
                      <w:color w:val="auto"/>
                    </w:rPr>
                    <w:t>180</w:t>
                  </w:r>
                </w:p>
              </w:tc>
              <w:tc>
                <w:tcPr>
                  <w:tcW w:w="463" w:type="pct"/>
                  <w:tcBorders>
                    <w:tl2br w:val="nil"/>
                    <w:tr2bl w:val="nil"/>
                  </w:tcBorders>
                  <w:shd w:val="clear" w:color="auto" w:fill="auto"/>
                  <w:vAlign w:val="center"/>
                </w:tcPr>
                <w:p w14:paraId="504B5C61">
                  <w:pPr>
                    <w:pStyle w:val="28"/>
                    <w:keepNext w:val="0"/>
                    <w:keepLines w:val="0"/>
                    <w:suppressLineNumbers w:val="0"/>
                    <w:spacing w:before="0" w:beforeAutospacing="0" w:after="0" w:afterAutospacing="0"/>
                    <w:ind w:left="0" w:right="0"/>
                    <w:rPr>
                      <w:rFonts w:hint="default"/>
                      <w:color w:val="auto"/>
                    </w:rPr>
                  </w:pPr>
                  <w:r>
                    <w:rPr>
                      <w:rFonts w:hint="default"/>
                      <w:color w:val="auto"/>
                    </w:rPr>
                    <w:t>150</w:t>
                  </w:r>
                </w:p>
              </w:tc>
              <w:tc>
                <w:tcPr>
                  <w:tcW w:w="473" w:type="pct"/>
                  <w:tcBorders>
                    <w:tl2br w:val="nil"/>
                    <w:tr2bl w:val="nil"/>
                  </w:tcBorders>
                  <w:shd w:val="clear" w:color="auto" w:fill="auto"/>
                  <w:vAlign w:val="center"/>
                </w:tcPr>
                <w:p w14:paraId="0DA959F2">
                  <w:pPr>
                    <w:pStyle w:val="28"/>
                    <w:keepNext w:val="0"/>
                    <w:keepLines w:val="0"/>
                    <w:suppressLineNumbers w:val="0"/>
                    <w:spacing w:before="0" w:beforeAutospacing="0" w:after="0" w:afterAutospacing="0"/>
                    <w:ind w:left="0" w:right="0"/>
                    <w:rPr>
                      <w:rFonts w:hint="default"/>
                      <w:color w:val="auto"/>
                    </w:rPr>
                  </w:pPr>
                  <w:r>
                    <w:rPr>
                      <w:rFonts w:hint="default"/>
                      <w:color w:val="auto"/>
                    </w:rPr>
                    <w:t>37.7</w:t>
                  </w:r>
                </w:p>
              </w:tc>
              <w:tc>
                <w:tcPr>
                  <w:tcW w:w="465" w:type="pct"/>
                  <w:tcBorders>
                    <w:tl2br w:val="nil"/>
                    <w:tr2bl w:val="nil"/>
                  </w:tcBorders>
                  <w:shd w:val="clear" w:color="auto" w:fill="auto"/>
                  <w:vAlign w:val="center"/>
                </w:tcPr>
                <w:p w14:paraId="4E2C56BB">
                  <w:pPr>
                    <w:pStyle w:val="28"/>
                    <w:keepNext w:val="0"/>
                    <w:keepLines w:val="0"/>
                    <w:suppressLineNumbers w:val="0"/>
                    <w:spacing w:before="0" w:beforeAutospacing="0" w:after="0" w:afterAutospacing="0"/>
                    <w:ind w:left="0" w:right="0"/>
                    <w:rPr>
                      <w:rFonts w:hint="default"/>
                      <w:color w:val="auto"/>
                    </w:rPr>
                  </w:pPr>
                  <w:r>
                    <w:rPr>
                      <w:rFonts w:hint="default"/>
                      <w:color w:val="auto"/>
                    </w:rPr>
                    <w:t>4.28</w:t>
                  </w:r>
                </w:p>
              </w:tc>
              <w:tc>
                <w:tcPr>
                  <w:tcW w:w="463" w:type="pct"/>
                  <w:tcBorders>
                    <w:tl2br w:val="nil"/>
                    <w:tr2bl w:val="nil"/>
                  </w:tcBorders>
                  <w:shd w:val="clear" w:color="auto" w:fill="auto"/>
                  <w:noWrap/>
                  <w:vAlign w:val="center"/>
                </w:tcPr>
                <w:p w14:paraId="45AFC155">
                  <w:pPr>
                    <w:pStyle w:val="28"/>
                    <w:keepNext w:val="0"/>
                    <w:keepLines w:val="0"/>
                    <w:suppressLineNumbers w:val="0"/>
                    <w:spacing w:before="0" w:beforeAutospacing="0" w:after="0" w:afterAutospacing="0"/>
                    <w:ind w:left="0" w:right="0"/>
                    <w:rPr>
                      <w:rFonts w:hint="default"/>
                      <w:color w:val="auto"/>
                    </w:rPr>
                  </w:pPr>
                  <w:r>
                    <w:rPr>
                      <w:rFonts w:hint="default"/>
                      <w:color w:val="auto"/>
                    </w:rPr>
                    <w:t>49.8</w:t>
                  </w:r>
                </w:p>
              </w:tc>
            </w:tr>
            <w:tr w14:paraId="7594E9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4531A8CC">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579C18EC">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780E814F">
                  <w:pPr>
                    <w:pStyle w:val="26"/>
                    <w:keepNext w:val="0"/>
                    <w:keepLines w:val="0"/>
                    <w:suppressLineNumbers w:val="0"/>
                    <w:spacing w:before="0" w:beforeAutospacing="0" w:after="0" w:afterAutospacing="0"/>
                    <w:ind w:left="0" w:right="0"/>
                    <w:rPr>
                      <w:rFonts w:hint="default"/>
                    </w:rPr>
                  </w:pPr>
                  <w:r>
                    <w:rPr>
                      <w:rFonts w:hint="default"/>
                    </w:rPr>
                    <w:t>排放量（t/a）</w:t>
                  </w:r>
                </w:p>
              </w:tc>
              <w:tc>
                <w:tcPr>
                  <w:tcW w:w="588" w:type="pct"/>
                  <w:vMerge w:val="continue"/>
                  <w:tcBorders>
                    <w:tl2br w:val="nil"/>
                    <w:tr2bl w:val="nil"/>
                  </w:tcBorders>
                  <w:shd w:val="clear" w:color="auto" w:fill="auto"/>
                  <w:vAlign w:val="center"/>
                </w:tcPr>
                <w:p w14:paraId="6DF3F1A9">
                  <w:pPr>
                    <w:pStyle w:val="28"/>
                    <w:keepNext w:val="0"/>
                    <w:keepLines w:val="0"/>
                    <w:suppressLineNumbers w:val="0"/>
                    <w:spacing w:before="0" w:beforeAutospacing="0" w:after="0" w:afterAutospacing="0"/>
                    <w:ind w:left="0" w:right="0"/>
                    <w:rPr>
                      <w:rFonts w:hint="default"/>
                      <w:color w:val="auto"/>
                    </w:rPr>
                  </w:pPr>
                </w:p>
              </w:tc>
              <w:tc>
                <w:tcPr>
                  <w:tcW w:w="515" w:type="pct"/>
                  <w:tcBorders>
                    <w:tl2br w:val="nil"/>
                    <w:tr2bl w:val="nil"/>
                  </w:tcBorders>
                  <w:shd w:val="clear" w:color="auto" w:fill="auto"/>
                  <w:vAlign w:val="center"/>
                </w:tcPr>
                <w:p w14:paraId="4E5009E7">
                  <w:pPr>
                    <w:pStyle w:val="28"/>
                    <w:keepNext w:val="0"/>
                    <w:keepLines w:val="0"/>
                    <w:suppressLineNumbers w:val="0"/>
                    <w:spacing w:before="0" w:beforeAutospacing="0" w:after="0" w:afterAutospacing="0"/>
                    <w:ind w:left="0" w:right="0"/>
                    <w:rPr>
                      <w:rFonts w:hint="default"/>
                      <w:color w:val="auto"/>
                    </w:rPr>
                  </w:pPr>
                  <w:r>
                    <w:rPr>
                      <w:rFonts w:hint="default"/>
                      <w:color w:val="auto"/>
                    </w:rPr>
                    <w:t>0.120</w:t>
                  </w:r>
                </w:p>
              </w:tc>
              <w:tc>
                <w:tcPr>
                  <w:tcW w:w="463" w:type="pct"/>
                  <w:tcBorders>
                    <w:tl2br w:val="nil"/>
                    <w:tr2bl w:val="nil"/>
                  </w:tcBorders>
                  <w:shd w:val="clear" w:color="auto" w:fill="auto"/>
                  <w:vAlign w:val="center"/>
                </w:tcPr>
                <w:p w14:paraId="5DE8C84B">
                  <w:pPr>
                    <w:pStyle w:val="28"/>
                    <w:keepNext w:val="0"/>
                    <w:keepLines w:val="0"/>
                    <w:suppressLineNumbers w:val="0"/>
                    <w:spacing w:before="0" w:beforeAutospacing="0" w:after="0" w:afterAutospacing="0"/>
                    <w:ind w:left="0" w:right="0"/>
                    <w:rPr>
                      <w:rFonts w:hint="default"/>
                      <w:color w:val="auto"/>
                    </w:rPr>
                  </w:pPr>
                  <w:r>
                    <w:rPr>
                      <w:rFonts w:hint="default"/>
                      <w:color w:val="auto"/>
                    </w:rPr>
                    <w:t>0.072</w:t>
                  </w:r>
                </w:p>
              </w:tc>
              <w:tc>
                <w:tcPr>
                  <w:tcW w:w="463" w:type="pct"/>
                  <w:tcBorders>
                    <w:tl2br w:val="nil"/>
                    <w:tr2bl w:val="nil"/>
                  </w:tcBorders>
                  <w:shd w:val="clear" w:color="auto" w:fill="auto"/>
                  <w:vAlign w:val="center"/>
                </w:tcPr>
                <w:p w14:paraId="29519717">
                  <w:pPr>
                    <w:pStyle w:val="28"/>
                    <w:keepNext w:val="0"/>
                    <w:keepLines w:val="0"/>
                    <w:suppressLineNumbers w:val="0"/>
                    <w:spacing w:before="0" w:beforeAutospacing="0" w:after="0" w:afterAutospacing="0"/>
                    <w:ind w:left="0" w:right="0"/>
                    <w:rPr>
                      <w:rFonts w:hint="default"/>
                      <w:color w:val="auto"/>
                    </w:rPr>
                  </w:pPr>
                  <w:r>
                    <w:rPr>
                      <w:rFonts w:hint="default"/>
                      <w:color w:val="auto"/>
                    </w:rPr>
                    <w:t>0.060</w:t>
                  </w:r>
                </w:p>
              </w:tc>
              <w:tc>
                <w:tcPr>
                  <w:tcW w:w="473" w:type="pct"/>
                  <w:tcBorders>
                    <w:tl2br w:val="nil"/>
                    <w:tr2bl w:val="nil"/>
                  </w:tcBorders>
                  <w:shd w:val="clear" w:color="auto" w:fill="auto"/>
                  <w:vAlign w:val="center"/>
                </w:tcPr>
                <w:p w14:paraId="1F68FCCA">
                  <w:pPr>
                    <w:pStyle w:val="28"/>
                    <w:keepNext w:val="0"/>
                    <w:keepLines w:val="0"/>
                    <w:suppressLineNumbers w:val="0"/>
                    <w:spacing w:before="0" w:beforeAutospacing="0" w:after="0" w:afterAutospacing="0"/>
                    <w:ind w:left="0" w:right="0"/>
                    <w:rPr>
                      <w:rFonts w:hint="default"/>
                      <w:color w:val="auto"/>
                    </w:rPr>
                  </w:pPr>
                  <w:r>
                    <w:rPr>
                      <w:rFonts w:hint="default"/>
                      <w:color w:val="auto"/>
                    </w:rPr>
                    <w:t>0.015</w:t>
                  </w:r>
                </w:p>
              </w:tc>
              <w:tc>
                <w:tcPr>
                  <w:tcW w:w="465" w:type="pct"/>
                  <w:tcBorders>
                    <w:tl2br w:val="nil"/>
                    <w:tr2bl w:val="nil"/>
                  </w:tcBorders>
                  <w:shd w:val="clear" w:color="auto" w:fill="auto"/>
                  <w:vAlign w:val="center"/>
                </w:tcPr>
                <w:p w14:paraId="53D2FC00">
                  <w:pPr>
                    <w:pStyle w:val="28"/>
                    <w:keepNext w:val="0"/>
                    <w:keepLines w:val="0"/>
                    <w:suppressLineNumbers w:val="0"/>
                    <w:spacing w:before="0" w:beforeAutospacing="0" w:after="0" w:afterAutospacing="0"/>
                    <w:ind w:left="0" w:right="0"/>
                    <w:rPr>
                      <w:rFonts w:hint="default"/>
                      <w:color w:val="auto"/>
                    </w:rPr>
                  </w:pPr>
                  <w:r>
                    <w:rPr>
                      <w:rFonts w:hint="default"/>
                      <w:color w:val="auto"/>
                    </w:rPr>
                    <w:t>0.002</w:t>
                  </w:r>
                </w:p>
              </w:tc>
              <w:tc>
                <w:tcPr>
                  <w:tcW w:w="463" w:type="pct"/>
                  <w:tcBorders>
                    <w:tl2br w:val="nil"/>
                    <w:tr2bl w:val="nil"/>
                  </w:tcBorders>
                  <w:shd w:val="clear" w:color="auto" w:fill="auto"/>
                  <w:vAlign w:val="center"/>
                </w:tcPr>
                <w:p w14:paraId="51099F3C">
                  <w:pPr>
                    <w:pStyle w:val="28"/>
                    <w:keepNext w:val="0"/>
                    <w:keepLines w:val="0"/>
                    <w:suppressLineNumbers w:val="0"/>
                    <w:spacing w:before="0" w:beforeAutospacing="0" w:after="0" w:afterAutospacing="0"/>
                    <w:ind w:left="0" w:right="0"/>
                    <w:rPr>
                      <w:rFonts w:hint="default"/>
                      <w:color w:val="auto"/>
                    </w:rPr>
                  </w:pPr>
                  <w:r>
                    <w:rPr>
                      <w:rFonts w:hint="default"/>
                      <w:color w:val="auto"/>
                    </w:rPr>
                    <w:t>0.020</w:t>
                  </w:r>
                </w:p>
              </w:tc>
            </w:tr>
            <w:tr w14:paraId="0DEF40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restart"/>
                  <w:tcBorders>
                    <w:tl2br w:val="nil"/>
                    <w:tr2bl w:val="nil"/>
                  </w:tcBorders>
                  <w:shd w:val="clear" w:color="auto" w:fill="auto"/>
                  <w:vAlign w:val="center"/>
                </w:tcPr>
                <w:p w14:paraId="35CDB919">
                  <w:pPr>
                    <w:pStyle w:val="26"/>
                    <w:keepNext w:val="0"/>
                    <w:keepLines w:val="0"/>
                    <w:suppressLineNumbers w:val="0"/>
                    <w:spacing w:before="0" w:beforeAutospacing="0" w:after="0" w:afterAutospacing="0"/>
                    <w:ind w:left="0" w:right="0"/>
                    <w:rPr>
                      <w:rFonts w:hint="default"/>
                    </w:rPr>
                  </w:pPr>
                  <w:r>
                    <w:rPr>
                      <w:rFonts w:hint="default"/>
                    </w:rPr>
                    <w:t>食堂废水</w:t>
                  </w:r>
                </w:p>
              </w:tc>
              <w:tc>
                <w:tcPr>
                  <w:tcW w:w="395" w:type="pct"/>
                  <w:vMerge w:val="restart"/>
                  <w:tcBorders>
                    <w:tl2br w:val="nil"/>
                    <w:tr2bl w:val="nil"/>
                  </w:tcBorders>
                  <w:shd w:val="clear" w:color="auto" w:fill="auto"/>
                  <w:vAlign w:val="center"/>
                </w:tcPr>
                <w:p w14:paraId="1726EFA4">
                  <w:pPr>
                    <w:pStyle w:val="26"/>
                    <w:keepNext w:val="0"/>
                    <w:keepLines w:val="0"/>
                    <w:suppressLineNumbers w:val="0"/>
                    <w:spacing w:before="0" w:beforeAutospacing="0" w:after="0" w:afterAutospacing="0"/>
                    <w:ind w:left="0" w:right="0"/>
                    <w:rPr>
                      <w:rFonts w:hint="default"/>
                    </w:rPr>
                  </w:pPr>
                  <w:r>
                    <w:rPr>
                      <w:rFonts w:hint="default"/>
                    </w:rPr>
                    <w:t>处理前</w:t>
                  </w:r>
                </w:p>
              </w:tc>
              <w:tc>
                <w:tcPr>
                  <w:tcW w:w="758" w:type="pct"/>
                  <w:tcBorders>
                    <w:tl2br w:val="nil"/>
                    <w:tr2bl w:val="nil"/>
                  </w:tcBorders>
                  <w:shd w:val="clear" w:color="auto" w:fill="auto"/>
                  <w:vAlign w:val="center"/>
                </w:tcPr>
                <w:p w14:paraId="3EDA1B7D">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49A06874">
                  <w:pPr>
                    <w:pStyle w:val="28"/>
                    <w:keepNext w:val="0"/>
                    <w:keepLines w:val="0"/>
                    <w:suppressLineNumbers w:val="0"/>
                    <w:spacing w:before="0" w:beforeAutospacing="0" w:after="0" w:afterAutospacing="0"/>
                    <w:ind w:left="0" w:right="0"/>
                    <w:rPr>
                      <w:rFonts w:hint="default"/>
                      <w:color w:val="auto"/>
                    </w:rPr>
                  </w:pPr>
                  <w:r>
                    <w:rPr>
                      <w:rFonts w:hint="default"/>
                      <w:color w:val="auto"/>
                    </w:rPr>
                    <w:t>200.4</w:t>
                  </w:r>
                </w:p>
              </w:tc>
              <w:tc>
                <w:tcPr>
                  <w:tcW w:w="515" w:type="pct"/>
                  <w:tcBorders>
                    <w:tl2br w:val="nil"/>
                    <w:tr2bl w:val="nil"/>
                  </w:tcBorders>
                  <w:shd w:val="clear" w:color="auto" w:fill="auto"/>
                  <w:vAlign w:val="center"/>
                </w:tcPr>
                <w:p w14:paraId="6A482547">
                  <w:pPr>
                    <w:pStyle w:val="28"/>
                    <w:keepNext w:val="0"/>
                    <w:keepLines w:val="0"/>
                    <w:suppressLineNumbers w:val="0"/>
                    <w:spacing w:before="0" w:beforeAutospacing="0" w:after="0" w:afterAutospacing="0"/>
                    <w:ind w:left="0" w:right="0"/>
                    <w:rPr>
                      <w:rFonts w:hint="default"/>
                      <w:color w:val="auto"/>
                    </w:rPr>
                  </w:pPr>
                  <w:r>
                    <w:rPr>
                      <w:rFonts w:hint="default"/>
                      <w:color w:val="auto"/>
                    </w:rPr>
                    <w:t>325</w:t>
                  </w:r>
                </w:p>
              </w:tc>
              <w:tc>
                <w:tcPr>
                  <w:tcW w:w="463" w:type="pct"/>
                  <w:tcBorders>
                    <w:tl2br w:val="nil"/>
                    <w:tr2bl w:val="nil"/>
                  </w:tcBorders>
                  <w:shd w:val="clear" w:color="auto" w:fill="auto"/>
                  <w:vAlign w:val="center"/>
                </w:tcPr>
                <w:p w14:paraId="32ADDA83">
                  <w:pPr>
                    <w:pStyle w:val="28"/>
                    <w:keepNext w:val="0"/>
                    <w:keepLines w:val="0"/>
                    <w:suppressLineNumbers w:val="0"/>
                    <w:spacing w:before="0" w:beforeAutospacing="0" w:after="0" w:afterAutospacing="0"/>
                    <w:ind w:left="0" w:right="0"/>
                    <w:rPr>
                      <w:rFonts w:hint="default"/>
                      <w:color w:val="auto"/>
                    </w:rPr>
                  </w:pPr>
                  <w:r>
                    <w:rPr>
                      <w:rFonts w:hint="default"/>
                      <w:color w:val="auto"/>
                    </w:rPr>
                    <w:t>200</w:t>
                  </w:r>
                </w:p>
              </w:tc>
              <w:tc>
                <w:tcPr>
                  <w:tcW w:w="463" w:type="pct"/>
                  <w:tcBorders>
                    <w:tl2br w:val="nil"/>
                    <w:tr2bl w:val="nil"/>
                  </w:tcBorders>
                  <w:shd w:val="clear" w:color="auto" w:fill="auto"/>
                  <w:vAlign w:val="center"/>
                </w:tcPr>
                <w:p w14:paraId="566A0E81">
                  <w:pPr>
                    <w:pStyle w:val="28"/>
                    <w:keepNext w:val="0"/>
                    <w:keepLines w:val="0"/>
                    <w:suppressLineNumbers w:val="0"/>
                    <w:spacing w:before="0" w:beforeAutospacing="0" w:after="0" w:afterAutospacing="0"/>
                    <w:ind w:left="0" w:right="0"/>
                    <w:rPr>
                      <w:rFonts w:hint="default"/>
                      <w:color w:val="auto"/>
                    </w:rPr>
                  </w:pPr>
                  <w:r>
                    <w:rPr>
                      <w:rFonts w:hint="default"/>
                      <w:color w:val="auto"/>
                    </w:rPr>
                    <w:t>200</w:t>
                  </w:r>
                </w:p>
              </w:tc>
              <w:tc>
                <w:tcPr>
                  <w:tcW w:w="473" w:type="pct"/>
                  <w:tcBorders>
                    <w:tl2br w:val="nil"/>
                    <w:tr2bl w:val="nil"/>
                  </w:tcBorders>
                  <w:shd w:val="clear" w:color="auto" w:fill="auto"/>
                  <w:vAlign w:val="center"/>
                </w:tcPr>
                <w:p w14:paraId="5CD19D8A">
                  <w:pPr>
                    <w:pStyle w:val="28"/>
                    <w:keepNext w:val="0"/>
                    <w:keepLines w:val="0"/>
                    <w:suppressLineNumbers w:val="0"/>
                    <w:spacing w:before="0" w:beforeAutospacing="0" w:after="0" w:afterAutospacing="0"/>
                    <w:ind w:left="0" w:right="0"/>
                    <w:rPr>
                      <w:rFonts w:hint="default"/>
                      <w:color w:val="auto"/>
                    </w:rPr>
                  </w:pPr>
                  <w:r>
                    <w:rPr>
                      <w:rFonts w:hint="default"/>
                      <w:color w:val="auto"/>
                    </w:rPr>
                    <w:t>37.7</w:t>
                  </w:r>
                </w:p>
              </w:tc>
              <w:tc>
                <w:tcPr>
                  <w:tcW w:w="465" w:type="pct"/>
                  <w:tcBorders>
                    <w:tl2br w:val="nil"/>
                    <w:tr2bl w:val="nil"/>
                  </w:tcBorders>
                  <w:shd w:val="clear" w:color="auto" w:fill="auto"/>
                  <w:vAlign w:val="center"/>
                </w:tcPr>
                <w:p w14:paraId="24248D71">
                  <w:pPr>
                    <w:pStyle w:val="28"/>
                    <w:keepNext w:val="0"/>
                    <w:keepLines w:val="0"/>
                    <w:suppressLineNumbers w:val="0"/>
                    <w:spacing w:before="0" w:beforeAutospacing="0" w:after="0" w:afterAutospacing="0"/>
                    <w:ind w:left="0" w:right="0"/>
                    <w:rPr>
                      <w:rFonts w:hint="default"/>
                      <w:color w:val="auto"/>
                    </w:rPr>
                  </w:pPr>
                  <w:r>
                    <w:rPr>
                      <w:rFonts w:hint="default"/>
                      <w:color w:val="auto"/>
                    </w:rPr>
                    <w:t>4.28</w:t>
                  </w:r>
                </w:p>
              </w:tc>
              <w:tc>
                <w:tcPr>
                  <w:tcW w:w="463" w:type="pct"/>
                  <w:tcBorders>
                    <w:tl2br w:val="nil"/>
                    <w:tr2bl w:val="nil"/>
                  </w:tcBorders>
                  <w:shd w:val="clear" w:color="auto" w:fill="auto"/>
                  <w:noWrap/>
                  <w:vAlign w:val="center"/>
                </w:tcPr>
                <w:p w14:paraId="0B3BB203">
                  <w:pPr>
                    <w:pStyle w:val="28"/>
                    <w:keepNext w:val="0"/>
                    <w:keepLines w:val="0"/>
                    <w:suppressLineNumbers w:val="0"/>
                    <w:spacing w:before="0" w:beforeAutospacing="0" w:after="0" w:afterAutospacing="0"/>
                    <w:ind w:left="0" w:right="0"/>
                    <w:rPr>
                      <w:rFonts w:hint="default"/>
                      <w:color w:val="auto"/>
                    </w:rPr>
                  </w:pPr>
                  <w:r>
                    <w:rPr>
                      <w:rFonts w:hint="default"/>
                      <w:color w:val="auto"/>
                    </w:rPr>
                    <w:t>49.8</w:t>
                  </w:r>
                </w:p>
              </w:tc>
            </w:tr>
            <w:tr w14:paraId="3E5E5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64F6AB93">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01B45F75">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7E3777C1">
                  <w:pPr>
                    <w:pStyle w:val="26"/>
                    <w:keepNext w:val="0"/>
                    <w:keepLines w:val="0"/>
                    <w:suppressLineNumbers w:val="0"/>
                    <w:spacing w:before="0" w:beforeAutospacing="0" w:after="0" w:afterAutospacing="0"/>
                    <w:ind w:left="0" w:right="0"/>
                    <w:rPr>
                      <w:rFonts w:hint="default"/>
                    </w:rPr>
                  </w:pPr>
                  <w:r>
                    <w:rPr>
                      <w:rFonts w:hint="default"/>
                    </w:rPr>
                    <w:t>产生量（t/a）</w:t>
                  </w:r>
                </w:p>
              </w:tc>
              <w:tc>
                <w:tcPr>
                  <w:tcW w:w="588" w:type="pct"/>
                  <w:vMerge w:val="continue"/>
                  <w:tcBorders>
                    <w:tl2br w:val="nil"/>
                    <w:tr2bl w:val="nil"/>
                  </w:tcBorders>
                  <w:shd w:val="clear" w:color="auto" w:fill="auto"/>
                  <w:vAlign w:val="center"/>
                </w:tcPr>
                <w:p w14:paraId="1FA1A532">
                  <w:pPr>
                    <w:pStyle w:val="28"/>
                    <w:keepNext w:val="0"/>
                    <w:keepLines w:val="0"/>
                    <w:suppressLineNumbers w:val="0"/>
                    <w:spacing w:before="0" w:beforeAutospacing="0" w:after="0" w:afterAutospacing="0"/>
                    <w:ind w:left="0" w:right="0"/>
                    <w:rPr>
                      <w:rFonts w:hint="default"/>
                      <w:color w:val="auto"/>
                    </w:rPr>
                  </w:pPr>
                </w:p>
              </w:tc>
              <w:tc>
                <w:tcPr>
                  <w:tcW w:w="515" w:type="pct"/>
                  <w:tcBorders>
                    <w:tl2br w:val="nil"/>
                    <w:tr2bl w:val="nil"/>
                  </w:tcBorders>
                  <w:shd w:val="clear" w:color="auto" w:fill="auto"/>
                  <w:vAlign w:val="center"/>
                </w:tcPr>
                <w:p w14:paraId="3629B043">
                  <w:pPr>
                    <w:pStyle w:val="28"/>
                    <w:keepNext w:val="0"/>
                    <w:keepLines w:val="0"/>
                    <w:suppressLineNumbers w:val="0"/>
                    <w:spacing w:before="0" w:beforeAutospacing="0" w:after="0" w:afterAutospacing="0"/>
                    <w:ind w:left="0" w:right="0"/>
                    <w:rPr>
                      <w:rFonts w:hint="default"/>
                      <w:color w:val="auto"/>
                    </w:rPr>
                  </w:pPr>
                  <w:r>
                    <w:rPr>
                      <w:rFonts w:hint="default"/>
                      <w:color w:val="auto"/>
                    </w:rPr>
                    <w:t>0.065</w:t>
                  </w:r>
                </w:p>
              </w:tc>
              <w:tc>
                <w:tcPr>
                  <w:tcW w:w="463" w:type="pct"/>
                  <w:tcBorders>
                    <w:tl2br w:val="nil"/>
                    <w:tr2bl w:val="nil"/>
                  </w:tcBorders>
                  <w:shd w:val="clear" w:color="auto" w:fill="auto"/>
                  <w:vAlign w:val="center"/>
                </w:tcPr>
                <w:p w14:paraId="4AFC973F">
                  <w:pPr>
                    <w:pStyle w:val="28"/>
                    <w:keepNext w:val="0"/>
                    <w:keepLines w:val="0"/>
                    <w:suppressLineNumbers w:val="0"/>
                    <w:spacing w:before="0" w:beforeAutospacing="0" w:after="0" w:afterAutospacing="0"/>
                    <w:ind w:left="0" w:right="0"/>
                    <w:rPr>
                      <w:rFonts w:hint="default"/>
                      <w:color w:val="auto"/>
                    </w:rPr>
                  </w:pPr>
                  <w:r>
                    <w:rPr>
                      <w:rFonts w:hint="default"/>
                      <w:color w:val="auto"/>
                    </w:rPr>
                    <w:t>0.040</w:t>
                  </w:r>
                </w:p>
              </w:tc>
              <w:tc>
                <w:tcPr>
                  <w:tcW w:w="463" w:type="pct"/>
                  <w:tcBorders>
                    <w:tl2br w:val="nil"/>
                    <w:tr2bl w:val="nil"/>
                  </w:tcBorders>
                  <w:shd w:val="clear" w:color="auto" w:fill="auto"/>
                  <w:vAlign w:val="center"/>
                </w:tcPr>
                <w:p w14:paraId="72D5F086">
                  <w:pPr>
                    <w:pStyle w:val="28"/>
                    <w:keepNext w:val="0"/>
                    <w:keepLines w:val="0"/>
                    <w:suppressLineNumbers w:val="0"/>
                    <w:spacing w:before="0" w:beforeAutospacing="0" w:after="0" w:afterAutospacing="0"/>
                    <w:ind w:left="0" w:right="0"/>
                    <w:rPr>
                      <w:rFonts w:hint="default"/>
                      <w:color w:val="auto"/>
                    </w:rPr>
                  </w:pPr>
                  <w:r>
                    <w:rPr>
                      <w:rFonts w:hint="default"/>
                      <w:color w:val="auto"/>
                    </w:rPr>
                    <w:t>0.040</w:t>
                  </w:r>
                </w:p>
              </w:tc>
              <w:tc>
                <w:tcPr>
                  <w:tcW w:w="473" w:type="pct"/>
                  <w:tcBorders>
                    <w:tl2br w:val="nil"/>
                    <w:tr2bl w:val="nil"/>
                  </w:tcBorders>
                  <w:shd w:val="clear" w:color="auto" w:fill="auto"/>
                  <w:vAlign w:val="center"/>
                </w:tcPr>
                <w:p w14:paraId="394DF675">
                  <w:pPr>
                    <w:pStyle w:val="28"/>
                    <w:keepNext w:val="0"/>
                    <w:keepLines w:val="0"/>
                    <w:suppressLineNumbers w:val="0"/>
                    <w:spacing w:before="0" w:beforeAutospacing="0" w:after="0" w:afterAutospacing="0"/>
                    <w:ind w:left="0" w:right="0"/>
                    <w:rPr>
                      <w:rFonts w:hint="default"/>
                      <w:color w:val="auto"/>
                    </w:rPr>
                  </w:pPr>
                  <w:r>
                    <w:rPr>
                      <w:rFonts w:hint="default"/>
                      <w:color w:val="auto"/>
                    </w:rPr>
                    <w:t>0.008</w:t>
                  </w:r>
                </w:p>
              </w:tc>
              <w:tc>
                <w:tcPr>
                  <w:tcW w:w="465" w:type="pct"/>
                  <w:tcBorders>
                    <w:tl2br w:val="nil"/>
                    <w:tr2bl w:val="nil"/>
                  </w:tcBorders>
                  <w:shd w:val="clear" w:color="auto" w:fill="auto"/>
                  <w:vAlign w:val="center"/>
                </w:tcPr>
                <w:p w14:paraId="6E7F64EB">
                  <w:pPr>
                    <w:pStyle w:val="28"/>
                    <w:keepNext w:val="0"/>
                    <w:keepLines w:val="0"/>
                    <w:suppressLineNumbers w:val="0"/>
                    <w:spacing w:before="0" w:beforeAutospacing="0" w:after="0" w:afterAutospacing="0"/>
                    <w:ind w:left="0" w:right="0"/>
                    <w:rPr>
                      <w:rFonts w:hint="default"/>
                      <w:color w:val="auto"/>
                    </w:rPr>
                  </w:pPr>
                  <w:r>
                    <w:rPr>
                      <w:rFonts w:hint="default"/>
                      <w:color w:val="auto"/>
                    </w:rPr>
                    <w:t>0.001</w:t>
                  </w:r>
                </w:p>
              </w:tc>
              <w:tc>
                <w:tcPr>
                  <w:tcW w:w="463" w:type="pct"/>
                  <w:tcBorders>
                    <w:tl2br w:val="nil"/>
                    <w:tr2bl w:val="nil"/>
                  </w:tcBorders>
                  <w:shd w:val="clear" w:color="auto" w:fill="auto"/>
                  <w:vAlign w:val="center"/>
                </w:tcPr>
                <w:p w14:paraId="4BEA9E8F">
                  <w:pPr>
                    <w:pStyle w:val="28"/>
                    <w:keepNext w:val="0"/>
                    <w:keepLines w:val="0"/>
                    <w:suppressLineNumbers w:val="0"/>
                    <w:spacing w:before="0" w:beforeAutospacing="0" w:after="0" w:afterAutospacing="0"/>
                    <w:ind w:left="0" w:right="0"/>
                    <w:rPr>
                      <w:rFonts w:hint="default"/>
                      <w:color w:val="auto"/>
                    </w:rPr>
                  </w:pPr>
                  <w:r>
                    <w:rPr>
                      <w:rFonts w:hint="default"/>
                      <w:color w:val="auto"/>
                    </w:rPr>
                    <w:t>0.010</w:t>
                  </w:r>
                </w:p>
              </w:tc>
            </w:tr>
            <w:tr w14:paraId="7F6E8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51F38496">
                  <w:pPr>
                    <w:pStyle w:val="26"/>
                    <w:keepNext w:val="0"/>
                    <w:keepLines w:val="0"/>
                    <w:suppressLineNumbers w:val="0"/>
                    <w:spacing w:before="0" w:beforeAutospacing="0" w:after="0" w:afterAutospacing="0"/>
                    <w:ind w:left="0" w:right="0"/>
                    <w:rPr>
                      <w:rFonts w:hint="default"/>
                    </w:rPr>
                  </w:pPr>
                </w:p>
              </w:tc>
              <w:tc>
                <w:tcPr>
                  <w:tcW w:w="395" w:type="pct"/>
                  <w:vMerge w:val="restart"/>
                  <w:tcBorders>
                    <w:tl2br w:val="nil"/>
                    <w:tr2bl w:val="nil"/>
                  </w:tcBorders>
                  <w:shd w:val="clear" w:color="auto" w:fill="auto"/>
                  <w:vAlign w:val="center"/>
                </w:tcPr>
                <w:p w14:paraId="2E50C626">
                  <w:pPr>
                    <w:pStyle w:val="26"/>
                    <w:keepNext w:val="0"/>
                    <w:keepLines w:val="0"/>
                    <w:suppressLineNumbers w:val="0"/>
                    <w:spacing w:before="0" w:beforeAutospacing="0" w:after="0" w:afterAutospacing="0"/>
                    <w:ind w:left="0" w:right="0"/>
                    <w:rPr>
                      <w:rFonts w:hint="default"/>
                    </w:rPr>
                  </w:pPr>
                  <w:r>
                    <w:rPr>
                      <w:rFonts w:hint="default"/>
                    </w:rPr>
                    <w:t>处理后</w:t>
                  </w:r>
                </w:p>
              </w:tc>
              <w:tc>
                <w:tcPr>
                  <w:tcW w:w="758" w:type="pct"/>
                  <w:tcBorders>
                    <w:tl2br w:val="nil"/>
                    <w:tr2bl w:val="nil"/>
                  </w:tcBorders>
                  <w:shd w:val="clear" w:color="auto" w:fill="auto"/>
                  <w:vAlign w:val="center"/>
                </w:tcPr>
                <w:p w14:paraId="4CEC35D4">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50D7F776">
                  <w:pPr>
                    <w:pStyle w:val="28"/>
                    <w:keepNext w:val="0"/>
                    <w:keepLines w:val="0"/>
                    <w:suppressLineNumbers w:val="0"/>
                    <w:spacing w:before="0" w:beforeAutospacing="0" w:after="0" w:afterAutospacing="0"/>
                    <w:ind w:left="0" w:right="0"/>
                    <w:rPr>
                      <w:rFonts w:hint="default"/>
                      <w:color w:val="auto"/>
                    </w:rPr>
                  </w:pPr>
                  <w:r>
                    <w:rPr>
                      <w:rFonts w:hint="default"/>
                      <w:color w:val="auto"/>
                    </w:rPr>
                    <w:t>200.4</w:t>
                  </w:r>
                </w:p>
              </w:tc>
              <w:tc>
                <w:tcPr>
                  <w:tcW w:w="515" w:type="pct"/>
                  <w:tcBorders>
                    <w:tl2br w:val="nil"/>
                    <w:tr2bl w:val="nil"/>
                  </w:tcBorders>
                  <w:shd w:val="clear" w:color="auto" w:fill="auto"/>
                  <w:vAlign w:val="center"/>
                </w:tcPr>
                <w:p w14:paraId="71E61104">
                  <w:pPr>
                    <w:pStyle w:val="28"/>
                    <w:keepNext w:val="0"/>
                    <w:keepLines w:val="0"/>
                    <w:suppressLineNumbers w:val="0"/>
                    <w:spacing w:before="0" w:beforeAutospacing="0" w:after="0" w:afterAutospacing="0"/>
                    <w:ind w:left="0" w:right="0"/>
                    <w:rPr>
                      <w:rFonts w:hint="default"/>
                      <w:color w:val="auto"/>
                    </w:rPr>
                  </w:pPr>
                  <w:r>
                    <w:rPr>
                      <w:rFonts w:hint="default"/>
                      <w:color w:val="auto"/>
                    </w:rPr>
                    <w:t>300</w:t>
                  </w:r>
                </w:p>
              </w:tc>
              <w:tc>
                <w:tcPr>
                  <w:tcW w:w="463" w:type="pct"/>
                  <w:tcBorders>
                    <w:tl2br w:val="nil"/>
                    <w:tr2bl w:val="nil"/>
                  </w:tcBorders>
                  <w:shd w:val="clear" w:color="auto" w:fill="auto"/>
                  <w:vAlign w:val="center"/>
                </w:tcPr>
                <w:p w14:paraId="1B60F78A">
                  <w:pPr>
                    <w:pStyle w:val="28"/>
                    <w:keepNext w:val="0"/>
                    <w:keepLines w:val="0"/>
                    <w:suppressLineNumbers w:val="0"/>
                    <w:spacing w:before="0" w:beforeAutospacing="0" w:after="0" w:afterAutospacing="0"/>
                    <w:ind w:left="0" w:right="0"/>
                    <w:rPr>
                      <w:rFonts w:hint="default"/>
                      <w:color w:val="auto"/>
                    </w:rPr>
                  </w:pPr>
                  <w:r>
                    <w:rPr>
                      <w:rFonts w:hint="default"/>
                      <w:color w:val="auto"/>
                    </w:rPr>
                    <w:t>180</w:t>
                  </w:r>
                </w:p>
              </w:tc>
              <w:tc>
                <w:tcPr>
                  <w:tcW w:w="463" w:type="pct"/>
                  <w:tcBorders>
                    <w:tl2br w:val="nil"/>
                    <w:tr2bl w:val="nil"/>
                  </w:tcBorders>
                  <w:shd w:val="clear" w:color="auto" w:fill="auto"/>
                  <w:vAlign w:val="center"/>
                </w:tcPr>
                <w:p w14:paraId="4A54CE86">
                  <w:pPr>
                    <w:pStyle w:val="28"/>
                    <w:keepNext w:val="0"/>
                    <w:keepLines w:val="0"/>
                    <w:suppressLineNumbers w:val="0"/>
                    <w:spacing w:before="0" w:beforeAutospacing="0" w:after="0" w:afterAutospacing="0"/>
                    <w:ind w:left="0" w:right="0"/>
                    <w:rPr>
                      <w:rFonts w:hint="default"/>
                      <w:color w:val="auto"/>
                    </w:rPr>
                  </w:pPr>
                  <w:r>
                    <w:rPr>
                      <w:rFonts w:hint="default"/>
                      <w:color w:val="auto"/>
                    </w:rPr>
                    <w:t>150</w:t>
                  </w:r>
                </w:p>
              </w:tc>
              <w:tc>
                <w:tcPr>
                  <w:tcW w:w="473" w:type="pct"/>
                  <w:tcBorders>
                    <w:tl2br w:val="nil"/>
                    <w:tr2bl w:val="nil"/>
                  </w:tcBorders>
                  <w:shd w:val="clear" w:color="auto" w:fill="auto"/>
                  <w:vAlign w:val="center"/>
                </w:tcPr>
                <w:p w14:paraId="026A23FC">
                  <w:pPr>
                    <w:pStyle w:val="28"/>
                    <w:keepNext w:val="0"/>
                    <w:keepLines w:val="0"/>
                    <w:suppressLineNumbers w:val="0"/>
                    <w:spacing w:before="0" w:beforeAutospacing="0" w:after="0" w:afterAutospacing="0"/>
                    <w:ind w:left="0" w:right="0"/>
                    <w:rPr>
                      <w:rFonts w:hint="default"/>
                      <w:color w:val="auto"/>
                    </w:rPr>
                  </w:pPr>
                  <w:r>
                    <w:rPr>
                      <w:rFonts w:hint="default"/>
                      <w:color w:val="auto"/>
                    </w:rPr>
                    <w:t>37.7</w:t>
                  </w:r>
                </w:p>
              </w:tc>
              <w:tc>
                <w:tcPr>
                  <w:tcW w:w="465" w:type="pct"/>
                  <w:tcBorders>
                    <w:tl2br w:val="nil"/>
                    <w:tr2bl w:val="nil"/>
                  </w:tcBorders>
                  <w:shd w:val="clear" w:color="auto" w:fill="auto"/>
                  <w:vAlign w:val="center"/>
                </w:tcPr>
                <w:p w14:paraId="735CFC67">
                  <w:pPr>
                    <w:pStyle w:val="28"/>
                    <w:keepNext w:val="0"/>
                    <w:keepLines w:val="0"/>
                    <w:suppressLineNumbers w:val="0"/>
                    <w:spacing w:before="0" w:beforeAutospacing="0" w:after="0" w:afterAutospacing="0"/>
                    <w:ind w:left="0" w:right="0"/>
                    <w:rPr>
                      <w:rFonts w:hint="default"/>
                      <w:color w:val="auto"/>
                    </w:rPr>
                  </w:pPr>
                  <w:r>
                    <w:rPr>
                      <w:rFonts w:hint="default"/>
                      <w:color w:val="auto"/>
                    </w:rPr>
                    <w:t>4.28</w:t>
                  </w:r>
                </w:p>
              </w:tc>
              <w:tc>
                <w:tcPr>
                  <w:tcW w:w="463" w:type="pct"/>
                  <w:tcBorders>
                    <w:tl2br w:val="nil"/>
                    <w:tr2bl w:val="nil"/>
                  </w:tcBorders>
                  <w:shd w:val="clear" w:color="auto" w:fill="auto"/>
                  <w:noWrap/>
                  <w:vAlign w:val="center"/>
                </w:tcPr>
                <w:p w14:paraId="78ACF3BD">
                  <w:pPr>
                    <w:pStyle w:val="28"/>
                    <w:keepNext w:val="0"/>
                    <w:keepLines w:val="0"/>
                    <w:suppressLineNumbers w:val="0"/>
                    <w:spacing w:before="0" w:beforeAutospacing="0" w:after="0" w:afterAutospacing="0"/>
                    <w:ind w:left="0" w:right="0"/>
                    <w:rPr>
                      <w:rFonts w:hint="default"/>
                      <w:color w:val="auto"/>
                    </w:rPr>
                  </w:pPr>
                  <w:r>
                    <w:rPr>
                      <w:rFonts w:hint="default"/>
                      <w:color w:val="auto"/>
                    </w:rPr>
                    <w:t>49.8</w:t>
                  </w:r>
                </w:p>
              </w:tc>
            </w:tr>
            <w:tr w14:paraId="46B24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76B16B2B">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0FBF1478">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72D11E9E">
                  <w:pPr>
                    <w:pStyle w:val="26"/>
                    <w:keepNext w:val="0"/>
                    <w:keepLines w:val="0"/>
                    <w:suppressLineNumbers w:val="0"/>
                    <w:spacing w:before="0" w:beforeAutospacing="0" w:after="0" w:afterAutospacing="0"/>
                    <w:ind w:left="0" w:right="0"/>
                    <w:rPr>
                      <w:rFonts w:hint="default"/>
                    </w:rPr>
                  </w:pPr>
                  <w:r>
                    <w:rPr>
                      <w:rFonts w:hint="default"/>
                    </w:rPr>
                    <w:t>排放量（t/a）</w:t>
                  </w:r>
                </w:p>
              </w:tc>
              <w:tc>
                <w:tcPr>
                  <w:tcW w:w="588" w:type="pct"/>
                  <w:vMerge w:val="continue"/>
                  <w:tcBorders>
                    <w:tl2br w:val="nil"/>
                    <w:tr2bl w:val="nil"/>
                  </w:tcBorders>
                  <w:shd w:val="clear" w:color="auto" w:fill="auto"/>
                  <w:vAlign w:val="center"/>
                </w:tcPr>
                <w:p w14:paraId="78BE0DA3">
                  <w:pPr>
                    <w:pStyle w:val="26"/>
                    <w:keepNext w:val="0"/>
                    <w:keepLines w:val="0"/>
                    <w:suppressLineNumbers w:val="0"/>
                    <w:spacing w:before="0" w:beforeAutospacing="0" w:after="0" w:afterAutospacing="0"/>
                    <w:ind w:left="0" w:right="0"/>
                    <w:rPr>
                      <w:rFonts w:hint="default"/>
                    </w:rPr>
                  </w:pPr>
                </w:p>
              </w:tc>
              <w:tc>
                <w:tcPr>
                  <w:tcW w:w="515" w:type="pct"/>
                  <w:tcBorders>
                    <w:tl2br w:val="nil"/>
                    <w:tr2bl w:val="nil"/>
                  </w:tcBorders>
                  <w:shd w:val="clear" w:color="auto" w:fill="auto"/>
                  <w:vAlign w:val="center"/>
                </w:tcPr>
                <w:p w14:paraId="29E40B60">
                  <w:pPr>
                    <w:pStyle w:val="28"/>
                    <w:keepNext w:val="0"/>
                    <w:keepLines w:val="0"/>
                    <w:suppressLineNumbers w:val="0"/>
                    <w:spacing w:before="0" w:beforeAutospacing="0" w:after="0" w:afterAutospacing="0"/>
                    <w:ind w:left="0" w:right="0"/>
                    <w:rPr>
                      <w:rFonts w:hint="default"/>
                      <w:color w:val="auto"/>
                    </w:rPr>
                  </w:pPr>
                  <w:r>
                    <w:rPr>
                      <w:rFonts w:hint="default"/>
                      <w:color w:val="auto"/>
                    </w:rPr>
                    <w:t>0.060</w:t>
                  </w:r>
                </w:p>
              </w:tc>
              <w:tc>
                <w:tcPr>
                  <w:tcW w:w="463" w:type="pct"/>
                  <w:tcBorders>
                    <w:tl2br w:val="nil"/>
                    <w:tr2bl w:val="nil"/>
                  </w:tcBorders>
                  <w:shd w:val="clear" w:color="auto" w:fill="auto"/>
                  <w:vAlign w:val="center"/>
                </w:tcPr>
                <w:p w14:paraId="6340A1F9">
                  <w:pPr>
                    <w:pStyle w:val="28"/>
                    <w:keepNext w:val="0"/>
                    <w:keepLines w:val="0"/>
                    <w:suppressLineNumbers w:val="0"/>
                    <w:spacing w:before="0" w:beforeAutospacing="0" w:after="0" w:afterAutospacing="0"/>
                    <w:ind w:left="0" w:right="0"/>
                    <w:rPr>
                      <w:rFonts w:hint="default"/>
                      <w:color w:val="auto"/>
                    </w:rPr>
                  </w:pPr>
                  <w:r>
                    <w:rPr>
                      <w:rFonts w:hint="default"/>
                      <w:color w:val="auto"/>
                    </w:rPr>
                    <w:t>0.036</w:t>
                  </w:r>
                </w:p>
              </w:tc>
              <w:tc>
                <w:tcPr>
                  <w:tcW w:w="463" w:type="pct"/>
                  <w:tcBorders>
                    <w:tl2br w:val="nil"/>
                    <w:tr2bl w:val="nil"/>
                  </w:tcBorders>
                  <w:shd w:val="clear" w:color="auto" w:fill="auto"/>
                  <w:vAlign w:val="center"/>
                </w:tcPr>
                <w:p w14:paraId="33F8E730">
                  <w:pPr>
                    <w:pStyle w:val="28"/>
                    <w:keepNext w:val="0"/>
                    <w:keepLines w:val="0"/>
                    <w:suppressLineNumbers w:val="0"/>
                    <w:spacing w:before="0" w:beforeAutospacing="0" w:after="0" w:afterAutospacing="0"/>
                    <w:ind w:left="0" w:right="0"/>
                    <w:rPr>
                      <w:rFonts w:hint="default"/>
                      <w:color w:val="auto"/>
                    </w:rPr>
                  </w:pPr>
                  <w:r>
                    <w:rPr>
                      <w:rFonts w:hint="default"/>
                      <w:color w:val="auto"/>
                    </w:rPr>
                    <w:t>0.030</w:t>
                  </w:r>
                </w:p>
              </w:tc>
              <w:tc>
                <w:tcPr>
                  <w:tcW w:w="473" w:type="pct"/>
                  <w:tcBorders>
                    <w:tl2br w:val="nil"/>
                    <w:tr2bl w:val="nil"/>
                  </w:tcBorders>
                  <w:shd w:val="clear" w:color="auto" w:fill="auto"/>
                  <w:vAlign w:val="center"/>
                </w:tcPr>
                <w:p w14:paraId="4324D639">
                  <w:pPr>
                    <w:pStyle w:val="28"/>
                    <w:keepNext w:val="0"/>
                    <w:keepLines w:val="0"/>
                    <w:suppressLineNumbers w:val="0"/>
                    <w:spacing w:before="0" w:beforeAutospacing="0" w:after="0" w:afterAutospacing="0"/>
                    <w:ind w:left="0" w:right="0"/>
                    <w:rPr>
                      <w:rFonts w:hint="default"/>
                      <w:color w:val="auto"/>
                    </w:rPr>
                  </w:pPr>
                  <w:r>
                    <w:rPr>
                      <w:rFonts w:hint="default"/>
                      <w:color w:val="auto"/>
                    </w:rPr>
                    <w:t>0.008</w:t>
                  </w:r>
                </w:p>
              </w:tc>
              <w:tc>
                <w:tcPr>
                  <w:tcW w:w="465" w:type="pct"/>
                  <w:tcBorders>
                    <w:tl2br w:val="nil"/>
                    <w:tr2bl w:val="nil"/>
                  </w:tcBorders>
                  <w:shd w:val="clear" w:color="auto" w:fill="auto"/>
                  <w:vAlign w:val="center"/>
                </w:tcPr>
                <w:p w14:paraId="4D05AABE">
                  <w:pPr>
                    <w:pStyle w:val="28"/>
                    <w:keepNext w:val="0"/>
                    <w:keepLines w:val="0"/>
                    <w:suppressLineNumbers w:val="0"/>
                    <w:spacing w:before="0" w:beforeAutospacing="0" w:after="0" w:afterAutospacing="0"/>
                    <w:ind w:left="0" w:right="0"/>
                    <w:rPr>
                      <w:rFonts w:hint="default"/>
                      <w:color w:val="auto"/>
                    </w:rPr>
                  </w:pPr>
                  <w:r>
                    <w:rPr>
                      <w:rFonts w:hint="default"/>
                      <w:color w:val="auto"/>
                    </w:rPr>
                    <w:t>0.001</w:t>
                  </w:r>
                </w:p>
              </w:tc>
              <w:tc>
                <w:tcPr>
                  <w:tcW w:w="463" w:type="pct"/>
                  <w:tcBorders>
                    <w:tl2br w:val="nil"/>
                    <w:tr2bl w:val="nil"/>
                  </w:tcBorders>
                  <w:shd w:val="clear" w:color="auto" w:fill="auto"/>
                  <w:vAlign w:val="center"/>
                </w:tcPr>
                <w:p w14:paraId="02255F86">
                  <w:pPr>
                    <w:pStyle w:val="28"/>
                    <w:keepNext w:val="0"/>
                    <w:keepLines w:val="0"/>
                    <w:suppressLineNumbers w:val="0"/>
                    <w:spacing w:before="0" w:beforeAutospacing="0" w:after="0" w:afterAutospacing="0"/>
                    <w:ind w:left="0" w:right="0"/>
                    <w:rPr>
                      <w:rFonts w:hint="default"/>
                      <w:color w:val="auto"/>
                    </w:rPr>
                  </w:pPr>
                  <w:r>
                    <w:rPr>
                      <w:rFonts w:hint="default"/>
                      <w:color w:val="auto"/>
                    </w:rPr>
                    <w:t>0.010</w:t>
                  </w:r>
                </w:p>
              </w:tc>
            </w:tr>
            <w:tr w14:paraId="4822B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restart"/>
                  <w:tcBorders>
                    <w:tl2br w:val="nil"/>
                    <w:tr2bl w:val="nil"/>
                  </w:tcBorders>
                  <w:shd w:val="clear" w:color="auto" w:fill="auto"/>
                  <w:vAlign w:val="center"/>
                </w:tcPr>
                <w:p w14:paraId="05CA32A4">
                  <w:pPr>
                    <w:pStyle w:val="26"/>
                    <w:keepNext w:val="0"/>
                    <w:keepLines w:val="0"/>
                    <w:suppressLineNumbers w:val="0"/>
                    <w:spacing w:before="0" w:beforeAutospacing="0" w:after="0" w:afterAutospacing="0"/>
                    <w:ind w:left="0" w:right="0"/>
                    <w:rPr>
                      <w:rFonts w:hint="default"/>
                    </w:rPr>
                  </w:pPr>
                  <w:r>
                    <w:rPr>
                      <w:rFonts w:hint="default"/>
                    </w:rPr>
                    <w:t>软水制备废水</w:t>
                  </w:r>
                </w:p>
              </w:tc>
              <w:tc>
                <w:tcPr>
                  <w:tcW w:w="395" w:type="pct"/>
                  <w:vMerge w:val="restart"/>
                  <w:tcBorders>
                    <w:tl2br w:val="nil"/>
                    <w:tr2bl w:val="nil"/>
                  </w:tcBorders>
                  <w:shd w:val="clear" w:color="auto" w:fill="auto"/>
                  <w:vAlign w:val="center"/>
                </w:tcPr>
                <w:p w14:paraId="4F1FF7AD">
                  <w:pPr>
                    <w:pStyle w:val="26"/>
                    <w:keepNext w:val="0"/>
                    <w:keepLines w:val="0"/>
                    <w:suppressLineNumbers w:val="0"/>
                    <w:spacing w:before="0" w:beforeAutospacing="0" w:after="0" w:afterAutospacing="0"/>
                    <w:ind w:left="0" w:right="0"/>
                    <w:rPr>
                      <w:rFonts w:hint="default"/>
                    </w:rPr>
                  </w:pPr>
                  <w:r>
                    <w:rPr>
                      <w:rFonts w:hint="default"/>
                    </w:rPr>
                    <w:t>处理前</w:t>
                  </w:r>
                </w:p>
              </w:tc>
              <w:tc>
                <w:tcPr>
                  <w:tcW w:w="758" w:type="pct"/>
                  <w:tcBorders>
                    <w:tl2br w:val="nil"/>
                    <w:tr2bl w:val="nil"/>
                  </w:tcBorders>
                  <w:shd w:val="clear" w:color="auto" w:fill="auto"/>
                  <w:vAlign w:val="center"/>
                </w:tcPr>
                <w:p w14:paraId="5A124DA7">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572E5757">
                  <w:pPr>
                    <w:pStyle w:val="26"/>
                    <w:keepNext w:val="0"/>
                    <w:keepLines w:val="0"/>
                    <w:suppressLineNumbers w:val="0"/>
                    <w:spacing w:before="0" w:beforeAutospacing="0" w:after="0" w:afterAutospacing="0"/>
                    <w:ind w:left="0" w:right="0"/>
                    <w:rPr>
                      <w:rFonts w:hint="default"/>
                    </w:rPr>
                  </w:pPr>
                  <w:r>
                    <w:rPr>
                      <w:rFonts w:hint="default"/>
                    </w:rPr>
                    <w:t>10260.48</w:t>
                  </w:r>
                </w:p>
              </w:tc>
              <w:tc>
                <w:tcPr>
                  <w:tcW w:w="515" w:type="pct"/>
                  <w:tcBorders>
                    <w:tl2br w:val="nil"/>
                    <w:tr2bl w:val="nil"/>
                  </w:tcBorders>
                  <w:shd w:val="clear" w:color="auto" w:fill="auto"/>
                  <w:vAlign w:val="center"/>
                </w:tcPr>
                <w:p w14:paraId="40B536F4">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12A8FD6D">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2152CFB1">
                  <w:pPr>
                    <w:pStyle w:val="26"/>
                    <w:keepNext w:val="0"/>
                    <w:keepLines w:val="0"/>
                    <w:suppressLineNumbers w:val="0"/>
                    <w:spacing w:before="0" w:beforeAutospacing="0" w:after="0" w:afterAutospacing="0"/>
                    <w:ind w:left="0" w:right="0"/>
                    <w:rPr>
                      <w:rFonts w:hint="default"/>
                    </w:rPr>
                  </w:pPr>
                  <w:r>
                    <w:rPr>
                      <w:rFonts w:hint="default"/>
                    </w:rPr>
                    <w:t>100</w:t>
                  </w:r>
                </w:p>
              </w:tc>
              <w:tc>
                <w:tcPr>
                  <w:tcW w:w="473" w:type="pct"/>
                  <w:tcBorders>
                    <w:tl2br w:val="nil"/>
                    <w:tr2bl w:val="nil"/>
                  </w:tcBorders>
                  <w:shd w:val="clear" w:color="auto" w:fill="auto"/>
                  <w:vAlign w:val="center"/>
                </w:tcPr>
                <w:p w14:paraId="5E361F7E">
                  <w:pPr>
                    <w:pStyle w:val="26"/>
                    <w:keepNext w:val="0"/>
                    <w:keepLines w:val="0"/>
                    <w:suppressLineNumbers w:val="0"/>
                    <w:spacing w:before="0" w:beforeAutospacing="0" w:after="0" w:afterAutospacing="0"/>
                    <w:ind w:left="0" w:right="0"/>
                    <w:rPr>
                      <w:rFonts w:hint="default"/>
                    </w:rPr>
                  </w:pPr>
                  <w:r>
                    <w:rPr>
                      <w:rFonts w:hint="default"/>
                    </w:rPr>
                    <w:t>/</w:t>
                  </w:r>
                </w:p>
              </w:tc>
              <w:tc>
                <w:tcPr>
                  <w:tcW w:w="465" w:type="pct"/>
                  <w:tcBorders>
                    <w:tl2br w:val="nil"/>
                    <w:tr2bl w:val="nil"/>
                  </w:tcBorders>
                  <w:shd w:val="clear" w:color="auto" w:fill="auto"/>
                  <w:vAlign w:val="center"/>
                </w:tcPr>
                <w:p w14:paraId="00D161BE">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noWrap/>
                  <w:vAlign w:val="center"/>
                </w:tcPr>
                <w:p w14:paraId="37711267">
                  <w:pPr>
                    <w:pStyle w:val="26"/>
                    <w:keepNext w:val="0"/>
                    <w:keepLines w:val="0"/>
                    <w:suppressLineNumbers w:val="0"/>
                    <w:spacing w:before="0" w:beforeAutospacing="0" w:after="0" w:afterAutospacing="0"/>
                    <w:ind w:left="0" w:right="0"/>
                    <w:rPr>
                      <w:rFonts w:hint="default"/>
                    </w:rPr>
                  </w:pPr>
                  <w:r>
                    <w:rPr>
                      <w:rFonts w:hint="default"/>
                    </w:rPr>
                    <w:t>/</w:t>
                  </w:r>
                </w:p>
              </w:tc>
            </w:tr>
            <w:tr w14:paraId="2DC173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326A6B87">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1377BD41">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2B39A518">
                  <w:pPr>
                    <w:pStyle w:val="26"/>
                    <w:keepNext w:val="0"/>
                    <w:keepLines w:val="0"/>
                    <w:suppressLineNumbers w:val="0"/>
                    <w:spacing w:before="0" w:beforeAutospacing="0" w:after="0" w:afterAutospacing="0"/>
                    <w:ind w:left="0" w:right="0"/>
                    <w:rPr>
                      <w:rFonts w:hint="default"/>
                    </w:rPr>
                  </w:pPr>
                  <w:r>
                    <w:rPr>
                      <w:rFonts w:hint="default"/>
                    </w:rPr>
                    <w:t>产生量（t/a）</w:t>
                  </w:r>
                </w:p>
              </w:tc>
              <w:tc>
                <w:tcPr>
                  <w:tcW w:w="588" w:type="pct"/>
                  <w:vMerge w:val="continue"/>
                  <w:tcBorders>
                    <w:tl2br w:val="nil"/>
                    <w:tr2bl w:val="nil"/>
                  </w:tcBorders>
                  <w:shd w:val="clear" w:color="auto" w:fill="auto"/>
                  <w:vAlign w:val="center"/>
                </w:tcPr>
                <w:p w14:paraId="532048C5">
                  <w:pPr>
                    <w:pStyle w:val="26"/>
                    <w:keepNext w:val="0"/>
                    <w:keepLines w:val="0"/>
                    <w:suppressLineNumbers w:val="0"/>
                    <w:spacing w:before="0" w:beforeAutospacing="0" w:after="0" w:afterAutospacing="0"/>
                    <w:ind w:left="0" w:right="0"/>
                    <w:rPr>
                      <w:rFonts w:hint="default"/>
                    </w:rPr>
                  </w:pPr>
                </w:p>
              </w:tc>
              <w:tc>
                <w:tcPr>
                  <w:tcW w:w="515" w:type="pct"/>
                  <w:tcBorders>
                    <w:tl2br w:val="nil"/>
                    <w:tr2bl w:val="nil"/>
                  </w:tcBorders>
                  <w:shd w:val="clear" w:color="auto" w:fill="auto"/>
                  <w:vAlign w:val="center"/>
                </w:tcPr>
                <w:p w14:paraId="3A91CF43">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4D20B543">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2DC83B35">
                  <w:pPr>
                    <w:pStyle w:val="26"/>
                    <w:keepNext w:val="0"/>
                    <w:keepLines w:val="0"/>
                    <w:suppressLineNumbers w:val="0"/>
                    <w:spacing w:before="0" w:beforeAutospacing="0" w:after="0" w:afterAutospacing="0"/>
                    <w:ind w:left="0" w:right="0"/>
                    <w:rPr>
                      <w:rFonts w:hint="default"/>
                    </w:rPr>
                  </w:pPr>
                  <w:r>
                    <w:rPr>
                      <w:rFonts w:hint="default"/>
                    </w:rPr>
                    <w:t>1.026</w:t>
                  </w:r>
                </w:p>
              </w:tc>
              <w:tc>
                <w:tcPr>
                  <w:tcW w:w="473" w:type="pct"/>
                  <w:tcBorders>
                    <w:tl2br w:val="nil"/>
                    <w:tr2bl w:val="nil"/>
                  </w:tcBorders>
                  <w:shd w:val="clear" w:color="auto" w:fill="auto"/>
                  <w:vAlign w:val="center"/>
                </w:tcPr>
                <w:p w14:paraId="6365427E">
                  <w:pPr>
                    <w:pStyle w:val="26"/>
                    <w:keepNext w:val="0"/>
                    <w:keepLines w:val="0"/>
                    <w:suppressLineNumbers w:val="0"/>
                    <w:spacing w:before="0" w:beforeAutospacing="0" w:after="0" w:afterAutospacing="0"/>
                    <w:ind w:left="0" w:right="0"/>
                    <w:rPr>
                      <w:rFonts w:hint="default"/>
                    </w:rPr>
                  </w:pPr>
                  <w:r>
                    <w:rPr>
                      <w:rFonts w:hint="default"/>
                    </w:rPr>
                    <w:t>/</w:t>
                  </w:r>
                </w:p>
              </w:tc>
              <w:tc>
                <w:tcPr>
                  <w:tcW w:w="465" w:type="pct"/>
                  <w:tcBorders>
                    <w:tl2br w:val="nil"/>
                    <w:tr2bl w:val="nil"/>
                  </w:tcBorders>
                  <w:shd w:val="clear" w:color="auto" w:fill="auto"/>
                  <w:vAlign w:val="center"/>
                </w:tcPr>
                <w:p w14:paraId="1CBFEA46">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noWrap/>
                  <w:vAlign w:val="center"/>
                </w:tcPr>
                <w:p w14:paraId="3FCF6F7D">
                  <w:pPr>
                    <w:pStyle w:val="26"/>
                    <w:keepNext w:val="0"/>
                    <w:keepLines w:val="0"/>
                    <w:suppressLineNumbers w:val="0"/>
                    <w:spacing w:before="0" w:beforeAutospacing="0" w:after="0" w:afterAutospacing="0"/>
                    <w:ind w:left="0" w:right="0"/>
                    <w:rPr>
                      <w:rFonts w:hint="default"/>
                    </w:rPr>
                  </w:pPr>
                  <w:r>
                    <w:rPr>
                      <w:rFonts w:hint="default"/>
                    </w:rPr>
                    <w:t>/</w:t>
                  </w:r>
                </w:p>
              </w:tc>
            </w:tr>
            <w:tr w14:paraId="1F413F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218ADFD0">
                  <w:pPr>
                    <w:pStyle w:val="26"/>
                    <w:keepNext w:val="0"/>
                    <w:keepLines w:val="0"/>
                    <w:suppressLineNumbers w:val="0"/>
                    <w:spacing w:before="0" w:beforeAutospacing="0" w:after="0" w:afterAutospacing="0"/>
                    <w:ind w:left="0" w:right="0"/>
                    <w:rPr>
                      <w:rFonts w:hint="default"/>
                    </w:rPr>
                  </w:pPr>
                </w:p>
              </w:tc>
              <w:tc>
                <w:tcPr>
                  <w:tcW w:w="395" w:type="pct"/>
                  <w:vMerge w:val="restart"/>
                  <w:tcBorders>
                    <w:tl2br w:val="nil"/>
                    <w:tr2bl w:val="nil"/>
                  </w:tcBorders>
                  <w:shd w:val="clear" w:color="auto" w:fill="auto"/>
                  <w:vAlign w:val="center"/>
                </w:tcPr>
                <w:p w14:paraId="09883FF8">
                  <w:pPr>
                    <w:pStyle w:val="26"/>
                    <w:keepNext w:val="0"/>
                    <w:keepLines w:val="0"/>
                    <w:suppressLineNumbers w:val="0"/>
                    <w:spacing w:before="0" w:beforeAutospacing="0" w:after="0" w:afterAutospacing="0"/>
                    <w:ind w:left="0" w:right="0"/>
                    <w:rPr>
                      <w:rFonts w:hint="default"/>
                    </w:rPr>
                  </w:pPr>
                  <w:r>
                    <w:rPr>
                      <w:rFonts w:hint="default"/>
                    </w:rPr>
                    <w:t>处理后</w:t>
                  </w:r>
                </w:p>
              </w:tc>
              <w:tc>
                <w:tcPr>
                  <w:tcW w:w="758" w:type="pct"/>
                  <w:tcBorders>
                    <w:tl2br w:val="nil"/>
                    <w:tr2bl w:val="nil"/>
                  </w:tcBorders>
                  <w:shd w:val="clear" w:color="auto" w:fill="auto"/>
                  <w:vAlign w:val="center"/>
                </w:tcPr>
                <w:p w14:paraId="3213086F">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5AA3D6E3">
                  <w:pPr>
                    <w:pStyle w:val="26"/>
                    <w:keepNext w:val="0"/>
                    <w:keepLines w:val="0"/>
                    <w:suppressLineNumbers w:val="0"/>
                    <w:spacing w:before="0" w:beforeAutospacing="0" w:after="0" w:afterAutospacing="0"/>
                    <w:ind w:left="0" w:right="0"/>
                    <w:rPr>
                      <w:rFonts w:hint="default"/>
                    </w:rPr>
                  </w:pPr>
                  <w:r>
                    <w:rPr>
                      <w:rFonts w:hint="default"/>
                    </w:rPr>
                    <w:t>10260.48</w:t>
                  </w:r>
                </w:p>
              </w:tc>
              <w:tc>
                <w:tcPr>
                  <w:tcW w:w="515" w:type="pct"/>
                  <w:tcBorders>
                    <w:tl2br w:val="nil"/>
                    <w:tr2bl w:val="nil"/>
                  </w:tcBorders>
                  <w:shd w:val="clear" w:color="auto" w:fill="auto"/>
                  <w:vAlign w:val="center"/>
                </w:tcPr>
                <w:p w14:paraId="1805D0CE">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1947E1B4">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23B435F2">
                  <w:pPr>
                    <w:pStyle w:val="26"/>
                    <w:keepNext w:val="0"/>
                    <w:keepLines w:val="0"/>
                    <w:suppressLineNumbers w:val="0"/>
                    <w:spacing w:before="0" w:beforeAutospacing="0" w:after="0" w:afterAutospacing="0"/>
                    <w:ind w:left="0" w:right="0"/>
                    <w:rPr>
                      <w:rFonts w:hint="default"/>
                    </w:rPr>
                  </w:pPr>
                  <w:r>
                    <w:rPr>
                      <w:rFonts w:hint="default"/>
                    </w:rPr>
                    <w:t>100</w:t>
                  </w:r>
                </w:p>
              </w:tc>
              <w:tc>
                <w:tcPr>
                  <w:tcW w:w="473" w:type="pct"/>
                  <w:tcBorders>
                    <w:tl2br w:val="nil"/>
                    <w:tr2bl w:val="nil"/>
                  </w:tcBorders>
                  <w:shd w:val="clear" w:color="auto" w:fill="auto"/>
                  <w:vAlign w:val="center"/>
                </w:tcPr>
                <w:p w14:paraId="091F7EEE">
                  <w:pPr>
                    <w:pStyle w:val="26"/>
                    <w:keepNext w:val="0"/>
                    <w:keepLines w:val="0"/>
                    <w:suppressLineNumbers w:val="0"/>
                    <w:spacing w:before="0" w:beforeAutospacing="0" w:after="0" w:afterAutospacing="0"/>
                    <w:ind w:left="0" w:right="0"/>
                    <w:rPr>
                      <w:rFonts w:hint="default"/>
                    </w:rPr>
                  </w:pPr>
                  <w:r>
                    <w:rPr>
                      <w:rFonts w:hint="default"/>
                    </w:rPr>
                    <w:t>/</w:t>
                  </w:r>
                </w:p>
              </w:tc>
              <w:tc>
                <w:tcPr>
                  <w:tcW w:w="465" w:type="pct"/>
                  <w:tcBorders>
                    <w:tl2br w:val="nil"/>
                    <w:tr2bl w:val="nil"/>
                  </w:tcBorders>
                  <w:shd w:val="clear" w:color="auto" w:fill="auto"/>
                  <w:vAlign w:val="center"/>
                </w:tcPr>
                <w:p w14:paraId="43BCCD93">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noWrap/>
                  <w:vAlign w:val="center"/>
                </w:tcPr>
                <w:p w14:paraId="66466D02">
                  <w:pPr>
                    <w:pStyle w:val="26"/>
                    <w:keepNext w:val="0"/>
                    <w:keepLines w:val="0"/>
                    <w:suppressLineNumbers w:val="0"/>
                    <w:spacing w:before="0" w:beforeAutospacing="0" w:after="0" w:afterAutospacing="0"/>
                    <w:ind w:left="0" w:right="0"/>
                    <w:rPr>
                      <w:rFonts w:hint="default"/>
                    </w:rPr>
                  </w:pPr>
                  <w:r>
                    <w:rPr>
                      <w:rFonts w:hint="default"/>
                    </w:rPr>
                    <w:t>/</w:t>
                  </w:r>
                </w:p>
              </w:tc>
            </w:tr>
            <w:tr w14:paraId="49D741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16" w:type="pct"/>
                  <w:vMerge w:val="continue"/>
                  <w:tcBorders>
                    <w:tl2br w:val="nil"/>
                    <w:tr2bl w:val="nil"/>
                  </w:tcBorders>
                  <w:shd w:val="clear" w:color="auto" w:fill="auto"/>
                  <w:vAlign w:val="center"/>
                </w:tcPr>
                <w:p w14:paraId="0A38062D">
                  <w:pPr>
                    <w:pStyle w:val="26"/>
                    <w:keepNext w:val="0"/>
                    <w:keepLines w:val="0"/>
                    <w:suppressLineNumbers w:val="0"/>
                    <w:spacing w:before="0" w:beforeAutospacing="0" w:after="0" w:afterAutospacing="0"/>
                    <w:ind w:left="0" w:right="0"/>
                    <w:rPr>
                      <w:rFonts w:hint="default"/>
                    </w:rPr>
                  </w:pPr>
                </w:p>
              </w:tc>
              <w:tc>
                <w:tcPr>
                  <w:tcW w:w="395" w:type="pct"/>
                  <w:vMerge w:val="continue"/>
                  <w:tcBorders>
                    <w:tl2br w:val="nil"/>
                    <w:tr2bl w:val="nil"/>
                  </w:tcBorders>
                  <w:shd w:val="clear" w:color="auto" w:fill="auto"/>
                  <w:vAlign w:val="center"/>
                </w:tcPr>
                <w:p w14:paraId="57F8A175">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44A1C986">
                  <w:pPr>
                    <w:pStyle w:val="26"/>
                    <w:keepNext w:val="0"/>
                    <w:keepLines w:val="0"/>
                    <w:suppressLineNumbers w:val="0"/>
                    <w:spacing w:before="0" w:beforeAutospacing="0" w:after="0" w:afterAutospacing="0"/>
                    <w:ind w:left="0" w:right="0"/>
                    <w:rPr>
                      <w:rFonts w:hint="default"/>
                    </w:rPr>
                  </w:pPr>
                  <w:r>
                    <w:rPr>
                      <w:rFonts w:hint="default"/>
                    </w:rPr>
                    <w:t>排放量（t/a）</w:t>
                  </w:r>
                </w:p>
              </w:tc>
              <w:tc>
                <w:tcPr>
                  <w:tcW w:w="588" w:type="pct"/>
                  <w:vMerge w:val="continue"/>
                  <w:tcBorders>
                    <w:tl2br w:val="nil"/>
                    <w:tr2bl w:val="nil"/>
                  </w:tcBorders>
                  <w:shd w:val="clear" w:color="auto" w:fill="auto"/>
                  <w:vAlign w:val="center"/>
                </w:tcPr>
                <w:p w14:paraId="6E2AA39E">
                  <w:pPr>
                    <w:pStyle w:val="26"/>
                    <w:keepNext w:val="0"/>
                    <w:keepLines w:val="0"/>
                    <w:suppressLineNumbers w:val="0"/>
                    <w:spacing w:before="0" w:beforeAutospacing="0" w:after="0" w:afterAutospacing="0"/>
                    <w:ind w:left="0" w:right="0"/>
                    <w:rPr>
                      <w:rFonts w:hint="default"/>
                    </w:rPr>
                  </w:pPr>
                </w:p>
              </w:tc>
              <w:tc>
                <w:tcPr>
                  <w:tcW w:w="515" w:type="pct"/>
                  <w:tcBorders>
                    <w:tl2br w:val="nil"/>
                    <w:tr2bl w:val="nil"/>
                  </w:tcBorders>
                  <w:shd w:val="clear" w:color="auto" w:fill="auto"/>
                  <w:vAlign w:val="center"/>
                </w:tcPr>
                <w:p w14:paraId="6EC25C97">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2262D8DE">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vAlign w:val="center"/>
                </w:tcPr>
                <w:p w14:paraId="725B2092">
                  <w:pPr>
                    <w:pStyle w:val="26"/>
                    <w:keepNext w:val="0"/>
                    <w:keepLines w:val="0"/>
                    <w:suppressLineNumbers w:val="0"/>
                    <w:spacing w:before="0" w:beforeAutospacing="0" w:after="0" w:afterAutospacing="0"/>
                    <w:ind w:left="0" w:right="0"/>
                    <w:rPr>
                      <w:rFonts w:hint="default"/>
                    </w:rPr>
                  </w:pPr>
                  <w:r>
                    <w:rPr>
                      <w:rFonts w:hint="default"/>
                    </w:rPr>
                    <w:t>1.026</w:t>
                  </w:r>
                </w:p>
              </w:tc>
              <w:tc>
                <w:tcPr>
                  <w:tcW w:w="473" w:type="pct"/>
                  <w:tcBorders>
                    <w:tl2br w:val="nil"/>
                    <w:tr2bl w:val="nil"/>
                  </w:tcBorders>
                  <w:shd w:val="clear" w:color="auto" w:fill="auto"/>
                  <w:vAlign w:val="center"/>
                </w:tcPr>
                <w:p w14:paraId="55E200A0">
                  <w:pPr>
                    <w:pStyle w:val="26"/>
                    <w:keepNext w:val="0"/>
                    <w:keepLines w:val="0"/>
                    <w:suppressLineNumbers w:val="0"/>
                    <w:spacing w:before="0" w:beforeAutospacing="0" w:after="0" w:afterAutospacing="0"/>
                    <w:ind w:left="0" w:right="0"/>
                    <w:rPr>
                      <w:rFonts w:hint="default"/>
                    </w:rPr>
                  </w:pPr>
                  <w:r>
                    <w:rPr>
                      <w:rFonts w:hint="default"/>
                    </w:rPr>
                    <w:t>/</w:t>
                  </w:r>
                </w:p>
              </w:tc>
              <w:tc>
                <w:tcPr>
                  <w:tcW w:w="465" w:type="pct"/>
                  <w:tcBorders>
                    <w:tl2br w:val="nil"/>
                    <w:tr2bl w:val="nil"/>
                  </w:tcBorders>
                  <w:shd w:val="clear" w:color="auto" w:fill="auto"/>
                  <w:vAlign w:val="center"/>
                </w:tcPr>
                <w:p w14:paraId="0EAC141E">
                  <w:pPr>
                    <w:pStyle w:val="26"/>
                    <w:keepNext w:val="0"/>
                    <w:keepLines w:val="0"/>
                    <w:suppressLineNumbers w:val="0"/>
                    <w:spacing w:before="0" w:beforeAutospacing="0" w:after="0" w:afterAutospacing="0"/>
                    <w:ind w:left="0" w:right="0"/>
                    <w:rPr>
                      <w:rFonts w:hint="default"/>
                    </w:rPr>
                  </w:pPr>
                  <w:r>
                    <w:rPr>
                      <w:rFonts w:hint="default"/>
                    </w:rPr>
                    <w:t>/</w:t>
                  </w:r>
                </w:p>
              </w:tc>
              <w:tc>
                <w:tcPr>
                  <w:tcW w:w="463" w:type="pct"/>
                  <w:tcBorders>
                    <w:tl2br w:val="nil"/>
                    <w:tr2bl w:val="nil"/>
                  </w:tcBorders>
                  <w:shd w:val="clear" w:color="auto" w:fill="auto"/>
                  <w:noWrap/>
                  <w:vAlign w:val="center"/>
                </w:tcPr>
                <w:p w14:paraId="740A73A5">
                  <w:pPr>
                    <w:pStyle w:val="26"/>
                    <w:keepNext w:val="0"/>
                    <w:keepLines w:val="0"/>
                    <w:suppressLineNumbers w:val="0"/>
                    <w:spacing w:before="0" w:beforeAutospacing="0" w:after="0" w:afterAutospacing="0"/>
                    <w:ind w:left="0" w:right="0"/>
                    <w:rPr>
                      <w:rFonts w:hint="default"/>
                    </w:rPr>
                  </w:pPr>
                  <w:r>
                    <w:rPr>
                      <w:rFonts w:hint="default"/>
                    </w:rPr>
                    <w:t>/</w:t>
                  </w:r>
                </w:p>
              </w:tc>
            </w:tr>
            <w:tr w14:paraId="370877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569" w:type="pct"/>
                  <w:gridSpan w:val="3"/>
                  <w:tcBorders>
                    <w:tl2br w:val="nil"/>
                    <w:tr2bl w:val="nil"/>
                  </w:tcBorders>
                  <w:shd w:val="clear" w:color="auto" w:fill="auto"/>
                  <w:vAlign w:val="center"/>
                </w:tcPr>
                <w:p w14:paraId="77653745">
                  <w:pPr>
                    <w:pStyle w:val="26"/>
                    <w:keepNext w:val="0"/>
                    <w:keepLines w:val="0"/>
                    <w:suppressLineNumbers w:val="0"/>
                    <w:spacing w:before="0" w:beforeAutospacing="0" w:after="0" w:afterAutospacing="0"/>
                    <w:ind w:left="0" w:right="0"/>
                    <w:rPr>
                      <w:rFonts w:hint="default"/>
                    </w:rPr>
                  </w:pPr>
                  <w:r>
                    <w:rPr>
                      <w:rFonts w:hint="eastAsia"/>
                    </w:rPr>
                    <w:t>《四川省化工园区水污染物排放标准》（DB51/3202-2024）表1标准</w:t>
                  </w:r>
                </w:p>
              </w:tc>
              <w:tc>
                <w:tcPr>
                  <w:tcW w:w="588" w:type="pct"/>
                  <w:tcBorders>
                    <w:tl2br w:val="nil"/>
                    <w:tr2bl w:val="nil"/>
                  </w:tcBorders>
                  <w:shd w:val="clear" w:color="auto" w:fill="auto"/>
                  <w:vAlign w:val="center"/>
                </w:tcPr>
                <w:p w14:paraId="3E02252A">
                  <w:pPr>
                    <w:pStyle w:val="26"/>
                    <w:keepNext w:val="0"/>
                    <w:keepLines w:val="0"/>
                    <w:suppressLineNumbers w:val="0"/>
                    <w:spacing w:before="0" w:beforeAutospacing="0" w:after="0" w:afterAutospacing="0"/>
                    <w:ind w:left="0" w:right="0"/>
                    <w:rPr>
                      <w:rFonts w:hint="default"/>
                    </w:rPr>
                  </w:pPr>
                  <w:r>
                    <w:rPr>
                      <w:rFonts w:hint="default"/>
                    </w:rPr>
                    <w:t>/</w:t>
                  </w:r>
                </w:p>
              </w:tc>
              <w:tc>
                <w:tcPr>
                  <w:tcW w:w="515" w:type="pct"/>
                  <w:tcBorders>
                    <w:tl2br w:val="nil"/>
                    <w:tr2bl w:val="nil"/>
                  </w:tcBorders>
                  <w:shd w:val="clear" w:color="auto" w:fill="auto"/>
                  <w:vAlign w:val="center"/>
                </w:tcPr>
                <w:p w14:paraId="689C73BC">
                  <w:pPr>
                    <w:pStyle w:val="26"/>
                    <w:keepNext w:val="0"/>
                    <w:keepLines w:val="0"/>
                    <w:suppressLineNumbers w:val="0"/>
                    <w:spacing w:before="0" w:beforeAutospacing="0" w:after="0" w:afterAutospacing="0"/>
                    <w:ind w:left="0" w:right="0"/>
                    <w:rPr>
                      <w:rFonts w:hint="default"/>
                    </w:rPr>
                  </w:pPr>
                  <w:r>
                    <w:rPr>
                      <w:rFonts w:hint="default"/>
                    </w:rPr>
                    <w:t>40</w:t>
                  </w:r>
                </w:p>
              </w:tc>
              <w:tc>
                <w:tcPr>
                  <w:tcW w:w="463" w:type="pct"/>
                  <w:tcBorders>
                    <w:tl2br w:val="nil"/>
                    <w:tr2bl w:val="nil"/>
                  </w:tcBorders>
                  <w:shd w:val="clear" w:color="auto" w:fill="auto"/>
                  <w:vAlign w:val="center"/>
                </w:tcPr>
                <w:p w14:paraId="76984559">
                  <w:pPr>
                    <w:pStyle w:val="26"/>
                    <w:keepNext w:val="0"/>
                    <w:keepLines w:val="0"/>
                    <w:suppressLineNumbers w:val="0"/>
                    <w:spacing w:before="0" w:beforeAutospacing="0" w:after="0" w:afterAutospacing="0"/>
                    <w:ind w:left="0" w:right="0"/>
                    <w:rPr>
                      <w:rFonts w:hint="default"/>
                    </w:rPr>
                  </w:pPr>
                  <w:r>
                    <w:rPr>
                      <w:rFonts w:hint="default"/>
                    </w:rPr>
                    <w:t>10</w:t>
                  </w:r>
                </w:p>
              </w:tc>
              <w:tc>
                <w:tcPr>
                  <w:tcW w:w="463" w:type="pct"/>
                  <w:tcBorders>
                    <w:tl2br w:val="nil"/>
                    <w:tr2bl w:val="nil"/>
                  </w:tcBorders>
                  <w:shd w:val="clear" w:color="auto" w:fill="auto"/>
                  <w:vAlign w:val="center"/>
                </w:tcPr>
                <w:p w14:paraId="1296CB67">
                  <w:pPr>
                    <w:pStyle w:val="26"/>
                    <w:keepNext w:val="0"/>
                    <w:keepLines w:val="0"/>
                    <w:suppressLineNumbers w:val="0"/>
                    <w:spacing w:before="0" w:beforeAutospacing="0" w:after="0" w:afterAutospacing="0"/>
                    <w:ind w:left="0" w:right="0"/>
                    <w:rPr>
                      <w:rFonts w:hint="default"/>
                    </w:rPr>
                  </w:pPr>
                  <w:r>
                    <w:rPr>
                      <w:rFonts w:hint="default"/>
                    </w:rPr>
                    <w:t>40</w:t>
                  </w:r>
                </w:p>
              </w:tc>
              <w:tc>
                <w:tcPr>
                  <w:tcW w:w="473" w:type="pct"/>
                  <w:tcBorders>
                    <w:tl2br w:val="nil"/>
                    <w:tr2bl w:val="nil"/>
                  </w:tcBorders>
                  <w:shd w:val="clear" w:color="auto" w:fill="auto"/>
                  <w:vAlign w:val="center"/>
                </w:tcPr>
                <w:p w14:paraId="0E37DB9D">
                  <w:pPr>
                    <w:pStyle w:val="26"/>
                    <w:keepNext w:val="0"/>
                    <w:keepLines w:val="0"/>
                    <w:suppressLineNumbers w:val="0"/>
                    <w:spacing w:before="0" w:beforeAutospacing="0" w:after="0" w:afterAutospacing="0"/>
                    <w:ind w:left="0" w:right="0"/>
                    <w:rPr>
                      <w:rFonts w:hint="default"/>
                    </w:rPr>
                  </w:pPr>
                  <w:r>
                    <w:rPr>
                      <w:rFonts w:hint="default"/>
                    </w:rPr>
                    <w:t>5</w:t>
                  </w:r>
                </w:p>
              </w:tc>
              <w:tc>
                <w:tcPr>
                  <w:tcW w:w="465" w:type="pct"/>
                  <w:tcBorders>
                    <w:tl2br w:val="nil"/>
                    <w:tr2bl w:val="nil"/>
                  </w:tcBorders>
                  <w:shd w:val="clear" w:color="auto" w:fill="auto"/>
                  <w:vAlign w:val="center"/>
                </w:tcPr>
                <w:p w14:paraId="192A13F2">
                  <w:pPr>
                    <w:pStyle w:val="26"/>
                    <w:keepNext w:val="0"/>
                    <w:keepLines w:val="0"/>
                    <w:suppressLineNumbers w:val="0"/>
                    <w:spacing w:before="0" w:beforeAutospacing="0" w:after="0" w:afterAutospacing="0"/>
                    <w:ind w:left="0" w:right="0"/>
                    <w:rPr>
                      <w:rFonts w:hint="default"/>
                    </w:rPr>
                  </w:pPr>
                  <w:r>
                    <w:rPr>
                      <w:rFonts w:hint="default"/>
                    </w:rPr>
                    <w:t>0.5</w:t>
                  </w:r>
                </w:p>
              </w:tc>
              <w:tc>
                <w:tcPr>
                  <w:tcW w:w="463" w:type="pct"/>
                  <w:tcBorders>
                    <w:tl2br w:val="nil"/>
                    <w:tr2bl w:val="nil"/>
                  </w:tcBorders>
                  <w:shd w:val="clear" w:color="auto" w:fill="auto"/>
                  <w:noWrap/>
                  <w:vAlign w:val="center"/>
                </w:tcPr>
                <w:p w14:paraId="010CECF0">
                  <w:pPr>
                    <w:pStyle w:val="26"/>
                    <w:keepNext w:val="0"/>
                    <w:keepLines w:val="0"/>
                    <w:suppressLineNumbers w:val="0"/>
                    <w:spacing w:before="0" w:beforeAutospacing="0" w:after="0" w:afterAutospacing="0"/>
                    <w:ind w:left="0" w:right="0"/>
                    <w:rPr>
                      <w:rFonts w:hint="default"/>
                    </w:rPr>
                  </w:pPr>
                  <w:r>
                    <w:rPr>
                      <w:rFonts w:hint="default"/>
                    </w:rPr>
                    <w:t>15</w:t>
                  </w:r>
                </w:p>
              </w:tc>
            </w:tr>
            <w:tr w14:paraId="48823E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11" w:type="pct"/>
                  <w:gridSpan w:val="2"/>
                  <w:vMerge w:val="restart"/>
                  <w:tcBorders>
                    <w:tl2br w:val="nil"/>
                    <w:tr2bl w:val="nil"/>
                  </w:tcBorders>
                  <w:shd w:val="clear" w:color="auto" w:fill="auto"/>
                  <w:vAlign w:val="center"/>
                </w:tcPr>
                <w:p w14:paraId="65DE58D9">
                  <w:pPr>
                    <w:pStyle w:val="26"/>
                    <w:keepNext w:val="0"/>
                    <w:keepLines w:val="0"/>
                    <w:suppressLineNumbers w:val="0"/>
                    <w:spacing w:before="0" w:beforeAutospacing="0" w:after="0" w:afterAutospacing="0"/>
                    <w:ind w:left="0" w:right="0"/>
                    <w:rPr>
                      <w:rFonts w:hint="default"/>
                    </w:rPr>
                  </w:pPr>
                  <w:r>
                    <w:rPr>
                      <w:rFonts w:hint="default"/>
                    </w:rPr>
                    <w:t>普光工业园区污水处理厂</w:t>
                  </w:r>
                </w:p>
              </w:tc>
              <w:tc>
                <w:tcPr>
                  <w:tcW w:w="758" w:type="pct"/>
                  <w:tcBorders>
                    <w:tl2br w:val="nil"/>
                    <w:tr2bl w:val="nil"/>
                  </w:tcBorders>
                  <w:shd w:val="clear" w:color="auto" w:fill="auto"/>
                  <w:vAlign w:val="center"/>
                </w:tcPr>
                <w:p w14:paraId="4863CA4C">
                  <w:pPr>
                    <w:pStyle w:val="26"/>
                    <w:keepNext w:val="0"/>
                    <w:keepLines w:val="0"/>
                    <w:suppressLineNumbers w:val="0"/>
                    <w:spacing w:before="0" w:beforeAutospacing="0" w:after="0" w:afterAutospacing="0"/>
                    <w:ind w:left="0" w:right="0"/>
                    <w:rPr>
                      <w:rFonts w:hint="default"/>
                    </w:rPr>
                  </w:pPr>
                  <w:r>
                    <w:rPr>
                      <w:rFonts w:hint="default"/>
                    </w:rPr>
                    <w:t>浓度（mg/L）</w:t>
                  </w:r>
                </w:p>
              </w:tc>
              <w:tc>
                <w:tcPr>
                  <w:tcW w:w="588" w:type="pct"/>
                  <w:vMerge w:val="restart"/>
                  <w:tcBorders>
                    <w:tl2br w:val="nil"/>
                    <w:tr2bl w:val="nil"/>
                  </w:tcBorders>
                  <w:shd w:val="clear" w:color="auto" w:fill="auto"/>
                  <w:vAlign w:val="center"/>
                </w:tcPr>
                <w:p w14:paraId="12497ABC">
                  <w:pPr>
                    <w:pStyle w:val="28"/>
                    <w:keepNext w:val="0"/>
                    <w:keepLines w:val="0"/>
                    <w:suppressLineNumbers w:val="0"/>
                    <w:spacing w:before="0" w:beforeAutospacing="0" w:after="0" w:afterAutospacing="0"/>
                    <w:ind w:left="0" w:right="0"/>
                    <w:rPr>
                      <w:rFonts w:hint="default"/>
                      <w:color w:val="auto"/>
                    </w:rPr>
                  </w:pPr>
                  <w:r>
                    <w:rPr>
                      <w:rFonts w:hint="default"/>
                      <w:color w:val="auto"/>
                    </w:rPr>
                    <w:t>10861.68</w:t>
                  </w:r>
                </w:p>
              </w:tc>
              <w:tc>
                <w:tcPr>
                  <w:tcW w:w="515" w:type="pct"/>
                  <w:tcBorders>
                    <w:tl2br w:val="nil"/>
                    <w:tr2bl w:val="nil"/>
                  </w:tcBorders>
                  <w:shd w:val="clear" w:color="auto" w:fill="auto"/>
                  <w:vAlign w:val="center"/>
                </w:tcPr>
                <w:p w14:paraId="132F8B12">
                  <w:pPr>
                    <w:pStyle w:val="26"/>
                    <w:keepNext w:val="0"/>
                    <w:keepLines w:val="0"/>
                    <w:suppressLineNumbers w:val="0"/>
                    <w:spacing w:before="0" w:beforeAutospacing="0" w:after="0" w:afterAutospacing="0"/>
                    <w:ind w:left="0" w:right="0"/>
                    <w:rPr>
                      <w:rFonts w:hint="default"/>
                    </w:rPr>
                  </w:pPr>
                  <w:r>
                    <w:rPr>
                      <w:rFonts w:hint="default"/>
                    </w:rPr>
                    <w:t>50</w:t>
                  </w:r>
                </w:p>
              </w:tc>
              <w:tc>
                <w:tcPr>
                  <w:tcW w:w="463" w:type="pct"/>
                  <w:tcBorders>
                    <w:tl2br w:val="nil"/>
                    <w:tr2bl w:val="nil"/>
                  </w:tcBorders>
                  <w:shd w:val="clear" w:color="auto" w:fill="auto"/>
                  <w:vAlign w:val="center"/>
                </w:tcPr>
                <w:p w14:paraId="5580ADD8">
                  <w:pPr>
                    <w:pStyle w:val="26"/>
                    <w:keepNext w:val="0"/>
                    <w:keepLines w:val="0"/>
                    <w:suppressLineNumbers w:val="0"/>
                    <w:spacing w:before="0" w:beforeAutospacing="0" w:after="0" w:afterAutospacing="0"/>
                    <w:ind w:left="0" w:right="0"/>
                    <w:rPr>
                      <w:rFonts w:hint="default"/>
                    </w:rPr>
                  </w:pPr>
                  <w:r>
                    <w:rPr>
                      <w:rFonts w:hint="default"/>
                    </w:rPr>
                    <w:t>10</w:t>
                  </w:r>
                </w:p>
              </w:tc>
              <w:tc>
                <w:tcPr>
                  <w:tcW w:w="463" w:type="pct"/>
                  <w:tcBorders>
                    <w:tl2br w:val="nil"/>
                    <w:tr2bl w:val="nil"/>
                  </w:tcBorders>
                  <w:shd w:val="clear" w:color="auto" w:fill="auto"/>
                  <w:vAlign w:val="center"/>
                </w:tcPr>
                <w:p w14:paraId="1B6FA840">
                  <w:pPr>
                    <w:pStyle w:val="26"/>
                    <w:keepNext w:val="0"/>
                    <w:keepLines w:val="0"/>
                    <w:suppressLineNumbers w:val="0"/>
                    <w:spacing w:before="0" w:beforeAutospacing="0" w:after="0" w:afterAutospacing="0"/>
                    <w:ind w:left="0" w:right="0"/>
                    <w:rPr>
                      <w:rFonts w:hint="default"/>
                    </w:rPr>
                  </w:pPr>
                  <w:r>
                    <w:rPr>
                      <w:rFonts w:hint="default"/>
                    </w:rPr>
                    <w:t>10</w:t>
                  </w:r>
                </w:p>
              </w:tc>
              <w:tc>
                <w:tcPr>
                  <w:tcW w:w="473" w:type="pct"/>
                  <w:tcBorders>
                    <w:tl2br w:val="nil"/>
                    <w:tr2bl w:val="nil"/>
                  </w:tcBorders>
                  <w:shd w:val="clear" w:color="auto" w:fill="auto"/>
                  <w:vAlign w:val="center"/>
                </w:tcPr>
                <w:p w14:paraId="5009BA76">
                  <w:pPr>
                    <w:pStyle w:val="26"/>
                    <w:keepNext w:val="0"/>
                    <w:keepLines w:val="0"/>
                    <w:suppressLineNumbers w:val="0"/>
                    <w:spacing w:before="0" w:beforeAutospacing="0" w:after="0" w:afterAutospacing="0"/>
                    <w:ind w:left="0" w:right="0"/>
                    <w:rPr>
                      <w:rFonts w:hint="default"/>
                    </w:rPr>
                  </w:pPr>
                  <w:r>
                    <w:rPr>
                      <w:rFonts w:hint="default"/>
                    </w:rPr>
                    <w:t>5</w:t>
                  </w:r>
                </w:p>
              </w:tc>
              <w:tc>
                <w:tcPr>
                  <w:tcW w:w="465" w:type="pct"/>
                  <w:tcBorders>
                    <w:tl2br w:val="nil"/>
                    <w:tr2bl w:val="nil"/>
                  </w:tcBorders>
                  <w:shd w:val="clear" w:color="auto" w:fill="auto"/>
                  <w:vAlign w:val="center"/>
                </w:tcPr>
                <w:p w14:paraId="52AC1528">
                  <w:pPr>
                    <w:pStyle w:val="26"/>
                    <w:keepNext w:val="0"/>
                    <w:keepLines w:val="0"/>
                    <w:suppressLineNumbers w:val="0"/>
                    <w:spacing w:before="0" w:beforeAutospacing="0" w:after="0" w:afterAutospacing="0"/>
                    <w:ind w:left="0" w:right="0"/>
                    <w:rPr>
                      <w:rFonts w:hint="default"/>
                    </w:rPr>
                  </w:pPr>
                  <w:r>
                    <w:rPr>
                      <w:rFonts w:hint="default"/>
                    </w:rPr>
                    <w:t>0.5</w:t>
                  </w:r>
                </w:p>
              </w:tc>
              <w:tc>
                <w:tcPr>
                  <w:tcW w:w="463" w:type="pct"/>
                  <w:tcBorders>
                    <w:tl2br w:val="nil"/>
                    <w:tr2bl w:val="nil"/>
                  </w:tcBorders>
                  <w:shd w:val="clear" w:color="auto" w:fill="auto"/>
                  <w:noWrap/>
                  <w:vAlign w:val="center"/>
                </w:tcPr>
                <w:p w14:paraId="43739A39">
                  <w:pPr>
                    <w:pStyle w:val="26"/>
                    <w:keepNext w:val="0"/>
                    <w:keepLines w:val="0"/>
                    <w:suppressLineNumbers w:val="0"/>
                    <w:spacing w:before="0" w:beforeAutospacing="0" w:after="0" w:afterAutospacing="0"/>
                    <w:ind w:left="0" w:right="0"/>
                    <w:rPr>
                      <w:rFonts w:hint="default"/>
                    </w:rPr>
                  </w:pPr>
                  <w:r>
                    <w:rPr>
                      <w:rFonts w:hint="default"/>
                    </w:rPr>
                    <w:t>15</w:t>
                  </w:r>
                </w:p>
              </w:tc>
            </w:tr>
            <w:tr w14:paraId="6C40C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11" w:type="pct"/>
                  <w:gridSpan w:val="2"/>
                  <w:vMerge w:val="continue"/>
                  <w:tcBorders>
                    <w:tl2br w:val="nil"/>
                    <w:tr2bl w:val="nil"/>
                  </w:tcBorders>
                  <w:shd w:val="clear" w:color="auto" w:fill="auto"/>
                  <w:vAlign w:val="center"/>
                </w:tcPr>
                <w:p w14:paraId="264B612F">
                  <w:pPr>
                    <w:pStyle w:val="26"/>
                    <w:keepNext w:val="0"/>
                    <w:keepLines w:val="0"/>
                    <w:suppressLineNumbers w:val="0"/>
                    <w:spacing w:before="0" w:beforeAutospacing="0" w:after="0" w:afterAutospacing="0"/>
                    <w:ind w:left="0" w:right="0"/>
                    <w:rPr>
                      <w:rFonts w:hint="default"/>
                    </w:rPr>
                  </w:pPr>
                </w:p>
              </w:tc>
              <w:tc>
                <w:tcPr>
                  <w:tcW w:w="758" w:type="pct"/>
                  <w:tcBorders>
                    <w:tl2br w:val="nil"/>
                    <w:tr2bl w:val="nil"/>
                  </w:tcBorders>
                  <w:shd w:val="clear" w:color="auto" w:fill="auto"/>
                  <w:vAlign w:val="center"/>
                </w:tcPr>
                <w:p w14:paraId="7C3841F9">
                  <w:pPr>
                    <w:pStyle w:val="26"/>
                    <w:keepNext w:val="0"/>
                    <w:keepLines w:val="0"/>
                    <w:suppressLineNumbers w:val="0"/>
                    <w:spacing w:before="0" w:beforeAutospacing="0" w:after="0" w:afterAutospacing="0"/>
                    <w:ind w:left="0" w:right="0"/>
                    <w:rPr>
                      <w:rFonts w:hint="default"/>
                    </w:rPr>
                  </w:pPr>
                  <w:r>
                    <w:rPr>
                      <w:rFonts w:hint="default"/>
                    </w:rPr>
                    <w:t>排放量（t/a）</w:t>
                  </w:r>
                </w:p>
              </w:tc>
              <w:tc>
                <w:tcPr>
                  <w:tcW w:w="588" w:type="pct"/>
                  <w:vMerge w:val="continue"/>
                  <w:tcBorders>
                    <w:tl2br w:val="nil"/>
                    <w:tr2bl w:val="nil"/>
                  </w:tcBorders>
                  <w:shd w:val="clear" w:color="auto" w:fill="auto"/>
                  <w:vAlign w:val="center"/>
                </w:tcPr>
                <w:p w14:paraId="56009BA2">
                  <w:pPr>
                    <w:pStyle w:val="26"/>
                    <w:keepNext w:val="0"/>
                    <w:keepLines w:val="0"/>
                    <w:suppressLineNumbers w:val="0"/>
                    <w:spacing w:before="0" w:beforeAutospacing="0" w:after="0" w:afterAutospacing="0"/>
                    <w:ind w:left="0" w:right="0"/>
                    <w:rPr>
                      <w:rFonts w:hint="default"/>
                    </w:rPr>
                  </w:pPr>
                </w:p>
              </w:tc>
              <w:tc>
                <w:tcPr>
                  <w:tcW w:w="515" w:type="pct"/>
                  <w:tcBorders>
                    <w:tl2br w:val="nil"/>
                    <w:tr2bl w:val="nil"/>
                  </w:tcBorders>
                  <w:shd w:val="clear" w:color="auto" w:fill="auto"/>
                  <w:vAlign w:val="center"/>
                </w:tcPr>
                <w:p w14:paraId="54C2E01C">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0.543</w:t>
                  </w:r>
                </w:p>
              </w:tc>
              <w:tc>
                <w:tcPr>
                  <w:tcW w:w="463" w:type="pct"/>
                  <w:tcBorders>
                    <w:tl2br w:val="nil"/>
                    <w:tr2bl w:val="nil"/>
                  </w:tcBorders>
                  <w:shd w:val="clear" w:color="auto" w:fill="auto"/>
                  <w:vAlign w:val="center"/>
                </w:tcPr>
                <w:p w14:paraId="0D4DED46">
                  <w:pPr>
                    <w:pStyle w:val="28"/>
                    <w:keepNext w:val="0"/>
                    <w:keepLines w:val="0"/>
                    <w:suppressLineNumbers w:val="0"/>
                    <w:spacing w:before="0" w:beforeAutospacing="0" w:after="0" w:afterAutospacing="0"/>
                    <w:ind w:left="0" w:right="0"/>
                    <w:rPr>
                      <w:rFonts w:hint="default"/>
                      <w:color w:val="auto"/>
                    </w:rPr>
                  </w:pPr>
                  <w:r>
                    <w:rPr>
                      <w:rFonts w:hint="default"/>
                      <w:color w:val="auto"/>
                    </w:rPr>
                    <w:t>0.109</w:t>
                  </w:r>
                </w:p>
              </w:tc>
              <w:tc>
                <w:tcPr>
                  <w:tcW w:w="463" w:type="pct"/>
                  <w:tcBorders>
                    <w:tl2br w:val="nil"/>
                    <w:tr2bl w:val="nil"/>
                  </w:tcBorders>
                  <w:shd w:val="clear" w:color="auto" w:fill="auto"/>
                  <w:vAlign w:val="center"/>
                </w:tcPr>
                <w:p w14:paraId="449FB3FD">
                  <w:pPr>
                    <w:pStyle w:val="28"/>
                    <w:keepNext w:val="0"/>
                    <w:keepLines w:val="0"/>
                    <w:suppressLineNumbers w:val="0"/>
                    <w:spacing w:before="0" w:beforeAutospacing="0" w:after="0" w:afterAutospacing="0"/>
                    <w:ind w:left="0" w:right="0"/>
                    <w:rPr>
                      <w:rFonts w:hint="default"/>
                      <w:color w:val="auto"/>
                    </w:rPr>
                  </w:pPr>
                  <w:r>
                    <w:rPr>
                      <w:rFonts w:hint="default"/>
                      <w:color w:val="auto"/>
                    </w:rPr>
                    <w:t>0.109</w:t>
                  </w:r>
                </w:p>
              </w:tc>
              <w:tc>
                <w:tcPr>
                  <w:tcW w:w="473" w:type="pct"/>
                  <w:tcBorders>
                    <w:tl2br w:val="nil"/>
                    <w:tr2bl w:val="nil"/>
                  </w:tcBorders>
                  <w:shd w:val="clear" w:color="auto" w:fill="auto"/>
                  <w:vAlign w:val="center"/>
                </w:tcPr>
                <w:p w14:paraId="544B20C3">
                  <w:pPr>
                    <w:pStyle w:val="28"/>
                    <w:keepNext w:val="0"/>
                    <w:keepLines w:val="0"/>
                    <w:suppressLineNumbers w:val="0"/>
                    <w:spacing w:before="0" w:beforeAutospacing="0" w:after="0" w:afterAutospacing="0"/>
                    <w:ind w:left="0" w:right="0"/>
                    <w:rPr>
                      <w:rFonts w:hint="default"/>
                      <w:color w:val="auto"/>
                    </w:rPr>
                  </w:pPr>
                  <w:r>
                    <w:rPr>
                      <w:rFonts w:hint="default"/>
                      <w:color w:val="auto"/>
                    </w:rPr>
                    <w:t>0.054</w:t>
                  </w:r>
                </w:p>
              </w:tc>
              <w:tc>
                <w:tcPr>
                  <w:tcW w:w="465" w:type="pct"/>
                  <w:tcBorders>
                    <w:tl2br w:val="nil"/>
                    <w:tr2bl w:val="nil"/>
                  </w:tcBorders>
                  <w:shd w:val="clear" w:color="auto" w:fill="auto"/>
                  <w:vAlign w:val="center"/>
                </w:tcPr>
                <w:p w14:paraId="59ADA32E">
                  <w:pPr>
                    <w:pStyle w:val="28"/>
                    <w:keepNext w:val="0"/>
                    <w:keepLines w:val="0"/>
                    <w:suppressLineNumbers w:val="0"/>
                    <w:spacing w:before="0" w:beforeAutospacing="0" w:after="0" w:afterAutospacing="0"/>
                    <w:ind w:left="0" w:right="0"/>
                    <w:rPr>
                      <w:rFonts w:hint="default"/>
                      <w:color w:val="auto"/>
                    </w:rPr>
                  </w:pPr>
                  <w:r>
                    <w:rPr>
                      <w:rFonts w:hint="default"/>
                      <w:color w:val="auto"/>
                    </w:rPr>
                    <w:t>0.005</w:t>
                  </w:r>
                </w:p>
              </w:tc>
              <w:tc>
                <w:tcPr>
                  <w:tcW w:w="463" w:type="pct"/>
                  <w:tcBorders>
                    <w:tl2br w:val="nil"/>
                    <w:tr2bl w:val="nil"/>
                  </w:tcBorders>
                  <w:shd w:val="clear" w:color="auto" w:fill="auto"/>
                  <w:vAlign w:val="center"/>
                </w:tcPr>
                <w:p w14:paraId="27ED4787">
                  <w:pPr>
                    <w:pStyle w:val="28"/>
                    <w:keepNext w:val="0"/>
                    <w:keepLines w:val="0"/>
                    <w:suppressLineNumbers w:val="0"/>
                    <w:spacing w:before="0" w:beforeAutospacing="0" w:after="0" w:afterAutospacing="0"/>
                    <w:ind w:left="0" w:right="0"/>
                    <w:rPr>
                      <w:rFonts w:hint="default"/>
                      <w:color w:val="auto"/>
                    </w:rPr>
                  </w:pPr>
                  <w:r>
                    <w:rPr>
                      <w:rFonts w:hint="default"/>
                      <w:color w:val="auto"/>
                    </w:rPr>
                    <w:t>0.163</w:t>
                  </w:r>
                </w:p>
              </w:tc>
            </w:tr>
            <w:tr w14:paraId="55082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569" w:type="pct"/>
                  <w:gridSpan w:val="3"/>
                  <w:tcBorders>
                    <w:tl2br w:val="nil"/>
                    <w:tr2bl w:val="nil"/>
                  </w:tcBorders>
                  <w:shd w:val="clear" w:color="auto" w:fill="auto"/>
                  <w:vAlign w:val="center"/>
                </w:tcPr>
                <w:p w14:paraId="29C2F846">
                  <w:pPr>
                    <w:pStyle w:val="26"/>
                    <w:keepNext w:val="0"/>
                    <w:keepLines w:val="0"/>
                    <w:suppressLineNumbers w:val="0"/>
                    <w:spacing w:before="0" w:beforeAutospacing="0" w:after="0" w:afterAutospacing="0"/>
                    <w:ind w:left="0" w:right="0"/>
                    <w:rPr>
                      <w:rFonts w:hint="default"/>
                    </w:rPr>
                  </w:pPr>
                  <w:r>
                    <w:rPr>
                      <w:rFonts w:hint="default"/>
                    </w:rPr>
                    <w:t>《城镇污水处理厂污染物排放标准》（GB18918-2002）</w:t>
                  </w:r>
                </w:p>
              </w:tc>
              <w:tc>
                <w:tcPr>
                  <w:tcW w:w="588" w:type="pct"/>
                  <w:tcBorders>
                    <w:tl2br w:val="nil"/>
                    <w:tr2bl w:val="nil"/>
                  </w:tcBorders>
                  <w:shd w:val="clear" w:color="auto" w:fill="auto"/>
                  <w:vAlign w:val="center"/>
                </w:tcPr>
                <w:p w14:paraId="662AAF48">
                  <w:pPr>
                    <w:pStyle w:val="26"/>
                    <w:keepNext w:val="0"/>
                    <w:keepLines w:val="0"/>
                    <w:suppressLineNumbers w:val="0"/>
                    <w:spacing w:before="0" w:beforeAutospacing="0" w:after="0" w:afterAutospacing="0"/>
                    <w:ind w:left="0" w:right="0"/>
                    <w:rPr>
                      <w:rFonts w:hint="default"/>
                    </w:rPr>
                  </w:pPr>
                  <w:r>
                    <w:rPr>
                      <w:rFonts w:hint="default"/>
                    </w:rPr>
                    <w:t>/</w:t>
                  </w:r>
                </w:p>
              </w:tc>
              <w:tc>
                <w:tcPr>
                  <w:tcW w:w="515" w:type="pct"/>
                  <w:tcBorders>
                    <w:tl2br w:val="nil"/>
                    <w:tr2bl w:val="nil"/>
                  </w:tcBorders>
                  <w:shd w:val="clear" w:color="auto" w:fill="auto"/>
                  <w:vAlign w:val="center"/>
                </w:tcPr>
                <w:p w14:paraId="6A537062">
                  <w:pPr>
                    <w:pStyle w:val="26"/>
                    <w:keepNext w:val="0"/>
                    <w:keepLines w:val="0"/>
                    <w:suppressLineNumbers w:val="0"/>
                    <w:spacing w:before="0" w:beforeAutospacing="0" w:after="0" w:afterAutospacing="0"/>
                    <w:ind w:left="0" w:right="0"/>
                    <w:rPr>
                      <w:rFonts w:hint="default"/>
                    </w:rPr>
                  </w:pPr>
                  <w:r>
                    <w:rPr>
                      <w:rFonts w:hint="default"/>
                    </w:rPr>
                    <w:t>50</w:t>
                  </w:r>
                </w:p>
              </w:tc>
              <w:tc>
                <w:tcPr>
                  <w:tcW w:w="463" w:type="pct"/>
                  <w:tcBorders>
                    <w:tl2br w:val="nil"/>
                    <w:tr2bl w:val="nil"/>
                  </w:tcBorders>
                  <w:shd w:val="clear" w:color="auto" w:fill="auto"/>
                  <w:vAlign w:val="center"/>
                </w:tcPr>
                <w:p w14:paraId="466110C1">
                  <w:pPr>
                    <w:pStyle w:val="26"/>
                    <w:keepNext w:val="0"/>
                    <w:keepLines w:val="0"/>
                    <w:suppressLineNumbers w:val="0"/>
                    <w:spacing w:before="0" w:beforeAutospacing="0" w:after="0" w:afterAutospacing="0"/>
                    <w:ind w:left="0" w:right="0"/>
                    <w:rPr>
                      <w:rFonts w:hint="default"/>
                    </w:rPr>
                  </w:pPr>
                  <w:r>
                    <w:rPr>
                      <w:rFonts w:hint="default"/>
                    </w:rPr>
                    <w:t>10</w:t>
                  </w:r>
                </w:p>
              </w:tc>
              <w:tc>
                <w:tcPr>
                  <w:tcW w:w="463" w:type="pct"/>
                  <w:tcBorders>
                    <w:tl2br w:val="nil"/>
                    <w:tr2bl w:val="nil"/>
                  </w:tcBorders>
                  <w:shd w:val="clear" w:color="auto" w:fill="auto"/>
                  <w:vAlign w:val="center"/>
                </w:tcPr>
                <w:p w14:paraId="55D79428">
                  <w:pPr>
                    <w:pStyle w:val="26"/>
                    <w:keepNext w:val="0"/>
                    <w:keepLines w:val="0"/>
                    <w:suppressLineNumbers w:val="0"/>
                    <w:spacing w:before="0" w:beforeAutospacing="0" w:after="0" w:afterAutospacing="0"/>
                    <w:ind w:left="0" w:right="0"/>
                    <w:rPr>
                      <w:rFonts w:hint="default"/>
                    </w:rPr>
                  </w:pPr>
                  <w:r>
                    <w:rPr>
                      <w:rFonts w:hint="default"/>
                    </w:rPr>
                    <w:t>10</w:t>
                  </w:r>
                </w:p>
              </w:tc>
              <w:tc>
                <w:tcPr>
                  <w:tcW w:w="473" w:type="pct"/>
                  <w:tcBorders>
                    <w:tl2br w:val="nil"/>
                    <w:tr2bl w:val="nil"/>
                  </w:tcBorders>
                  <w:shd w:val="clear" w:color="auto" w:fill="auto"/>
                  <w:vAlign w:val="center"/>
                </w:tcPr>
                <w:p w14:paraId="63F2426E">
                  <w:pPr>
                    <w:pStyle w:val="26"/>
                    <w:keepNext w:val="0"/>
                    <w:keepLines w:val="0"/>
                    <w:suppressLineNumbers w:val="0"/>
                    <w:spacing w:before="0" w:beforeAutospacing="0" w:after="0" w:afterAutospacing="0"/>
                    <w:ind w:left="0" w:right="0"/>
                    <w:rPr>
                      <w:rFonts w:hint="default"/>
                    </w:rPr>
                  </w:pPr>
                  <w:r>
                    <w:rPr>
                      <w:rFonts w:hint="default"/>
                    </w:rPr>
                    <w:t>5</w:t>
                  </w:r>
                </w:p>
              </w:tc>
              <w:tc>
                <w:tcPr>
                  <w:tcW w:w="465" w:type="pct"/>
                  <w:tcBorders>
                    <w:tl2br w:val="nil"/>
                    <w:tr2bl w:val="nil"/>
                  </w:tcBorders>
                  <w:shd w:val="clear" w:color="auto" w:fill="auto"/>
                  <w:vAlign w:val="center"/>
                </w:tcPr>
                <w:p w14:paraId="1CF9E1BF">
                  <w:pPr>
                    <w:pStyle w:val="26"/>
                    <w:keepNext w:val="0"/>
                    <w:keepLines w:val="0"/>
                    <w:suppressLineNumbers w:val="0"/>
                    <w:spacing w:before="0" w:beforeAutospacing="0" w:after="0" w:afterAutospacing="0"/>
                    <w:ind w:left="0" w:right="0"/>
                    <w:rPr>
                      <w:rFonts w:hint="default"/>
                    </w:rPr>
                  </w:pPr>
                  <w:r>
                    <w:rPr>
                      <w:rFonts w:hint="default"/>
                    </w:rPr>
                    <w:t>0.5</w:t>
                  </w:r>
                </w:p>
              </w:tc>
              <w:tc>
                <w:tcPr>
                  <w:tcW w:w="463" w:type="pct"/>
                  <w:tcBorders>
                    <w:tl2br w:val="nil"/>
                    <w:tr2bl w:val="nil"/>
                  </w:tcBorders>
                  <w:shd w:val="clear" w:color="auto" w:fill="auto"/>
                  <w:noWrap/>
                  <w:vAlign w:val="center"/>
                </w:tcPr>
                <w:p w14:paraId="640635BE">
                  <w:pPr>
                    <w:pStyle w:val="26"/>
                    <w:keepNext w:val="0"/>
                    <w:keepLines w:val="0"/>
                    <w:suppressLineNumbers w:val="0"/>
                    <w:spacing w:before="0" w:beforeAutospacing="0" w:after="0" w:afterAutospacing="0"/>
                    <w:ind w:left="0" w:right="0"/>
                    <w:rPr>
                      <w:rFonts w:hint="default"/>
                    </w:rPr>
                  </w:pPr>
                  <w:r>
                    <w:rPr>
                      <w:rFonts w:hint="default"/>
                    </w:rPr>
                    <w:t>15</w:t>
                  </w:r>
                </w:p>
              </w:tc>
            </w:tr>
          </w:tbl>
          <w:p w14:paraId="177B299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综上分析，本项目全厂废水能做到达标排放。</w:t>
            </w:r>
          </w:p>
          <w:p w14:paraId="6653C7C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5、废水依托污水处理厂可行性分析</w:t>
            </w:r>
          </w:p>
          <w:p w14:paraId="66F5CDD1">
            <w:pPr>
              <w:keepNext w:val="0"/>
              <w:keepLines w:val="0"/>
              <w:suppressLineNumbers w:val="0"/>
              <w:spacing w:before="0" w:beforeAutospacing="0" w:after="0" w:afterAutospacing="0"/>
              <w:ind w:left="0" w:right="0" w:firstLine="482"/>
              <w:rPr>
                <w:rFonts w:hint="default" w:cs="Times New Roman"/>
                <w:b/>
                <w:bCs/>
                <w:color w:val="auto"/>
              </w:rPr>
            </w:pPr>
            <w:r>
              <w:rPr>
                <w:rFonts w:hint="eastAsia" w:ascii="宋体" w:hAnsi="宋体" w:cs="宋体"/>
                <w:b/>
                <w:bCs/>
                <w:color w:val="auto"/>
              </w:rPr>
              <w:t>①</w:t>
            </w:r>
            <w:r>
              <w:rPr>
                <w:rFonts w:hint="default" w:cs="Times New Roman"/>
                <w:b/>
                <w:bCs/>
                <w:color w:val="auto"/>
              </w:rPr>
              <w:t>普光工业园区污水处理厂概况</w:t>
            </w:r>
          </w:p>
          <w:p w14:paraId="1FAB260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普光工业园区污水处理厂位于宣汉县普光新场镇（原土主镇）石人村，占地面积约25亩。设计总处理能力10000m</w:t>
            </w:r>
            <w:r>
              <w:rPr>
                <w:rFonts w:hint="default" w:cs="Times New Roman"/>
                <w:color w:val="auto"/>
                <w:vertAlign w:val="superscript"/>
              </w:rPr>
              <w:t>3</w:t>
            </w:r>
            <w:r>
              <w:rPr>
                <w:rFonts w:hint="default" w:cs="Times New Roman"/>
                <w:color w:val="auto"/>
              </w:rPr>
              <w:t>/d，分两期进行，</w:t>
            </w:r>
            <w:r>
              <w:rPr>
                <w:rFonts w:hint="default" w:cs="Times New Roman"/>
                <w:color w:val="auto"/>
                <w:lang w:bidi="ar"/>
              </w:rPr>
              <w:t>其中一期工程处理规模0.2万m</w:t>
            </w:r>
            <w:r>
              <w:rPr>
                <w:rFonts w:hint="default" w:cs="Times New Roman"/>
                <w:color w:val="auto"/>
                <w:vertAlign w:val="superscript"/>
                <w:lang w:bidi="ar"/>
              </w:rPr>
              <w:t>3</w:t>
            </w:r>
            <w:r>
              <w:rPr>
                <w:rFonts w:hint="default" w:cs="Times New Roman"/>
                <w:color w:val="auto"/>
                <w:lang w:bidi="ar"/>
              </w:rPr>
              <w:t>/d，二期工程处理规模0.8万m</w:t>
            </w:r>
            <w:r>
              <w:rPr>
                <w:rFonts w:hint="default" w:cs="Times New Roman"/>
                <w:color w:val="auto"/>
                <w:vertAlign w:val="superscript"/>
                <w:lang w:bidi="ar"/>
              </w:rPr>
              <w:t>3</w:t>
            </w:r>
            <w:r>
              <w:rPr>
                <w:rFonts w:hint="default" w:cs="Times New Roman"/>
                <w:color w:val="auto"/>
                <w:lang w:bidi="ar"/>
              </w:rPr>
              <w:t>/d，建设并同步对一期工程进行提标改造升级，该项目环评于2023年由</w:t>
            </w:r>
            <w:r>
              <w:rPr>
                <w:rFonts w:hint="default" w:cs="Times New Roman"/>
                <w:color w:val="auto"/>
              </w:rPr>
              <w:t>达州市宣汉生态环境局以</w:t>
            </w:r>
            <w:r>
              <w:rPr>
                <w:rFonts w:hint="default" w:cs="Times New Roman"/>
                <w:color w:val="auto"/>
                <w:lang w:bidi="ar"/>
              </w:rPr>
              <w:t>宣环审〔2023〕14号</w:t>
            </w:r>
            <w:r>
              <w:rPr>
                <w:rFonts w:hint="default" w:cs="Times New Roman"/>
                <w:color w:val="auto"/>
              </w:rPr>
              <w:t>批复，</w:t>
            </w:r>
            <w:r>
              <w:rPr>
                <w:rFonts w:hint="default" w:cs="Times New Roman"/>
                <w:color w:val="auto"/>
                <w:lang w:bidi="ar"/>
              </w:rPr>
              <w:t>目前两期均已建设完成，其</w:t>
            </w:r>
            <w:r>
              <w:rPr>
                <w:rFonts w:hint="default" w:cs="Times New Roman"/>
                <w:color w:val="auto"/>
              </w:rPr>
              <w:t>设计处理工艺为“粗细格栅→旋流沉砂池→A/A/O生化池→二沉池→中间水池→D型滤池→消毒池→排放”，出水达到《城镇污水处理厂污染物排放标准》（GB18918-2002）一级A标准，排入后河。</w:t>
            </w:r>
          </w:p>
          <w:p w14:paraId="5482ADF3">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普光工业园区污水处理厂服务范围</w:t>
            </w:r>
          </w:p>
          <w:p w14:paraId="0F7E3EF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普光工业园区污水处理厂服务范围包括普光功能区和土主镇场镇，本项目位于普光功能区内，本项目在普光工业园区污水处理厂收水范围内。</w:t>
            </w:r>
          </w:p>
          <w:p w14:paraId="6454EA9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根据调查，项目所在区域已形成完善的雨污排水管网。</w:t>
            </w:r>
          </w:p>
          <w:p w14:paraId="20333712">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拟建项目依托其可行性分析</w:t>
            </w:r>
          </w:p>
          <w:p w14:paraId="010E73E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A.纳管可行性分析</w:t>
            </w:r>
          </w:p>
          <w:p w14:paraId="64E4255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拟建项目位于普光功能区内，属于普光工业园区污水处理厂服务范围。</w:t>
            </w:r>
          </w:p>
          <w:p w14:paraId="3332241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B.从处理规模分析</w:t>
            </w:r>
          </w:p>
          <w:p w14:paraId="69682CA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普光工业园区污水处理厂设计处理总规模为1.0万m</w:t>
            </w:r>
            <w:r>
              <w:rPr>
                <w:rFonts w:hint="default" w:cs="Times New Roman"/>
                <w:color w:val="auto"/>
                <w:vertAlign w:val="superscript"/>
              </w:rPr>
              <w:t>3</w:t>
            </w:r>
            <w:r>
              <w:rPr>
                <w:rFonts w:hint="default" w:cs="Times New Roman"/>
                <w:color w:val="auto"/>
              </w:rPr>
              <w:t>/d，目前实际污水处理量约为6000m</w:t>
            </w:r>
            <w:r>
              <w:rPr>
                <w:rFonts w:hint="default" w:cs="Times New Roman"/>
                <w:color w:val="auto"/>
                <w:vertAlign w:val="superscript"/>
              </w:rPr>
              <w:t>3</w:t>
            </w:r>
            <w:r>
              <w:rPr>
                <w:rFonts w:hint="default" w:cs="Times New Roman"/>
                <w:color w:val="auto"/>
              </w:rPr>
              <w:t>/d，剩余处理能力为4000m</w:t>
            </w:r>
            <w:r>
              <w:rPr>
                <w:rFonts w:hint="default" w:cs="Times New Roman"/>
                <w:color w:val="auto"/>
                <w:vertAlign w:val="superscript"/>
              </w:rPr>
              <w:t>3</w:t>
            </w:r>
            <w:r>
              <w:rPr>
                <w:rFonts w:hint="default" w:cs="Times New Roman"/>
                <w:color w:val="auto"/>
              </w:rPr>
              <w:t>/d，本项目排水量为32.52m</w:t>
            </w:r>
            <w:r>
              <w:rPr>
                <w:rFonts w:hint="default" w:cs="Times New Roman"/>
                <w:color w:val="auto"/>
                <w:vertAlign w:val="superscript"/>
              </w:rPr>
              <w:t>3</w:t>
            </w:r>
            <w:r>
              <w:rPr>
                <w:rFonts w:hint="default" w:cs="Times New Roman"/>
                <w:color w:val="auto"/>
              </w:rPr>
              <w:t>/d（10861.68m</w:t>
            </w:r>
            <w:r>
              <w:rPr>
                <w:rFonts w:hint="default" w:cs="Times New Roman"/>
                <w:color w:val="auto"/>
                <w:vertAlign w:val="superscript"/>
              </w:rPr>
              <w:t>3</w:t>
            </w:r>
            <w:r>
              <w:rPr>
                <w:rFonts w:hint="default" w:cs="Times New Roman"/>
                <w:color w:val="auto"/>
              </w:rPr>
              <w:t>/a）。因此，普光工业园区污水处理厂完全有能力接纳本项目产生的废水。</w:t>
            </w:r>
          </w:p>
          <w:p w14:paraId="16825A1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综上所述，从收水范围、水质及水量方面而言，项目废水进入普光工业园区污水处理厂进行处理是可行的。</w:t>
            </w:r>
          </w:p>
          <w:p w14:paraId="07D8BF4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C.从进水水质分析</w:t>
            </w:r>
          </w:p>
          <w:p w14:paraId="161C1CA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本项目各外排废水经厂区污水预处理池处理后的水质满足</w:t>
            </w:r>
            <w:r>
              <w:rPr>
                <w:rFonts w:hint="default"/>
                <w:color w:val="auto"/>
              </w:rPr>
              <w:t>《</w:t>
            </w:r>
            <w:r>
              <w:rPr>
                <w:rFonts w:hint="eastAsia"/>
                <w:color w:val="auto"/>
              </w:rPr>
              <w:t>四川省化工园区水污染物排放标准</w:t>
            </w:r>
            <w:r>
              <w:rPr>
                <w:rFonts w:hint="default"/>
                <w:color w:val="auto"/>
              </w:rPr>
              <w:t>》（</w:t>
            </w:r>
            <w:r>
              <w:rPr>
                <w:rFonts w:hint="eastAsia"/>
                <w:color w:val="auto"/>
              </w:rPr>
              <w:t>DB51/3202</w:t>
            </w:r>
            <w:r>
              <w:rPr>
                <w:rFonts w:hint="default"/>
                <w:color w:val="auto"/>
              </w:rPr>
              <w:t>-</w:t>
            </w:r>
            <w:r>
              <w:rPr>
                <w:rFonts w:hint="eastAsia"/>
                <w:color w:val="auto"/>
              </w:rPr>
              <w:t>2024</w:t>
            </w:r>
            <w:r>
              <w:rPr>
                <w:rFonts w:hint="default"/>
                <w:color w:val="auto"/>
              </w:rPr>
              <w:t>）</w:t>
            </w:r>
            <w:r>
              <w:rPr>
                <w:rFonts w:hint="eastAsia"/>
                <w:color w:val="auto"/>
              </w:rPr>
              <w:t>表1</w:t>
            </w:r>
            <w:r>
              <w:rPr>
                <w:rFonts w:hint="default"/>
                <w:color w:val="auto"/>
              </w:rPr>
              <w:t>标准</w:t>
            </w:r>
            <w:r>
              <w:rPr>
                <w:rFonts w:hint="default" w:cs="Times New Roman"/>
                <w:color w:val="auto"/>
              </w:rPr>
              <w:t>。</w:t>
            </w:r>
          </w:p>
          <w:p w14:paraId="16214F7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D.从工艺可行性分析</w:t>
            </w:r>
          </w:p>
          <w:p w14:paraId="4A6A174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普光工业园区污水处理厂采用“粗细格栅→旋流沉砂池→A/A/O生化池→二沉池→中间水池→D型滤池→消毒池→排放”工艺，目前污水处理厂出水水质中COD、BOD</w:t>
            </w:r>
            <w:r>
              <w:rPr>
                <w:rFonts w:hint="default" w:cs="Times New Roman"/>
                <w:color w:val="auto"/>
                <w:vertAlign w:val="subscript"/>
              </w:rPr>
              <w:t>5</w:t>
            </w:r>
            <w:r>
              <w:rPr>
                <w:rFonts w:hint="default" w:cs="Times New Roman"/>
                <w:color w:val="auto"/>
              </w:rPr>
              <w:t>、NH</w:t>
            </w:r>
            <w:r>
              <w:rPr>
                <w:rFonts w:hint="default" w:cs="Times New Roman"/>
                <w:color w:val="auto"/>
                <w:vertAlign w:val="subscript"/>
              </w:rPr>
              <w:t>3</w:t>
            </w:r>
            <w:r>
              <w:rPr>
                <w:rFonts w:hint="default" w:cs="Times New Roman"/>
                <w:color w:val="auto"/>
              </w:rPr>
              <w:t>-N、TN、TP均可达到《城镇污水处理厂污染物排放标准》（GB18918-2002）一级A标准要求。</w:t>
            </w:r>
          </w:p>
          <w:p w14:paraId="5B94958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综上，拟建项目依托普光工业园区污水处理厂可行。</w:t>
            </w:r>
          </w:p>
          <w:p w14:paraId="18FCD32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6、跟踪监测要求</w:t>
            </w:r>
          </w:p>
          <w:p w14:paraId="26C9443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根据《排污单位自行监测技术指南 总则》（HJ819-2017）、《排污单位自行监测技术指南 无机化学工业》（HJ 1138-2020）及《排污许可证申请与核发技术规范 食品制造工业—方便食品、食品及饲料添加剂制造工业》（HJ 1030.3—2019）相关要求，本项目废水监测指标如下表所示：</w:t>
            </w:r>
          </w:p>
          <w:p w14:paraId="01944C26">
            <w:pPr>
              <w:keepNext w:val="0"/>
              <w:keepLines w:val="0"/>
              <w:suppressLineNumbers w:val="0"/>
              <w:spacing w:before="0" w:beforeAutospacing="0" w:after="0" w:afterAutospacing="0"/>
              <w:ind w:left="0" w:right="0" w:firstLine="480"/>
              <w:rPr>
                <w:rFonts w:hint="default" w:cs="Times New Roman"/>
                <w:color w:val="auto"/>
              </w:rPr>
            </w:pPr>
          </w:p>
          <w:p w14:paraId="3DAE8C7A">
            <w:pPr>
              <w:keepNext w:val="0"/>
              <w:keepLines w:val="0"/>
              <w:suppressLineNumbers w:val="0"/>
              <w:spacing w:before="0" w:beforeAutospacing="0" w:after="0" w:afterAutospacing="0"/>
              <w:ind w:left="0" w:right="0" w:firstLine="480"/>
              <w:rPr>
                <w:rFonts w:hint="default" w:cs="Times New Roman"/>
                <w:color w:val="auto"/>
              </w:rPr>
            </w:pPr>
          </w:p>
          <w:p w14:paraId="47E5D756">
            <w:pPr>
              <w:keepNext w:val="0"/>
              <w:keepLines w:val="0"/>
              <w:suppressLineNumbers w:val="0"/>
              <w:spacing w:before="0" w:beforeAutospacing="0" w:after="0" w:afterAutospacing="0"/>
              <w:ind w:left="0" w:right="0" w:firstLine="480"/>
              <w:rPr>
                <w:rFonts w:hint="default" w:cs="Times New Roman"/>
                <w:color w:val="auto"/>
              </w:rPr>
            </w:pPr>
          </w:p>
          <w:p w14:paraId="40CA7392">
            <w:pPr>
              <w:pStyle w:val="33"/>
              <w:keepNext w:val="0"/>
              <w:keepLines w:val="0"/>
              <w:suppressLineNumbers w:val="0"/>
              <w:spacing w:before="0" w:beforeAutospacing="0" w:after="0" w:afterAutospacing="0"/>
              <w:ind w:left="0" w:right="0"/>
              <w:rPr>
                <w:rFonts w:hint="default" w:cs="Times New Roman"/>
              </w:rPr>
            </w:pPr>
            <w:r>
              <w:rPr>
                <w:rFonts w:hint="default" w:cs="Times New Roman"/>
              </w:rPr>
              <w:t>废水跟踪监测计划一览表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887"/>
              <w:gridCol w:w="2046"/>
              <w:gridCol w:w="1022"/>
              <w:gridCol w:w="2971"/>
            </w:tblGrid>
            <w:tr w14:paraId="2A2A6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708BB137">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类型</w:t>
                  </w:r>
                </w:p>
              </w:tc>
              <w:tc>
                <w:tcPr>
                  <w:tcW w:w="585" w:type="pct"/>
                  <w:vAlign w:val="center"/>
                </w:tcPr>
                <w:p w14:paraId="695F9168">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监测点位</w:t>
                  </w:r>
                </w:p>
              </w:tc>
              <w:tc>
                <w:tcPr>
                  <w:tcW w:w="1350" w:type="pct"/>
                  <w:vAlign w:val="center"/>
                </w:tcPr>
                <w:p w14:paraId="6B563E5D">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监测指标</w:t>
                  </w:r>
                </w:p>
              </w:tc>
              <w:tc>
                <w:tcPr>
                  <w:tcW w:w="674" w:type="pct"/>
                  <w:vAlign w:val="center"/>
                </w:tcPr>
                <w:p w14:paraId="02419ECF">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监测频次</w:t>
                  </w:r>
                </w:p>
              </w:tc>
              <w:tc>
                <w:tcPr>
                  <w:tcW w:w="1961" w:type="pct"/>
                  <w:vAlign w:val="center"/>
                </w:tcPr>
                <w:p w14:paraId="1D851B63">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执行标准</w:t>
                  </w:r>
                </w:p>
              </w:tc>
            </w:tr>
            <w:tr w14:paraId="3CE1C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31" w:type="pct"/>
                  <w:vAlign w:val="center"/>
                </w:tcPr>
                <w:p w14:paraId="107491CD">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废水</w:t>
                  </w:r>
                </w:p>
              </w:tc>
              <w:tc>
                <w:tcPr>
                  <w:tcW w:w="585" w:type="pct"/>
                  <w:vAlign w:val="center"/>
                </w:tcPr>
                <w:p w14:paraId="20CE9341">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废水总排口DW001</w:t>
                  </w:r>
                </w:p>
              </w:tc>
              <w:tc>
                <w:tcPr>
                  <w:tcW w:w="1350" w:type="pct"/>
                  <w:vAlign w:val="center"/>
                </w:tcPr>
                <w:p w14:paraId="163A8172">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流量、pH、化学需氧量、悬浮物、氨氮、总磷、总氮</w:t>
                  </w:r>
                </w:p>
              </w:tc>
              <w:tc>
                <w:tcPr>
                  <w:tcW w:w="674" w:type="pct"/>
                  <w:vAlign w:val="center"/>
                </w:tcPr>
                <w:p w14:paraId="35788F0A">
                  <w:pPr>
                    <w:pStyle w:val="4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1次/半年</w:t>
                  </w:r>
                </w:p>
              </w:tc>
              <w:tc>
                <w:tcPr>
                  <w:tcW w:w="1961" w:type="pct"/>
                  <w:vAlign w:val="center"/>
                </w:tcPr>
                <w:p w14:paraId="537A9CFD">
                  <w:pPr>
                    <w:pStyle w:val="43"/>
                    <w:keepNext w:val="0"/>
                    <w:keepLines w:val="0"/>
                    <w:suppressLineNumbers w:val="0"/>
                    <w:wordWrap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《四川省化工园区水污染物排放标准》（DB51/3202-2024）表1标准</w:t>
                  </w:r>
                </w:p>
              </w:tc>
            </w:tr>
          </w:tbl>
          <w:p w14:paraId="2BC9913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综上，本项目废水采取上述治理措施后对外环境影响较小。</w:t>
            </w:r>
          </w:p>
          <w:p w14:paraId="01334DFA">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三、噪声产生及治理措施分析</w:t>
            </w:r>
          </w:p>
          <w:p w14:paraId="332BC041">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1、噪声源强</w:t>
            </w:r>
          </w:p>
          <w:p w14:paraId="5781721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本项目噪声源强主要为液体硫磺泵、提纯塔、转筒硫磺造粒机、刮片机、粉碎机、湿法造粒机、筛分机、干冰机、压片机、废气治理设施风机和循环水泵、冷却塔等运行时产生的噪声。各噪声源排放情况见下表：</w:t>
            </w:r>
          </w:p>
          <w:p w14:paraId="694E325F">
            <w:pPr>
              <w:keepNext w:val="0"/>
              <w:keepLines w:val="0"/>
              <w:suppressLineNumbers w:val="0"/>
              <w:spacing w:before="0" w:beforeAutospacing="0" w:after="0" w:afterAutospacing="0"/>
              <w:ind w:left="0" w:right="0" w:firstLine="480"/>
              <w:rPr>
                <w:rFonts w:hint="default" w:cs="Times New Roman"/>
                <w:color w:val="auto"/>
              </w:rPr>
            </w:pPr>
          </w:p>
          <w:p w14:paraId="42564126">
            <w:pPr>
              <w:keepNext w:val="0"/>
              <w:keepLines w:val="0"/>
              <w:suppressLineNumbers w:val="0"/>
              <w:spacing w:before="0" w:beforeAutospacing="0" w:after="0" w:afterAutospacing="0"/>
              <w:ind w:left="0" w:right="0" w:firstLine="480"/>
              <w:rPr>
                <w:rFonts w:hint="default" w:cs="Times New Roman"/>
                <w:color w:val="auto"/>
              </w:rPr>
            </w:pPr>
          </w:p>
          <w:p w14:paraId="00CBE819">
            <w:pPr>
              <w:keepNext w:val="0"/>
              <w:keepLines w:val="0"/>
              <w:suppressLineNumbers w:val="0"/>
              <w:spacing w:before="0" w:beforeAutospacing="0" w:after="0" w:afterAutospacing="0"/>
              <w:ind w:left="0" w:right="0" w:firstLine="480"/>
              <w:rPr>
                <w:rFonts w:hint="default" w:cs="Times New Roman"/>
                <w:color w:val="auto"/>
              </w:rPr>
            </w:pPr>
          </w:p>
          <w:p w14:paraId="15A81C81">
            <w:pPr>
              <w:keepNext w:val="0"/>
              <w:keepLines w:val="0"/>
              <w:suppressLineNumbers w:val="0"/>
              <w:spacing w:before="0" w:beforeAutospacing="0" w:after="0" w:afterAutospacing="0"/>
              <w:ind w:left="0" w:right="0" w:firstLine="480"/>
              <w:rPr>
                <w:rFonts w:hint="default" w:cs="Times New Roman"/>
                <w:color w:val="auto"/>
              </w:rPr>
            </w:pPr>
          </w:p>
          <w:p w14:paraId="0CF1423F">
            <w:pPr>
              <w:keepNext w:val="0"/>
              <w:keepLines w:val="0"/>
              <w:suppressLineNumbers w:val="0"/>
              <w:spacing w:before="0" w:beforeAutospacing="0" w:after="0" w:afterAutospacing="0"/>
              <w:ind w:left="0" w:right="0" w:firstLine="480"/>
              <w:rPr>
                <w:rFonts w:hint="default" w:cs="Times New Roman"/>
                <w:color w:val="auto"/>
              </w:rPr>
            </w:pPr>
          </w:p>
          <w:p w14:paraId="170D19D3">
            <w:pPr>
              <w:keepNext w:val="0"/>
              <w:keepLines w:val="0"/>
              <w:suppressLineNumbers w:val="0"/>
              <w:spacing w:before="0" w:beforeAutospacing="0" w:after="0" w:afterAutospacing="0"/>
              <w:ind w:left="0" w:right="0" w:firstLine="480"/>
              <w:rPr>
                <w:rFonts w:hint="default" w:cs="Times New Roman"/>
                <w:color w:val="auto"/>
              </w:rPr>
            </w:pPr>
          </w:p>
          <w:p w14:paraId="2B7EDBFA">
            <w:pPr>
              <w:keepNext w:val="0"/>
              <w:keepLines w:val="0"/>
              <w:suppressLineNumbers w:val="0"/>
              <w:spacing w:before="0" w:beforeAutospacing="0" w:after="0" w:afterAutospacing="0"/>
              <w:ind w:left="0" w:right="0" w:firstLine="480"/>
              <w:rPr>
                <w:rFonts w:hint="default" w:cs="Times New Roman"/>
                <w:color w:val="auto"/>
              </w:rPr>
            </w:pPr>
          </w:p>
          <w:p w14:paraId="10C5B86C">
            <w:pPr>
              <w:keepNext w:val="0"/>
              <w:keepLines w:val="0"/>
              <w:suppressLineNumbers w:val="0"/>
              <w:spacing w:before="0" w:beforeAutospacing="0" w:after="0" w:afterAutospacing="0"/>
              <w:ind w:left="0" w:right="0" w:firstLine="480"/>
              <w:rPr>
                <w:rFonts w:hint="default" w:cs="Times New Roman"/>
                <w:color w:val="auto"/>
              </w:rPr>
            </w:pPr>
          </w:p>
          <w:p w14:paraId="08FE9E5E">
            <w:pPr>
              <w:keepNext w:val="0"/>
              <w:keepLines w:val="0"/>
              <w:suppressLineNumbers w:val="0"/>
              <w:spacing w:before="0" w:beforeAutospacing="0" w:after="0" w:afterAutospacing="0"/>
              <w:ind w:left="0" w:right="0" w:firstLine="480"/>
              <w:rPr>
                <w:rFonts w:hint="default" w:cs="Times New Roman"/>
                <w:color w:val="auto"/>
              </w:rPr>
            </w:pPr>
          </w:p>
          <w:p w14:paraId="64341C53">
            <w:pPr>
              <w:keepNext w:val="0"/>
              <w:keepLines w:val="0"/>
              <w:suppressLineNumbers w:val="0"/>
              <w:spacing w:before="0" w:beforeAutospacing="0" w:after="0" w:afterAutospacing="0"/>
              <w:ind w:left="0" w:right="0" w:firstLine="480"/>
              <w:rPr>
                <w:rFonts w:hint="default" w:cs="Times New Roman"/>
                <w:color w:val="auto"/>
              </w:rPr>
            </w:pPr>
          </w:p>
          <w:p w14:paraId="237E96C4">
            <w:pPr>
              <w:keepNext w:val="0"/>
              <w:keepLines w:val="0"/>
              <w:suppressLineNumbers w:val="0"/>
              <w:spacing w:before="0" w:beforeAutospacing="0" w:after="0" w:afterAutospacing="0"/>
              <w:ind w:left="0" w:right="0" w:firstLine="480"/>
              <w:rPr>
                <w:rFonts w:hint="default" w:cs="Times New Roman"/>
                <w:color w:val="auto"/>
              </w:rPr>
            </w:pPr>
          </w:p>
          <w:p w14:paraId="65E214C3">
            <w:pPr>
              <w:keepNext w:val="0"/>
              <w:keepLines w:val="0"/>
              <w:suppressLineNumbers w:val="0"/>
              <w:spacing w:before="0" w:beforeAutospacing="0" w:after="0" w:afterAutospacing="0"/>
              <w:ind w:left="0" w:right="0" w:firstLine="480"/>
              <w:rPr>
                <w:rFonts w:hint="default" w:cs="Times New Roman"/>
                <w:color w:val="auto"/>
              </w:rPr>
            </w:pPr>
          </w:p>
          <w:p w14:paraId="3C033FF5">
            <w:pPr>
              <w:keepNext w:val="0"/>
              <w:keepLines w:val="0"/>
              <w:suppressLineNumbers w:val="0"/>
              <w:spacing w:before="0" w:beforeAutospacing="0" w:after="0" w:afterAutospacing="0"/>
              <w:ind w:left="0" w:right="0" w:firstLine="480"/>
              <w:rPr>
                <w:rFonts w:hint="default" w:cs="Times New Roman"/>
                <w:color w:val="auto"/>
              </w:rPr>
            </w:pPr>
          </w:p>
          <w:p w14:paraId="0DB772A0">
            <w:pPr>
              <w:keepNext w:val="0"/>
              <w:keepLines w:val="0"/>
              <w:suppressLineNumbers w:val="0"/>
              <w:spacing w:before="0" w:beforeAutospacing="0" w:after="0" w:afterAutospacing="0"/>
              <w:ind w:left="0" w:right="0" w:firstLine="480"/>
              <w:rPr>
                <w:rFonts w:hint="default" w:cs="Times New Roman"/>
                <w:color w:val="auto"/>
              </w:rPr>
            </w:pPr>
          </w:p>
          <w:p w14:paraId="47571A43">
            <w:pPr>
              <w:keepNext w:val="0"/>
              <w:keepLines w:val="0"/>
              <w:suppressLineNumbers w:val="0"/>
              <w:spacing w:before="0" w:beforeAutospacing="0" w:after="0" w:afterAutospacing="0"/>
              <w:ind w:left="0" w:right="0" w:firstLine="480"/>
              <w:rPr>
                <w:rFonts w:hint="default" w:cs="Times New Roman"/>
                <w:color w:val="auto"/>
              </w:rPr>
            </w:pPr>
          </w:p>
          <w:p w14:paraId="11895B0C">
            <w:pPr>
              <w:keepNext w:val="0"/>
              <w:keepLines w:val="0"/>
              <w:suppressLineNumbers w:val="0"/>
              <w:spacing w:before="0" w:beforeAutospacing="0" w:after="0" w:afterAutospacing="0"/>
              <w:ind w:left="0" w:right="0" w:firstLine="480"/>
              <w:rPr>
                <w:rFonts w:hint="default" w:cs="Times New Roman"/>
                <w:color w:val="auto"/>
              </w:rPr>
            </w:pPr>
          </w:p>
          <w:p w14:paraId="065C7C0F">
            <w:pPr>
              <w:keepNext w:val="0"/>
              <w:keepLines w:val="0"/>
              <w:suppressLineNumbers w:val="0"/>
              <w:spacing w:before="0" w:beforeAutospacing="0" w:after="0" w:afterAutospacing="0"/>
              <w:ind w:left="0" w:right="0" w:firstLine="480"/>
              <w:rPr>
                <w:rFonts w:hint="default" w:cs="Times New Roman"/>
                <w:color w:val="auto"/>
              </w:rPr>
            </w:pPr>
          </w:p>
          <w:p w14:paraId="651C57C1">
            <w:pPr>
              <w:keepNext w:val="0"/>
              <w:keepLines w:val="0"/>
              <w:suppressLineNumbers w:val="0"/>
              <w:spacing w:before="0" w:beforeAutospacing="0" w:after="0" w:afterAutospacing="0"/>
              <w:ind w:left="0" w:right="0" w:firstLine="480"/>
              <w:rPr>
                <w:rFonts w:hint="default" w:cs="Times New Roman"/>
                <w:color w:val="auto"/>
              </w:rPr>
            </w:pPr>
          </w:p>
        </w:tc>
      </w:tr>
    </w:tbl>
    <w:p w14:paraId="368B4871">
      <w:pPr>
        <w:ind w:firstLine="0" w:firstLineChars="0"/>
        <w:rPr>
          <w:rFonts w:cs="Times New Roman"/>
          <w:color w:val="auto"/>
        </w:rPr>
        <w:sectPr>
          <w:pgSz w:w="11906" w:h="16838"/>
          <w:pgMar w:top="1440" w:right="1803" w:bottom="1440" w:left="1803" w:header="851" w:footer="992" w:gutter="0"/>
          <w:cols w:space="425" w:num="1"/>
          <w:docGrid w:type="lines" w:linePitch="326"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3114"/>
      </w:tblGrid>
      <w:tr w14:paraId="6CE3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0" w:type="dxa"/>
          </w:tcPr>
          <w:p w14:paraId="772A0C3F">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营运期环境影响和保护措施</w:t>
            </w:r>
          </w:p>
        </w:tc>
        <w:tc>
          <w:tcPr>
            <w:tcW w:w="13114" w:type="dxa"/>
          </w:tcPr>
          <w:p w14:paraId="1256F8D0">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本项目噪声设备源强调查表（室内声源）</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160"/>
              <w:gridCol w:w="1764"/>
              <w:gridCol w:w="1227"/>
              <w:gridCol w:w="792"/>
              <w:gridCol w:w="843"/>
              <w:gridCol w:w="807"/>
              <w:gridCol w:w="639"/>
              <w:gridCol w:w="895"/>
              <w:gridCol w:w="993"/>
              <w:gridCol w:w="621"/>
              <w:gridCol w:w="866"/>
              <w:gridCol w:w="844"/>
              <w:gridCol w:w="826"/>
            </w:tblGrid>
            <w:tr w14:paraId="6E782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37" w:type="pct"/>
                  <w:vMerge w:val="restart"/>
                  <w:tcBorders>
                    <w:tl2br w:val="nil"/>
                    <w:tr2bl w:val="nil"/>
                  </w:tcBorders>
                  <w:shd w:val="clear" w:color="auto" w:fill="auto"/>
                  <w:vAlign w:val="center"/>
                </w:tcPr>
                <w:p w14:paraId="405BA9DE">
                  <w:pPr>
                    <w:pStyle w:val="26"/>
                    <w:keepNext w:val="0"/>
                    <w:keepLines w:val="0"/>
                    <w:suppressLineNumbers w:val="0"/>
                    <w:spacing w:before="0" w:beforeAutospacing="0" w:after="0" w:afterAutospacing="0"/>
                    <w:ind w:left="0" w:right="0"/>
                    <w:rPr>
                      <w:rFonts w:hint="default"/>
                    </w:rPr>
                  </w:pPr>
                  <w:bookmarkStart w:id="114" w:name="PT_6"/>
                  <w:r>
                    <w:rPr>
                      <w:rFonts w:hint="default"/>
                    </w:rPr>
                    <w:t>序号</w:t>
                  </w:r>
                </w:p>
              </w:tc>
              <w:tc>
                <w:tcPr>
                  <w:tcW w:w="450" w:type="pct"/>
                  <w:vMerge w:val="restart"/>
                  <w:tcBorders>
                    <w:tl2br w:val="nil"/>
                    <w:tr2bl w:val="nil"/>
                  </w:tcBorders>
                  <w:shd w:val="clear" w:color="auto" w:fill="auto"/>
                  <w:vAlign w:val="center"/>
                </w:tcPr>
                <w:p w14:paraId="5BCFAD6C">
                  <w:pPr>
                    <w:pStyle w:val="26"/>
                    <w:keepNext w:val="0"/>
                    <w:keepLines w:val="0"/>
                    <w:suppressLineNumbers w:val="0"/>
                    <w:spacing w:before="0" w:beforeAutospacing="0" w:after="0" w:afterAutospacing="0"/>
                    <w:ind w:left="0" w:right="0"/>
                    <w:rPr>
                      <w:rFonts w:hint="default"/>
                    </w:rPr>
                  </w:pPr>
                  <w:r>
                    <w:rPr>
                      <w:rFonts w:hint="default"/>
                    </w:rPr>
                    <w:t>建筑物名称</w:t>
                  </w:r>
                </w:p>
              </w:tc>
              <w:tc>
                <w:tcPr>
                  <w:tcW w:w="684" w:type="pct"/>
                  <w:vMerge w:val="restart"/>
                  <w:tcBorders>
                    <w:tl2br w:val="nil"/>
                    <w:tr2bl w:val="nil"/>
                  </w:tcBorders>
                  <w:shd w:val="clear" w:color="auto" w:fill="auto"/>
                  <w:vAlign w:val="center"/>
                </w:tcPr>
                <w:p w14:paraId="5D5DA972">
                  <w:pPr>
                    <w:pStyle w:val="26"/>
                    <w:keepNext w:val="0"/>
                    <w:keepLines w:val="0"/>
                    <w:suppressLineNumbers w:val="0"/>
                    <w:spacing w:before="0" w:beforeAutospacing="0" w:after="0" w:afterAutospacing="0"/>
                    <w:ind w:left="0" w:right="0"/>
                    <w:rPr>
                      <w:rFonts w:hint="default"/>
                    </w:rPr>
                  </w:pPr>
                  <w:r>
                    <w:rPr>
                      <w:rFonts w:hint="default"/>
                    </w:rPr>
                    <w:t>声源名称</w:t>
                  </w:r>
                </w:p>
              </w:tc>
              <w:tc>
                <w:tcPr>
                  <w:tcW w:w="476" w:type="pct"/>
                  <w:tcBorders>
                    <w:tl2br w:val="nil"/>
                    <w:tr2bl w:val="nil"/>
                  </w:tcBorders>
                  <w:shd w:val="clear" w:color="auto" w:fill="auto"/>
                  <w:vAlign w:val="center"/>
                </w:tcPr>
                <w:p w14:paraId="257AEFF7">
                  <w:pPr>
                    <w:pStyle w:val="26"/>
                    <w:keepNext w:val="0"/>
                    <w:keepLines w:val="0"/>
                    <w:suppressLineNumbers w:val="0"/>
                    <w:spacing w:before="0" w:beforeAutospacing="0" w:after="0" w:afterAutospacing="0"/>
                    <w:ind w:left="0" w:right="0"/>
                    <w:rPr>
                      <w:rFonts w:hint="default"/>
                    </w:rPr>
                  </w:pPr>
                  <w:r>
                    <w:rPr>
                      <w:rFonts w:hint="default"/>
                    </w:rPr>
                    <w:t>声源源强</w:t>
                  </w:r>
                </w:p>
              </w:tc>
              <w:tc>
                <w:tcPr>
                  <w:tcW w:w="307" w:type="pct"/>
                  <w:vMerge w:val="restart"/>
                  <w:tcBorders>
                    <w:tl2br w:val="nil"/>
                    <w:tr2bl w:val="nil"/>
                  </w:tcBorders>
                  <w:shd w:val="clear" w:color="auto" w:fill="auto"/>
                  <w:vAlign w:val="center"/>
                </w:tcPr>
                <w:p w14:paraId="7388DB9E">
                  <w:pPr>
                    <w:pStyle w:val="26"/>
                    <w:keepNext w:val="0"/>
                    <w:keepLines w:val="0"/>
                    <w:suppressLineNumbers w:val="0"/>
                    <w:spacing w:before="0" w:beforeAutospacing="0" w:after="0" w:afterAutospacing="0"/>
                    <w:ind w:left="0" w:right="0"/>
                    <w:rPr>
                      <w:rFonts w:hint="default"/>
                    </w:rPr>
                  </w:pPr>
                  <w:r>
                    <w:rPr>
                      <w:rFonts w:hint="default"/>
                    </w:rPr>
                    <w:t>声源控制措施</w:t>
                  </w:r>
                </w:p>
              </w:tc>
              <w:tc>
                <w:tcPr>
                  <w:tcW w:w="888" w:type="pct"/>
                  <w:gridSpan w:val="3"/>
                  <w:tcBorders>
                    <w:tl2br w:val="nil"/>
                    <w:tr2bl w:val="nil"/>
                  </w:tcBorders>
                  <w:shd w:val="clear" w:color="auto" w:fill="auto"/>
                  <w:vAlign w:val="center"/>
                </w:tcPr>
                <w:p w14:paraId="1C46F52C">
                  <w:pPr>
                    <w:pStyle w:val="26"/>
                    <w:keepNext w:val="0"/>
                    <w:keepLines w:val="0"/>
                    <w:suppressLineNumbers w:val="0"/>
                    <w:spacing w:before="0" w:beforeAutospacing="0" w:after="0" w:afterAutospacing="0"/>
                    <w:ind w:left="0" w:right="0"/>
                    <w:rPr>
                      <w:rFonts w:hint="default"/>
                    </w:rPr>
                  </w:pPr>
                  <w:r>
                    <w:rPr>
                      <w:rFonts w:hint="default"/>
                    </w:rPr>
                    <w:t>空间相对位置/m</w:t>
                  </w:r>
                </w:p>
              </w:tc>
              <w:tc>
                <w:tcPr>
                  <w:tcW w:w="347" w:type="pct"/>
                  <w:vMerge w:val="restart"/>
                  <w:tcBorders>
                    <w:tl2br w:val="nil"/>
                    <w:tr2bl w:val="nil"/>
                  </w:tcBorders>
                  <w:shd w:val="clear" w:color="auto" w:fill="auto"/>
                  <w:vAlign w:val="center"/>
                </w:tcPr>
                <w:p w14:paraId="0633CB2C">
                  <w:pPr>
                    <w:pStyle w:val="26"/>
                    <w:keepNext w:val="0"/>
                    <w:keepLines w:val="0"/>
                    <w:suppressLineNumbers w:val="0"/>
                    <w:spacing w:before="0" w:beforeAutospacing="0" w:after="0" w:afterAutospacing="0"/>
                    <w:ind w:left="0" w:right="0"/>
                    <w:rPr>
                      <w:rFonts w:hint="default"/>
                    </w:rPr>
                  </w:pPr>
                  <w:r>
                    <w:rPr>
                      <w:rFonts w:hint="default"/>
                    </w:rPr>
                    <w:t>距室内边界距离/m</w:t>
                  </w:r>
                </w:p>
              </w:tc>
              <w:tc>
                <w:tcPr>
                  <w:tcW w:w="385" w:type="pct"/>
                  <w:vMerge w:val="restart"/>
                  <w:tcBorders>
                    <w:tl2br w:val="nil"/>
                    <w:tr2bl w:val="nil"/>
                  </w:tcBorders>
                  <w:shd w:val="clear" w:color="auto" w:fill="auto"/>
                  <w:vAlign w:val="center"/>
                </w:tcPr>
                <w:p w14:paraId="1FA723AE">
                  <w:pPr>
                    <w:pStyle w:val="26"/>
                    <w:keepNext w:val="0"/>
                    <w:keepLines w:val="0"/>
                    <w:suppressLineNumbers w:val="0"/>
                    <w:spacing w:before="0" w:beforeAutospacing="0" w:after="0" w:afterAutospacing="0"/>
                    <w:ind w:left="0" w:right="0"/>
                    <w:rPr>
                      <w:rFonts w:hint="default"/>
                    </w:rPr>
                  </w:pPr>
                  <w:r>
                    <w:rPr>
                      <w:rFonts w:hint="default"/>
                    </w:rPr>
                    <w:t>室内边界声级/dB(A)</w:t>
                  </w:r>
                </w:p>
              </w:tc>
              <w:tc>
                <w:tcPr>
                  <w:tcW w:w="241" w:type="pct"/>
                  <w:vMerge w:val="restart"/>
                  <w:tcBorders>
                    <w:tl2br w:val="nil"/>
                    <w:tr2bl w:val="nil"/>
                  </w:tcBorders>
                  <w:shd w:val="clear" w:color="auto" w:fill="auto"/>
                  <w:vAlign w:val="center"/>
                </w:tcPr>
                <w:p w14:paraId="50738849">
                  <w:pPr>
                    <w:pStyle w:val="26"/>
                    <w:keepNext w:val="0"/>
                    <w:keepLines w:val="0"/>
                    <w:suppressLineNumbers w:val="0"/>
                    <w:spacing w:before="0" w:beforeAutospacing="0" w:after="0" w:afterAutospacing="0"/>
                    <w:ind w:left="0" w:right="0"/>
                    <w:rPr>
                      <w:rFonts w:hint="default"/>
                    </w:rPr>
                  </w:pPr>
                  <w:r>
                    <w:rPr>
                      <w:rFonts w:hint="default"/>
                    </w:rPr>
                    <w:t>运行时段</w:t>
                  </w:r>
                </w:p>
              </w:tc>
              <w:tc>
                <w:tcPr>
                  <w:tcW w:w="336" w:type="pct"/>
                  <w:vMerge w:val="restart"/>
                  <w:tcBorders>
                    <w:tl2br w:val="nil"/>
                    <w:tr2bl w:val="nil"/>
                  </w:tcBorders>
                  <w:shd w:val="clear" w:color="auto" w:fill="auto"/>
                  <w:vAlign w:val="center"/>
                </w:tcPr>
                <w:p w14:paraId="1D340B08">
                  <w:pPr>
                    <w:pStyle w:val="26"/>
                    <w:keepNext w:val="0"/>
                    <w:keepLines w:val="0"/>
                    <w:suppressLineNumbers w:val="0"/>
                    <w:spacing w:before="0" w:beforeAutospacing="0" w:after="0" w:afterAutospacing="0"/>
                    <w:ind w:left="0" w:right="0"/>
                    <w:rPr>
                      <w:rFonts w:hint="default"/>
                    </w:rPr>
                  </w:pPr>
                  <w:r>
                    <w:rPr>
                      <w:rFonts w:hint="default"/>
                    </w:rPr>
                    <w:t>建筑物插入损失/dB(A)</w:t>
                  </w:r>
                  <w:bookmarkStart w:id="115" w:name="PT_10"/>
                  <w:bookmarkEnd w:id="115"/>
                </w:p>
              </w:tc>
              <w:tc>
                <w:tcPr>
                  <w:tcW w:w="647" w:type="pct"/>
                  <w:gridSpan w:val="2"/>
                  <w:tcBorders>
                    <w:tl2br w:val="nil"/>
                    <w:tr2bl w:val="nil"/>
                  </w:tcBorders>
                  <w:shd w:val="clear" w:color="auto" w:fill="auto"/>
                  <w:vAlign w:val="center"/>
                </w:tcPr>
                <w:p w14:paraId="0F30AB18">
                  <w:pPr>
                    <w:pStyle w:val="26"/>
                    <w:keepNext w:val="0"/>
                    <w:keepLines w:val="0"/>
                    <w:suppressLineNumbers w:val="0"/>
                    <w:spacing w:before="0" w:beforeAutospacing="0" w:after="0" w:afterAutospacing="0"/>
                    <w:ind w:left="0" w:right="0"/>
                    <w:rPr>
                      <w:rFonts w:hint="default"/>
                    </w:rPr>
                  </w:pPr>
                  <w:r>
                    <w:rPr>
                      <w:rFonts w:hint="default"/>
                    </w:rPr>
                    <w:t>建筑物外噪声</w:t>
                  </w:r>
                </w:p>
              </w:tc>
            </w:tr>
            <w:tr w14:paraId="7CBF7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continue"/>
                  <w:tcBorders>
                    <w:tl2br w:val="nil"/>
                    <w:tr2bl w:val="nil"/>
                  </w:tcBorders>
                  <w:shd w:val="clear" w:color="auto" w:fill="auto"/>
                  <w:tcMar>
                    <w:top w:w="0" w:type="dxa"/>
                    <w:left w:w="0" w:type="dxa"/>
                    <w:bottom w:w="0" w:type="dxa"/>
                    <w:right w:w="0" w:type="dxa"/>
                  </w:tcMar>
                  <w:vAlign w:val="center"/>
                </w:tcPr>
                <w:p w14:paraId="386AE312">
                  <w:pPr>
                    <w:pStyle w:val="26"/>
                    <w:keepNext w:val="0"/>
                    <w:keepLines w:val="0"/>
                    <w:suppressLineNumbers w:val="0"/>
                    <w:spacing w:before="0" w:beforeAutospacing="0" w:after="0" w:afterAutospacing="0"/>
                    <w:ind w:left="0" w:right="0"/>
                    <w:rPr>
                      <w:rFonts w:hint="default"/>
                    </w:rPr>
                  </w:pPr>
                </w:p>
              </w:tc>
              <w:tc>
                <w:tcPr>
                  <w:tcW w:w="450" w:type="pct"/>
                  <w:vMerge w:val="continue"/>
                  <w:tcBorders>
                    <w:tl2br w:val="nil"/>
                    <w:tr2bl w:val="nil"/>
                  </w:tcBorders>
                  <w:shd w:val="clear" w:color="auto" w:fill="auto"/>
                  <w:tcMar>
                    <w:top w:w="0" w:type="dxa"/>
                    <w:left w:w="0" w:type="dxa"/>
                    <w:bottom w:w="0" w:type="dxa"/>
                    <w:right w:w="0" w:type="dxa"/>
                  </w:tcMar>
                  <w:vAlign w:val="center"/>
                </w:tcPr>
                <w:p w14:paraId="007F4874">
                  <w:pPr>
                    <w:pStyle w:val="26"/>
                    <w:keepNext w:val="0"/>
                    <w:keepLines w:val="0"/>
                    <w:suppressLineNumbers w:val="0"/>
                    <w:spacing w:before="0" w:beforeAutospacing="0" w:after="0" w:afterAutospacing="0"/>
                    <w:ind w:left="0" w:right="0"/>
                    <w:rPr>
                      <w:rFonts w:hint="default"/>
                    </w:rPr>
                  </w:pPr>
                </w:p>
              </w:tc>
              <w:tc>
                <w:tcPr>
                  <w:tcW w:w="684" w:type="pct"/>
                  <w:vMerge w:val="continue"/>
                  <w:tcBorders>
                    <w:tl2br w:val="nil"/>
                    <w:tr2bl w:val="nil"/>
                  </w:tcBorders>
                  <w:shd w:val="clear" w:color="auto" w:fill="auto"/>
                  <w:tcMar>
                    <w:top w:w="0" w:type="dxa"/>
                    <w:left w:w="0" w:type="dxa"/>
                    <w:bottom w:w="0" w:type="dxa"/>
                    <w:right w:w="0" w:type="dxa"/>
                  </w:tcMar>
                  <w:vAlign w:val="center"/>
                </w:tcPr>
                <w:p w14:paraId="2AFF9C7F">
                  <w:pPr>
                    <w:pStyle w:val="26"/>
                    <w:keepNext w:val="0"/>
                    <w:keepLines w:val="0"/>
                    <w:suppressLineNumbers w:val="0"/>
                    <w:spacing w:before="0" w:beforeAutospacing="0" w:after="0" w:afterAutospacing="0"/>
                    <w:ind w:left="0" w:right="0"/>
                    <w:rPr>
                      <w:rFonts w:hint="default"/>
                    </w:rPr>
                  </w:pPr>
                </w:p>
              </w:tc>
              <w:tc>
                <w:tcPr>
                  <w:tcW w:w="476" w:type="pct"/>
                  <w:tcBorders>
                    <w:tl2br w:val="nil"/>
                    <w:tr2bl w:val="nil"/>
                  </w:tcBorders>
                  <w:shd w:val="clear" w:color="auto" w:fill="auto"/>
                  <w:tcMar>
                    <w:top w:w="0" w:type="dxa"/>
                    <w:left w:w="0" w:type="dxa"/>
                    <w:bottom w:w="0" w:type="dxa"/>
                    <w:right w:w="0" w:type="dxa"/>
                  </w:tcMar>
                  <w:vAlign w:val="center"/>
                </w:tcPr>
                <w:p w14:paraId="29885C02">
                  <w:pPr>
                    <w:pStyle w:val="26"/>
                    <w:keepNext w:val="0"/>
                    <w:keepLines w:val="0"/>
                    <w:suppressLineNumbers w:val="0"/>
                    <w:spacing w:before="0" w:beforeAutospacing="0" w:after="0" w:afterAutospacing="0"/>
                    <w:ind w:left="0" w:right="0"/>
                    <w:rPr>
                      <w:rFonts w:hint="default"/>
                    </w:rPr>
                  </w:pPr>
                  <w:r>
                    <w:rPr>
                      <w:rFonts w:hint="default"/>
                    </w:rPr>
                    <w:t>声功率级/dB(A)</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6C77359D">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52CFBBD5">
                  <w:pPr>
                    <w:pStyle w:val="26"/>
                    <w:keepNext w:val="0"/>
                    <w:keepLines w:val="0"/>
                    <w:suppressLineNumbers w:val="0"/>
                    <w:spacing w:before="0" w:beforeAutospacing="0" w:after="0" w:afterAutospacing="0"/>
                    <w:ind w:left="0" w:right="0"/>
                    <w:rPr>
                      <w:rFonts w:hint="default"/>
                    </w:rPr>
                  </w:pPr>
                  <w:r>
                    <w:rPr>
                      <w:rFonts w:hint="default"/>
                    </w:rPr>
                    <w:t>X</w:t>
                  </w:r>
                </w:p>
              </w:tc>
              <w:tc>
                <w:tcPr>
                  <w:tcW w:w="313" w:type="pct"/>
                  <w:tcBorders>
                    <w:tl2br w:val="nil"/>
                    <w:tr2bl w:val="nil"/>
                  </w:tcBorders>
                  <w:shd w:val="clear" w:color="auto" w:fill="auto"/>
                  <w:tcMar>
                    <w:top w:w="0" w:type="dxa"/>
                    <w:left w:w="0" w:type="dxa"/>
                    <w:bottom w:w="0" w:type="dxa"/>
                    <w:right w:w="0" w:type="dxa"/>
                  </w:tcMar>
                  <w:vAlign w:val="center"/>
                </w:tcPr>
                <w:p w14:paraId="68175C5E">
                  <w:pPr>
                    <w:pStyle w:val="26"/>
                    <w:keepNext w:val="0"/>
                    <w:keepLines w:val="0"/>
                    <w:suppressLineNumbers w:val="0"/>
                    <w:spacing w:before="0" w:beforeAutospacing="0" w:after="0" w:afterAutospacing="0"/>
                    <w:ind w:left="0" w:right="0"/>
                    <w:rPr>
                      <w:rFonts w:hint="default"/>
                    </w:rPr>
                  </w:pPr>
                  <w:r>
                    <w:rPr>
                      <w:rFonts w:hint="default"/>
                    </w:rPr>
                    <w:t>Y</w:t>
                  </w:r>
                </w:p>
              </w:tc>
              <w:tc>
                <w:tcPr>
                  <w:tcW w:w="248" w:type="pct"/>
                  <w:tcBorders>
                    <w:tl2br w:val="nil"/>
                    <w:tr2bl w:val="nil"/>
                  </w:tcBorders>
                  <w:shd w:val="clear" w:color="auto" w:fill="auto"/>
                  <w:tcMar>
                    <w:top w:w="0" w:type="dxa"/>
                    <w:left w:w="0" w:type="dxa"/>
                    <w:bottom w:w="0" w:type="dxa"/>
                    <w:right w:w="0" w:type="dxa"/>
                  </w:tcMar>
                  <w:vAlign w:val="center"/>
                </w:tcPr>
                <w:p w14:paraId="0320C587">
                  <w:pPr>
                    <w:pStyle w:val="26"/>
                    <w:keepNext w:val="0"/>
                    <w:keepLines w:val="0"/>
                    <w:suppressLineNumbers w:val="0"/>
                    <w:spacing w:before="0" w:beforeAutospacing="0" w:after="0" w:afterAutospacing="0"/>
                    <w:ind w:left="0" w:right="0"/>
                    <w:rPr>
                      <w:rFonts w:hint="default"/>
                    </w:rPr>
                  </w:pPr>
                  <w:r>
                    <w:rPr>
                      <w:rFonts w:hint="default"/>
                    </w:rPr>
                    <w:t>Z</w:t>
                  </w:r>
                </w:p>
              </w:tc>
              <w:tc>
                <w:tcPr>
                  <w:tcW w:w="347" w:type="pct"/>
                  <w:vMerge w:val="continue"/>
                  <w:tcBorders>
                    <w:tl2br w:val="nil"/>
                    <w:tr2bl w:val="nil"/>
                  </w:tcBorders>
                  <w:shd w:val="clear" w:color="auto" w:fill="auto"/>
                  <w:tcMar>
                    <w:top w:w="0" w:type="dxa"/>
                    <w:left w:w="0" w:type="dxa"/>
                    <w:bottom w:w="0" w:type="dxa"/>
                    <w:right w:w="0" w:type="dxa"/>
                  </w:tcMar>
                  <w:vAlign w:val="center"/>
                </w:tcPr>
                <w:p w14:paraId="536EAE64">
                  <w:pPr>
                    <w:pStyle w:val="26"/>
                    <w:keepNext w:val="0"/>
                    <w:keepLines w:val="0"/>
                    <w:suppressLineNumbers w:val="0"/>
                    <w:spacing w:before="0" w:beforeAutospacing="0" w:after="0" w:afterAutospacing="0"/>
                    <w:ind w:left="0" w:right="0"/>
                    <w:rPr>
                      <w:rFonts w:hint="default"/>
                    </w:rPr>
                  </w:pPr>
                </w:p>
              </w:tc>
              <w:tc>
                <w:tcPr>
                  <w:tcW w:w="385" w:type="pct"/>
                  <w:vMerge w:val="continue"/>
                  <w:tcBorders>
                    <w:tl2br w:val="nil"/>
                    <w:tr2bl w:val="nil"/>
                  </w:tcBorders>
                  <w:shd w:val="clear" w:color="auto" w:fill="auto"/>
                  <w:tcMar>
                    <w:top w:w="0" w:type="dxa"/>
                    <w:left w:w="0" w:type="dxa"/>
                    <w:bottom w:w="0" w:type="dxa"/>
                    <w:right w:w="0" w:type="dxa"/>
                  </w:tcMar>
                  <w:vAlign w:val="center"/>
                </w:tcPr>
                <w:p w14:paraId="62665187">
                  <w:pPr>
                    <w:pStyle w:val="26"/>
                    <w:keepNext w:val="0"/>
                    <w:keepLines w:val="0"/>
                    <w:suppressLineNumbers w:val="0"/>
                    <w:spacing w:before="0" w:beforeAutospacing="0" w:after="0" w:afterAutospacing="0"/>
                    <w:ind w:left="0" w:right="0"/>
                    <w:rPr>
                      <w:rFonts w:hint="default"/>
                    </w:rPr>
                  </w:pPr>
                </w:p>
              </w:tc>
              <w:tc>
                <w:tcPr>
                  <w:tcW w:w="241" w:type="pct"/>
                  <w:vMerge w:val="continue"/>
                  <w:tcBorders>
                    <w:tl2br w:val="nil"/>
                    <w:tr2bl w:val="nil"/>
                  </w:tcBorders>
                  <w:shd w:val="clear" w:color="auto" w:fill="auto"/>
                  <w:tcMar>
                    <w:top w:w="0" w:type="dxa"/>
                    <w:left w:w="0" w:type="dxa"/>
                    <w:bottom w:w="0" w:type="dxa"/>
                    <w:right w:w="0" w:type="dxa"/>
                  </w:tcMar>
                  <w:vAlign w:val="center"/>
                </w:tcPr>
                <w:p w14:paraId="0DC8E505">
                  <w:pPr>
                    <w:pStyle w:val="26"/>
                    <w:keepNext w:val="0"/>
                    <w:keepLines w:val="0"/>
                    <w:suppressLineNumbers w:val="0"/>
                    <w:spacing w:before="0" w:beforeAutospacing="0" w:after="0" w:afterAutospacing="0"/>
                    <w:ind w:left="0" w:right="0"/>
                    <w:rPr>
                      <w:rFonts w:hint="default"/>
                    </w:rPr>
                  </w:pPr>
                </w:p>
              </w:tc>
              <w:tc>
                <w:tcPr>
                  <w:tcW w:w="336" w:type="pct"/>
                  <w:vMerge w:val="continue"/>
                  <w:tcBorders>
                    <w:tl2br w:val="nil"/>
                    <w:tr2bl w:val="nil"/>
                  </w:tcBorders>
                  <w:shd w:val="clear" w:color="auto" w:fill="auto"/>
                  <w:tcMar>
                    <w:top w:w="0" w:type="dxa"/>
                    <w:left w:w="0" w:type="dxa"/>
                    <w:bottom w:w="0" w:type="dxa"/>
                    <w:right w:w="0" w:type="dxa"/>
                  </w:tcMar>
                  <w:vAlign w:val="center"/>
                </w:tcPr>
                <w:p w14:paraId="7970BF75">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02FA279B">
                  <w:pPr>
                    <w:pStyle w:val="26"/>
                    <w:keepNext w:val="0"/>
                    <w:keepLines w:val="0"/>
                    <w:suppressLineNumbers w:val="0"/>
                    <w:spacing w:before="0" w:beforeAutospacing="0" w:after="0" w:afterAutospacing="0"/>
                    <w:ind w:left="0" w:right="0"/>
                    <w:rPr>
                      <w:rFonts w:hint="default"/>
                    </w:rPr>
                  </w:pPr>
                  <w:r>
                    <w:rPr>
                      <w:rFonts w:hint="default"/>
                    </w:rPr>
                    <w:t>声压级/dB(A)</w:t>
                  </w:r>
                </w:p>
              </w:tc>
              <w:tc>
                <w:tcPr>
                  <w:tcW w:w="320" w:type="pct"/>
                  <w:tcBorders>
                    <w:tl2br w:val="nil"/>
                    <w:tr2bl w:val="nil"/>
                  </w:tcBorders>
                  <w:shd w:val="clear" w:color="auto" w:fill="auto"/>
                  <w:tcMar>
                    <w:top w:w="0" w:type="dxa"/>
                    <w:left w:w="0" w:type="dxa"/>
                    <w:bottom w:w="0" w:type="dxa"/>
                    <w:right w:w="0" w:type="dxa"/>
                  </w:tcMar>
                  <w:vAlign w:val="center"/>
                </w:tcPr>
                <w:p w14:paraId="4D662C50">
                  <w:pPr>
                    <w:pStyle w:val="26"/>
                    <w:keepNext w:val="0"/>
                    <w:keepLines w:val="0"/>
                    <w:suppressLineNumbers w:val="0"/>
                    <w:spacing w:before="0" w:beforeAutospacing="0" w:after="0" w:afterAutospacing="0"/>
                    <w:ind w:left="0" w:right="0"/>
                    <w:rPr>
                      <w:rFonts w:hint="default"/>
                    </w:rPr>
                  </w:pPr>
                  <w:r>
                    <w:rPr>
                      <w:rFonts w:hint="default"/>
                    </w:rPr>
                    <w:t>建筑物外距离/m</w:t>
                  </w:r>
                </w:p>
              </w:tc>
            </w:tr>
            <w:tr w14:paraId="79EE3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7ABB2878">
                  <w:pPr>
                    <w:pStyle w:val="26"/>
                    <w:keepNext w:val="0"/>
                    <w:keepLines w:val="0"/>
                    <w:suppressLineNumbers w:val="0"/>
                    <w:spacing w:before="0" w:beforeAutospacing="0" w:after="0" w:afterAutospacing="0"/>
                    <w:ind w:left="0" w:right="0"/>
                    <w:rPr>
                      <w:rFonts w:hint="default"/>
                    </w:rPr>
                  </w:pPr>
                  <w:r>
                    <w:rPr>
                      <w:rFonts w:hint="default"/>
                    </w:rPr>
                    <w:t>1</w:t>
                  </w:r>
                </w:p>
              </w:tc>
              <w:tc>
                <w:tcPr>
                  <w:tcW w:w="450" w:type="pct"/>
                  <w:tcBorders>
                    <w:tl2br w:val="nil"/>
                    <w:tr2bl w:val="nil"/>
                  </w:tcBorders>
                  <w:shd w:val="clear" w:color="auto" w:fill="auto"/>
                  <w:tcMar>
                    <w:top w:w="0" w:type="dxa"/>
                    <w:left w:w="0" w:type="dxa"/>
                    <w:bottom w:w="0" w:type="dxa"/>
                    <w:right w:w="0" w:type="dxa"/>
                  </w:tcMar>
                  <w:vAlign w:val="center"/>
                </w:tcPr>
                <w:p w14:paraId="248DBC28">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6754FDD0">
                  <w:pPr>
                    <w:pStyle w:val="26"/>
                    <w:keepNext w:val="0"/>
                    <w:keepLines w:val="0"/>
                    <w:suppressLineNumbers w:val="0"/>
                    <w:spacing w:before="0" w:beforeAutospacing="0" w:after="0" w:afterAutospacing="0"/>
                    <w:ind w:left="0" w:right="0"/>
                    <w:rPr>
                      <w:rFonts w:hint="default"/>
                    </w:rPr>
                  </w:pPr>
                  <w:r>
                    <w:rPr>
                      <w:rFonts w:hint="default"/>
                    </w:rPr>
                    <w:t>液体硫磺泵1</w:t>
                  </w:r>
                </w:p>
              </w:tc>
              <w:tc>
                <w:tcPr>
                  <w:tcW w:w="476" w:type="pct"/>
                  <w:tcBorders>
                    <w:tl2br w:val="nil"/>
                    <w:tr2bl w:val="nil"/>
                  </w:tcBorders>
                  <w:shd w:val="clear" w:color="auto" w:fill="auto"/>
                  <w:tcMar>
                    <w:top w:w="0" w:type="dxa"/>
                    <w:left w:w="0" w:type="dxa"/>
                    <w:bottom w:w="0" w:type="dxa"/>
                    <w:right w:w="0" w:type="dxa"/>
                  </w:tcMar>
                  <w:vAlign w:val="center"/>
                </w:tcPr>
                <w:p w14:paraId="27A7F4C4">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restart"/>
                  <w:tcBorders>
                    <w:tl2br w:val="nil"/>
                    <w:tr2bl w:val="nil"/>
                  </w:tcBorders>
                  <w:shd w:val="clear" w:color="auto" w:fill="auto"/>
                  <w:tcMar>
                    <w:top w:w="0" w:type="dxa"/>
                    <w:left w:w="0" w:type="dxa"/>
                    <w:bottom w:w="0" w:type="dxa"/>
                    <w:right w:w="0" w:type="dxa"/>
                  </w:tcMar>
                  <w:vAlign w:val="center"/>
                </w:tcPr>
                <w:p w14:paraId="2704336D">
                  <w:pPr>
                    <w:pStyle w:val="26"/>
                    <w:keepNext w:val="0"/>
                    <w:keepLines w:val="0"/>
                    <w:suppressLineNumbers w:val="0"/>
                    <w:spacing w:before="0" w:beforeAutospacing="0" w:after="0" w:afterAutospacing="0"/>
                    <w:ind w:left="0" w:right="0"/>
                    <w:rPr>
                      <w:rFonts w:hint="default"/>
                    </w:rPr>
                  </w:pPr>
                  <w:r>
                    <w:rPr>
                      <w:rFonts w:hint="default"/>
                    </w:rPr>
                    <w:t>选用低噪声设备，基础减振，厂房隔声，距离衰减</w:t>
                  </w:r>
                </w:p>
              </w:tc>
              <w:tc>
                <w:tcPr>
                  <w:tcW w:w="327" w:type="pct"/>
                  <w:tcBorders>
                    <w:tl2br w:val="nil"/>
                    <w:tr2bl w:val="nil"/>
                  </w:tcBorders>
                  <w:shd w:val="clear" w:color="auto" w:fill="auto"/>
                  <w:tcMar>
                    <w:top w:w="0" w:type="dxa"/>
                    <w:left w:w="0" w:type="dxa"/>
                    <w:bottom w:w="0" w:type="dxa"/>
                    <w:right w:w="0" w:type="dxa"/>
                  </w:tcMar>
                  <w:vAlign w:val="center"/>
                </w:tcPr>
                <w:p w14:paraId="286B2614">
                  <w:pPr>
                    <w:pStyle w:val="26"/>
                    <w:keepNext w:val="0"/>
                    <w:keepLines w:val="0"/>
                    <w:suppressLineNumbers w:val="0"/>
                    <w:spacing w:before="0" w:beforeAutospacing="0" w:after="0" w:afterAutospacing="0"/>
                    <w:ind w:left="0" w:right="0"/>
                    <w:rPr>
                      <w:rFonts w:hint="default"/>
                    </w:rPr>
                  </w:pPr>
                  <w:r>
                    <w:rPr>
                      <w:rFonts w:hint="default"/>
                    </w:rPr>
                    <w:t>36</w:t>
                  </w:r>
                </w:p>
              </w:tc>
              <w:tc>
                <w:tcPr>
                  <w:tcW w:w="313" w:type="pct"/>
                  <w:tcBorders>
                    <w:tl2br w:val="nil"/>
                    <w:tr2bl w:val="nil"/>
                  </w:tcBorders>
                  <w:shd w:val="clear" w:color="auto" w:fill="auto"/>
                  <w:tcMar>
                    <w:top w:w="0" w:type="dxa"/>
                    <w:left w:w="0" w:type="dxa"/>
                    <w:bottom w:w="0" w:type="dxa"/>
                    <w:right w:w="0" w:type="dxa"/>
                  </w:tcMar>
                  <w:vAlign w:val="center"/>
                </w:tcPr>
                <w:p w14:paraId="12118CBF">
                  <w:pPr>
                    <w:pStyle w:val="26"/>
                    <w:keepNext w:val="0"/>
                    <w:keepLines w:val="0"/>
                    <w:suppressLineNumbers w:val="0"/>
                    <w:spacing w:before="0" w:beforeAutospacing="0" w:after="0" w:afterAutospacing="0"/>
                    <w:ind w:left="0" w:right="0"/>
                    <w:rPr>
                      <w:rFonts w:hint="default"/>
                    </w:rPr>
                  </w:pPr>
                  <w:r>
                    <w:rPr>
                      <w:rFonts w:hint="default"/>
                    </w:rPr>
                    <w:t>107</w:t>
                  </w:r>
                </w:p>
              </w:tc>
              <w:tc>
                <w:tcPr>
                  <w:tcW w:w="248" w:type="pct"/>
                  <w:tcBorders>
                    <w:tl2br w:val="nil"/>
                    <w:tr2bl w:val="nil"/>
                  </w:tcBorders>
                  <w:shd w:val="clear" w:color="auto" w:fill="auto"/>
                  <w:tcMar>
                    <w:top w:w="0" w:type="dxa"/>
                    <w:left w:w="0" w:type="dxa"/>
                    <w:bottom w:w="0" w:type="dxa"/>
                    <w:right w:w="0" w:type="dxa"/>
                  </w:tcMar>
                  <w:vAlign w:val="center"/>
                </w:tcPr>
                <w:p w14:paraId="27E8A880">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5EE9885E">
                  <w:pPr>
                    <w:pStyle w:val="26"/>
                    <w:keepNext w:val="0"/>
                    <w:keepLines w:val="0"/>
                    <w:suppressLineNumbers w:val="0"/>
                    <w:spacing w:before="0" w:beforeAutospacing="0" w:after="0" w:afterAutospacing="0"/>
                    <w:ind w:left="0" w:right="0"/>
                    <w:rPr>
                      <w:rFonts w:hint="default"/>
                    </w:rPr>
                  </w:pPr>
                  <w:r>
                    <w:rPr>
                      <w:rFonts w:hint="default"/>
                    </w:rPr>
                    <w:t>1.5</w:t>
                  </w:r>
                </w:p>
              </w:tc>
              <w:tc>
                <w:tcPr>
                  <w:tcW w:w="385" w:type="pct"/>
                  <w:tcBorders>
                    <w:tl2br w:val="nil"/>
                    <w:tr2bl w:val="nil"/>
                  </w:tcBorders>
                  <w:shd w:val="clear" w:color="auto" w:fill="auto"/>
                  <w:tcMar>
                    <w:top w:w="0" w:type="dxa"/>
                    <w:left w:w="0" w:type="dxa"/>
                    <w:bottom w:w="0" w:type="dxa"/>
                    <w:right w:w="0" w:type="dxa"/>
                  </w:tcMar>
                  <w:vAlign w:val="center"/>
                </w:tcPr>
                <w:p w14:paraId="5E106A84">
                  <w:pPr>
                    <w:pStyle w:val="26"/>
                    <w:keepNext w:val="0"/>
                    <w:keepLines w:val="0"/>
                    <w:suppressLineNumbers w:val="0"/>
                    <w:spacing w:before="0" w:beforeAutospacing="0" w:after="0" w:afterAutospacing="0"/>
                    <w:ind w:left="0" w:right="0"/>
                    <w:rPr>
                      <w:rFonts w:hint="default"/>
                    </w:rPr>
                  </w:pPr>
                  <w:r>
                    <w:rPr>
                      <w:rFonts w:hint="default"/>
                    </w:rPr>
                    <w:t>68.3</w:t>
                  </w:r>
                </w:p>
              </w:tc>
              <w:tc>
                <w:tcPr>
                  <w:tcW w:w="241" w:type="pct"/>
                  <w:tcBorders>
                    <w:tl2br w:val="nil"/>
                    <w:tr2bl w:val="nil"/>
                  </w:tcBorders>
                  <w:shd w:val="clear" w:color="auto" w:fill="auto"/>
                  <w:tcMar>
                    <w:top w:w="0" w:type="dxa"/>
                    <w:left w:w="0" w:type="dxa"/>
                    <w:bottom w:w="0" w:type="dxa"/>
                    <w:right w:w="0" w:type="dxa"/>
                  </w:tcMar>
                  <w:vAlign w:val="center"/>
                </w:tcPr>
                <w:p w14:paraId="3EDA1483">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3F88BC74">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6F892065">
                  <w:pPr>
                    <w:pStyle w:val="28"/>
                    <w:keepNext w:val="0"/>
                    <w:keepLines w:val="0"/>
                    <w:suppressLineNumbers w:val="0"/>
                    <w:spacing w:before="0" w:beforeAutospacing="0" w:after="0" w:afterAutospacing="0"/>
                    <w:ind w:left="0" w:right="0"/>
                    <w:rPr>
                      <w:rFonts w:hint="default"/>
                      <w:color w:val="auto"/>
                      <w:kern w:val="0"/>
                    </w:rPr>
                  </w:pPr>
                  <w:r>
                    <w:rPr>
                      <w:rFonts w:hint="default"/>
                      <w:color w:val="auto"/>
                    </w:rPr>
                    <w:t>42.3</w:t>
                  </w:r>
                </w:p>
              </w:tc>
              <w:tc>
                <w:tcPr>
                  <w:tcW w:w="320" w:type="pct"/>
                  <w:tcBorders>
                    <w:tl2br w:val="nil"/>
                    <w:tr2bl w:val="nil"/>
                  </w:tcBorders>
                  <w:shd w:val="clear" w:color="auto" w:fill="auto"/>
                  <w:tcMar>
                    <w:top w:w="0" w:type="dxa"/>
                    <w:left w:w="0" w:type="dxa"/>
                    <w:bottom w:w="0" w:type="dxa"/>
                    <w:right w:w="0" w:type="dxa"/>
                  </w:tcMar>
                  <w:vAlign w:val="center"/>
                </w:tcPr>
                <w:p w14:paraId="0DCC8B90">
                  <w:pPr>
                    <w:pStyle w:val="26"/>
                    <w:keepNext w:val="0"/>
                    <w:keepLines w:val="0"/>
                    <w:suppressLineNumbers w:val="0"/>
                    <w:spacing w:before="0" w:beforeAutospacing="0" w:after="0" w:afterAutospacing="0"/>
                    <w:ind w:left="0" w:right="0"/>
                    <w:rPr>
                      <w:rFonts w:hint="default"/>
                    </w:rPr>
                  </w:pPr>
                  <w:r>
                    <w:rPr>
                      <w:rFonts w:hint="default"/>
                    </w:rPr>
                    <w:t>1</w:t>
                  </w:r>
                </w:p>
              </w:tc>
            </w:tr>
            <w:tr w14:paraId="3F4BC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56CB5EFE">
                  <w:pPr>
                    <w:pStyle w:val="26"/>
                    <w:keepNext w:val="0"/>
                    <w:keepLines w:val="0"/>
                    <w:suppressLineNumbers w:val="0"/>
                    <w:spacing w:before="0" w:beforeAutospacing="0" w:after="0" w:afterAutospacing="0"/>
                    <w:ind w:left="0" w:right="0"/>
                    <w:rPr>
                      <w:rFonts w:hint="default"/>
                    </w:rPr>
                  </w:pPr>
                  <w:r>
                    <w:rPr>
                      <w:rFonts w:hint="default"/>
                    </w:rPr>
                    <w:t>2</w:t>
                  </w:r>
                </w:p>
              </w:tc>
              <w:tc>
                <w:tcPr>
                  <w:tcW w:w="450" w:type="pct"/>
                  <w:tcBorders>
                    <w:tl2br w:val="nil"/>
                    <w:tr2bl w:val="nil"/>
                  </w:tcBorders>
                  <w:shd w:val="clear" w:color="auto" w:fill="auto"/>
                  <w:tcMar>
                    <w:top w:w="0" w:type="dxa"/>
                    <w:left w:w="0" w:type="dxa"/>
                    <w:bottom w:w="0" w:type="dxa"/>
                    <w:right w:w="0" w:type="dxa"/>
                  </w:tcMar>
                  <w:vAlign w:val="center"/>
                </w:tcPr>
                <w:p w14:paraId="04E8A29A">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76231473">
                  <w:pPr>
                    <w:pStyle w:val="26"/>
                    <w:keepNext w:val="0"/>
                    <w:keepLines w:val="0"/>
                    <w:suppressLineNumbers w:val="0"/>
                    <w:spacing w:before="0" w:beforeAutospacing="0" w:after="0" w:afterAutospacing="0"/>
                    <w:ind w:left="0" w:right="0"/>
                    <w:rPr>
                      <w:rFonts w:hint="default"/>
                    </w:rPr>
                  </w:pPr>
                  <w:r>
                    <w:rPr>
                      <w:rFonts w:hint="default"/>
                    </w:rPr>
                    <w:t>液体硫磺泵2</w:t>
                  </w:r>
                </w:p>
              </w:tc>
              <w:tc>
                <w:tcPr>
                  <w:tcW w:w="476" w:type="pct"/>
                  <w:tcBorders>
                    <w:tl2br w:val="nil"/>
                    <w:tr2bl w:val="nil"/>
                  </w:tcBorders>
                  <w:shd w:val="clear" w:color="auto" w:fill="auto"/>
                  <w:tcMar>
                    <w:top w:w="0" w:type="dxa"/>
                    <w:left w:w="0" w:type="dxa"/>
                    <w:bottom w:w="0" w:type="dxa"/>
                    <w:right w:w="0" w:type="dxa"/>
                  </w:tcMar>
                  <w:vAlign w:val="center"/>
                </w:tcPr>
                <w:p w14:paraId="7735A905">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64530E63">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110C74E4">
                  <w:pPr>
                    <w:pStyle w:val="26"/>
                    <w:keepNext w:val="0"/>
                    <w:keepLines w:val="0"/>
                    <w:suppressLineNumbers w:val="0"/>
                    <w:spacing w:before="0" w:beforeAutospacing="0" w:after="0" w:afterAutospacing="0"/>
                    <w:ind w:left="0" w:right="0"/>
                    <w:rPr>
                      <w:rFonts w:hint="default"/>
                    </w:rPr>
                  </w:pPr>
                  <w:r>
                    <w:rPr>
                      <w:rFonts w:hint="default"/>
                    </w:rPr>
                    <w:t>36</w:t>
                  </w:r>
                </w:p>
              </w:tc>
              <w:tc>
                <w:tcPr>
                  <w:tcW w:w="313" w:type="pct"/>
                  <w:tcBorders>
                    <w:tl2br w:val="nil"/>
                    <w:tr2bl w:val="nil"/>
                  </w:tcBorders>
                  <w:shd w:val="clear" w:color="auto" w:fill="auto"/>
                  <w:tcMar>
                    <w:top w:w="0" w:type="dxa"/>
                    <w:left w:w="0" w:type="dxa"/>
                    <w:bottom w:w="0" w:type="dxa"/>
                    <w:right w:w="0" w:type="dxa"/>
                  </w:tcMar>
                  <w:vAlign w:val="center"/>
                </w:tcPr>
                <w:p w14:paraId="096201BD">
                  <w:pPr>
                    <w:pStyle w:val="26"/>
                    <w:keepNext w:val="0"/>
                    <w:keepLines w:val="0"/>
                    <w:suppressLineNumbers w:val="0"/>
                    <w:spacing w:before="0" w:beforeAutospacing="0" w:after="0" w:afterAutospacing="0"/>
                    <w:ind w:left="0" w:right="0"/>
                    <w:rPr>
                      <w:rFonts w:hint="default"/>
                    </w:rPr>
                  </w:pPr>
                  <w:r>
                    <w:rPr>
                      <w:rFonts w:hint="default"/>
                    </w:rPr>
                    <w:t>108</w:t>
                  </w:r>
                </w:p>
              </w:tc>
              <w:tc>
                <w:tcPr>
                  <w:tcW w:w="248" w:type="pct"/>
                  <w:tcBorders>
                    <w:tl2br w:val="nil"/>
                    <w:tr2bl w:val="nil"/>
                  </w:tcBorders>
                  <w:shd w:val="clear" w:color="auto" w:fill="auto"/>
                  <w:tcMar>
                    <w:top w:w="0" w:type="dxa"/>
                    <w:left w:w="0" w:type="dxa"/>
                    <w:bottom w:w="0" w:type="dxa"/>
                    <w:right w:w="0" w:type="dxa"/>
                  </w:tcMar>
                  <w:vAlign w:val="center"/>
                </w:tcPr>
                <w:p w14:paraId="03F21E31">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355D5733">
                  <w:pPr>
                    <w:pStyle w:val="26"/>
                    <w:keepNext w:val="0"/>
                    <w:keepLines w:val="0"/>
                    <w:suppressLineNumbers w:val="0"/>
                    <w:spacing w:before="0" w:beforeAutospacing="0" w:after="0" w:afterAutospacing="0"/>
                    <w:ind w:left="0" w:right="0"/>
                    <w:rPr>
                      <w:rFonts w:hint="default"/>
                    </w:rPr>
                  </w:pPr>
                  <w:r>
                    <w:rPr>
                      <w:rFonts w:hint="default"/>
                    </w:rPr>
                    <w:t>2.5</w:t>
                  </w:r>
                </w:p>
              </w:tc>
              <w:tc>
                <w:tcPr>
                  <w:tcW w:w="385" w:type="pct"/>
                  <w:tcBorders>
                    <w:tl2br w:val="nil"/>
                    <w:tr2bl w:val="nil"/>
                  </w:tcBorders>
                  <w:shd w:val="clear" w:color="auto" w:fill="auto"/>
                  <w:tcMar>
                    <w:top w:w="0" w:type="dxa"/>
                    <w:left w:w="0" w:type="dxa"/>
                    <w:bottom w:w="0" w:type="dxa"/>
                    <w:right w:w="0" w:type="dxa"/>
                  </w:tcMar>
                  <w:vAlign w:val="center"/>
                </w:tcPr>
                <w:p w14:paraId="7A20A255">
                  <w:pPr>
                    <w:pStyle w:val="26"/>
                    <w:keepNext w:val="0"/>
                    <w:keepLines w:val="0"/>
                    <w:suppressLineNumbers w:val="0"/>
                    <w:spacing w:before="0" w:beforeAutospacing="0" w:after="0" w:afterAutospacing="0"/>
                    <w:ind w:left="0" w:right="0"/>
                    <w:rPr>
                      <w:rFonts w:hint="default"/>
                    </w:rPr>
                  </w:pPr>
                  <w:r>
                    <w:rPr>
                      <w:rFonts w:hint="default"/>
                    </w:rPr>
                    <w:t>66.4</w:t>
                  </w:r>
                </w:p>
              </w:tc>
              <w:tc>
                <w:tcPr>
                  <w:tcW w:w="241" w:type="pct"/>
                  <w:tcBorders>
                    <w:tl2br w:val="nil"/>
                    <w:tr2bl w:val="nil"/>
                  </w:tcBorders>
                  <w:shd w:val="clear" w:color="auto" w:fill="auto"/>
                  <w:tcMar>
                    <w:top w:w="0" w:type="dxa"/>
                    <w:left w:w="0" w:type="dxa"/>
                    <w:bottom w:w="0" w:type="dxa"/>
                    <w:right w:w="0" w:type="dxa"/>
                  </w:tcMar>
                  <w:vAlign w:val="center"/>
                </w:tcPr>
                <w:p w14:paraId="1B47F573">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315837CE">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18FDC6CE">
                  <w:pPr>
                    <w:pStyle w:val="28"/>
                    <w:keepNext w:val="0"/>
                    <w:keepLines w:val="0"/>
                    <w:suppressLineNumbers w:val="0"/>
                    <w:spacing w:before="0" w:beforeAutospacing="0" w:after="0" w:afterAutospacing="0"/>
                    <w:ind w:left="0" w:right="0"/>
                    <w:rPr>
                      <w:rFonts w:hint="default"/>
                      <w:color w:val="auto"/>
                    </w:rPr>
                  </w:pPr>
                  <w:r>
                    <w:rPr>
                      <w:rFonts w:hint="default"/>
                      <w:color w:val="auto"/>
                    </w:rPr>
                    <w:t>40.4</w:t>
                  </w:r>
                </w:p>
              </w:tc>
              <w:tc>
                <w:tcPr>
                  <w:tcW w:w="320" w:type="pct"/>
                  <w:tcBorders>
                    <w:tl2br w:val="nil"/>
                    <w:tr2bl w:val="nil"/>
                  </w:tcBorders>
                  <w:shd w:val="clear" w:color="auto" w:fill="auto"/>
                  <w:tcMar>
                    <w:top w:w="0" w:type="dxa"/>
                    <w:left w:w="0" w:type="dxa"/>
                    <w:bottom w:w="0" w:type="dxa"/>
                    <w:right w:w="0" w:type="dxa"/>
                  </w:tcMar>
                  <w:vAlign w:val="center"/>
                </w:tcPr>
                <w:p w14:paraId="487B9C04">
                  <w:pPr>
                    <w:pStyle w:val="26"/>
                    <w:keepNext w:val="0"/>
                    <w:keepLines w:val="0"/>
                    <w:suppressLineNumbers w:val="0"/>
                    <w:spacing w:before="0" w:beforeAutospacing="0" w:after="0" w:afterAutospacing="0"/>
                    <w:ind w:left="0" w:right="0"/>
                    <w:rPr>
                      <w:rFonts w:hint="default"/>
                    </w:rPr>
                  </w:pPr>
                  <w:r>
                    <w:rPr>
                      <w:rFonts w:hint="default"/>
                    </w:rPr>
                    <w:t>1</w:t>
                  </w:r>
                </w:p>
              </w:tc>
            </w:tr>
            <w:tr w14:paraId="3F9CC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2C5E6501">
                  <w:pPr>
                    <w:pStyle w:val="26"/>
                    <w:keepNext w:val="0"/>
                    <w:keepLines w:val="0"/>
                    <w:suppressLineNumbers w:val="0"/>
                    <w:spacing w:before="0" w:beforeAutospacing="0" w:after="0" w:afterAutospacing="0"/>
                    <w:ind w:left="0" w:right="0"/>
                    <w:rPr>
                      <w:rFonts w:hint="default"/>
                    </w:rPr>
                  </w:pPr>
                  <w:r>
                    <w:rPr>
                      <w:rFonts w:hint="default"/>
                    </w:rPr>
                    <w:t>3</w:t>
                  </w:r>
                </w:p>
              </w:tc>
              <w:tc>
                <w:tcPr>
                  <w:tcW w:w="450" w:type="pct"/>
                  <w:tcBorders>
                    <w:tl2br w:val="nil"/>
                    <w:tr2bl w:val="nil"/>
                  </w:tcBorders>
                  <w:shd w:val="clear" w:color="auto" w:fill="auto"/>
                  <w:tcMar>
                    <w:top w:w="0" w:type="dxa"/>
                    <w:left w:w="0" w:type="dxa"/>
                    <w:bottom w:w="0" w:type="dxa"/>
                    <w:right w:w="0" w:type="dxa"/>
                  </w:tcMar>
                  <w:vAlign w:val="center"/>
                </w:tcPr>
                <w:p w14:paraId="5229D97F">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4D75545B">
                  <w:pPr>
                    <w:pStyle w:val="26"/>
                    <w:keepNext w:val="0"/>
                    <w:keepLines w:val="0"/>
                    <w:suppressLineNumbers w:val="0"/>
                    <w:spacing w:before="0" w:beforeAutospacing="0" w:after="0" w:afterAutospacing="0"/>
                    <w:ind w:left="0" w:right="0"/>
                    <w:rPr>
                      <w:rFonts w:hint="default"/>
                    </w:rPr>
                  </w:pPr>
                  <w:r>
                    <w:rPr>
                      <w:rFonts w:hint="default"/>
                    </w:rPr>
                    <w:t>液体硫磺泵3</w:t>
                  </w:r>
                </w:p>
              </w:tc>
              <w:tc>
                <w:tcPr>
                  <w:tcW w:w="476" w:type="pct"/>
                  <w:tcBorders>
                    <w:tl2br w:val="nil"/>
                    <w:tr2bl w:val="nil"/>
                  </w:tcBorders>
                  <w:shd w:val="clear" w:color="auto" w:fill="auto"/>
                  <w:tcMar>
                    <w:top w:w="0" w:type="dxa"/>
                    <w:left w:w="0" w:type="dxa"/>
                    <w:bottom w:w="0" w:type="dxa"/>
                    <w:right w:w="0" w:type="dxa"/>
                  </w:tcMar>
                  <w:vAlign w:val="center"/>
                </w:tcPr>
                <w:p w14:paraId="14B485DE">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3DD50148">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4DA505B0">
                  <w:pPr>
                    <w:pStyle w:val="26"/>
                    <w:keepNext w:val="0"/>
                    <w:keepLines w:val="0"/>
                    <w:suppressLineNumbers w:val="0"/>
                    <w:spacing w:before="0" w:beforeAutospacing="0" w:after="0" w:afterAutospacing="0"/>
                    <w:ind w:left="0" w:right="0"/>
                    <w:rPr>
                      <w:rFonts w:hint="default"/>
                    </w:rPr>
                  </w:pPr>
                  <w:r>
                    <w:rPr>
                      <w:rFonts w:hint="default"/>
                    </w:rPr>
                    <w:t>36</w:t>
                  </w:r>
                </w:p>
              </w:tc>
              <w:tc>
                <w:tcPr>
                  <w:tcW w:w="313" w:type="pct"/>
                  <w:tcBorders>
                    <w:tl2br w:val="nil"/>
                    <w:tr2bl w:val="nil"/>
                  </w:tcBorders>
                  <w:shd w:val="clear" w:color="auto" w:fill="auto"/>
                  <w:tcMar>
                    <w:top w:w="0" w:type="dxa"/>
                    <w:left w:w="0" w:type="dxa"/>
                    <w:bottom w:w="0" w:type="dxa"/>
                    <w:right w:w="0" w:type="dxa"/>
                  </w:tcMar>
                  <w:vAlign w:val="center"/>
                </w:tcPr>
                <w:p w14:paraId="33EA4298">
                  <w:pPr>
                    <w:pStyle w:val="26"/>
                    <w:keepNext w:val="0"/>
                    <w:keepLines w:val="0"/>
                    <w:suppressLineNumbers w:val="0"/>
                    <w:spacing w:before="0" w:beforeAutospacing="0" w:after="0" w:afterAutospacing="0"/>
                    <w:ind w:left="0" w:right="0"/>
                    <w:rPr>
                      <w:rFonts w:hint="default"/>
                    </w:rPr>
                  </w:pPr>
                  <w:r>
                    <w:rPr>
                      <w:rFonts w:hint="default"/>
                    </w:rPr>
                    <w:t>109</w:t>
                  </w:r>
                </w:p>
              </w:tc>
              <w:tc>
                <w:tcPr>
                  <w:tcW w:w="248" w:type="pct"/>
                  <w:tcBorders>
                    <w:tl2br w:val="nil"/>
                    <w:tr2bl w:val="nil"/>
                  </w:tcBorders>
                  <w:shd w:val="clear" w:color="auto" w:fill="auto"/>
                  <w:tcMar>
                    <w:top w:w="0" w:type="dxa"/>
                    <w:left w:w="0" w:type="dxa"/>
                    <w:bottom w:w="0" w:type="dxa"/>
                    <w:right w:w="0" w:type="dxa"/>
                  </w:tcMar>
                  <w:vAlign w:val="center"/>
                </w:tcPr>
                <w:p w14:paraId="205E5A38">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53B45FC8">
                  <w:pPr>
                    <w:pStyle w:val="26"/>
                    <w:keepNext w:val="0"/>
                    <w:keepLines w:val="0"/>
                    <w:suppressLineNumbers w:val="0"/>
                    <w:spacing w:before="0" w:beforeAutospacing="0" w:after="0" w:afterAutospacing="0"/>
                    <w:ind w:left="0" w:right="0"/>
                    <w:rPr>
                      <w:rFonts w:hint="default"/>
                    </w:rPr>
                  </w:pPr>
                  <w:r>
                    <w:rPr>
                      <w:rFonts w:hint="default"/>
                    </w:rPr>
                    <w:t>3.5</w:t>
                  </w:r>
                </w:p>
              </w:tc>
              <w:tc>
                <w:tcPr>
                  <w:tcW w:w="385" w:type="pct"/>
                  <w:tcBorders>
                    <w:tl2br w:val="nil"/>
                    <w:tr2bl w:val="nil"/>
                  </w:tcBorders>
                  <w:shd w:val="clear" w:color="auto" w:fill="auto"/>
                  <w:tcMar>
                    <w:top w:w="0" w:type="dxa"/>
                    <w:left w:w="0" w:type="dxa"/>
                    <w:bottom w:w="0" w:type="dxa"/>
                    <w:right w:w="0" w:type="dxa"/>
                  </w:tcMar>
                  <w:vAlign w:val="center"/>
                </w:tcPr>
                <w:p w14:paraId="43AE9035">
                  <w:pPr>
                    <w:pStyle w:val="26"/>
                    <w:keepNext w:val="0"/>
                    <w:keepLines w:val="0"/>
                    <w:suppressLineNumbers w:val="0"/>
                    <w:spacing w:before="0" w:beforeAutospacing="0" w:after="0" w:afterAutospacing="0"/>
                    <w:ind w:left="0" w:right="0"/>
                    <w:rPr>
                      <w:rFonts w:hint="default"/>
                    </w:rPr>
                  </w:pPr>
                  <w:r>
                    <w:rPr>
                      <w:rFonts w:hint="default"/>
                    </w:rPr>
                    <w:t>65.8</w:t>
                  </w:r>
                </w:p>
              </w:tc>
              <w:tc>
                <w:tcPr>
                  <w:tcW w:w="241" w:type="pct"/>
                  <w:tcBorders>
                    <w:tl2br w:val="nil"/>
                    <w:tr2bl w:val="nil"/>
                  </w:tcBorders>
                  <w:shd w:val="clear" w:color="auto" w:fill="auto"/>
                  <w:tcMar>
                    <w:top w:w="0" w:type="dxa"/>
                    <w:left w:w="0" w:type="dxa"/>
                    <w:bottom w:w="0" w:type="dxa"/>
                    <w:right w:w="0" w:type="dxa"/>
                  </w:tcMar>
                  <w:vAlign w:val="center"/>
                </w:tcPr>
                <w:p w14:paraId="12FB77AC">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42DEB4C0">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7FD351B5">
                  <w:pPr>
                    <w:pStyle w:val="28"/>
                    <w:keepNext w:val="0"/>
                    <w:keepLines w:val="0"/>
                    <w:suppressLineNumbers w:val="0"/>
                    <w:spacing w:before="0" w:beforeAutospacing="0" w:after="0" w:afterAutospacing="0"/>
                    <w:ind w:left="0" w:right="0"/>
                    <w:rPr>
                      <w:rFonts w:hint="default"/>
                      <w:color w:val="auto"/>
                    </w:rPr>
                  </w:pPr>
                  <w:r>
                    <w:rPr>
                      <w:rFonts w:hint="default"/>
                      <w:color w:val="auto"/>
                    </w:rPr>
                    <w:t>39.8</w:t>
                  </w:r>
                </w:p>
              </w:tc>
              <w:tc>
                <w:tcPr>
                  <w:tcW w:w="320" w:type="pct"/>
                  <w:tcBorders>
                    <w:tl2br w:val="nil"/>
                    <w:tr2bl w:val="nil"/>
                  </w:tcBorders>
                  <w:shd w:val="clear" w:color="auto" w:fill="auto"/>
                  <w:tcMar>
                    <w:top w:w="0" w:type="dxa"/>
                    <w:left w:w="0" w:type="dxa"/>
                    <w:bottom w:w="0" w:type="dxa"/>
                    <w:right w:w="0" w:type="dxa"/>
                  </w:tcMar>
                  <w:vAlign w:val="center"/>
                </w:tcPr>
                <w:p w14:paraId="408AB6FC">
                  <w:pPr>
                    <w:pStyle w:val="26"/>
                    <w:keepNext w:val="0"/>
                    <w:keepLines w:val="0"/>
                    <w:suppressLineNumbers w:val="0"/>
                    <w:spacing w:before="0" w:beforeAutospacing="0" w:after="0" w:afterAutospacing="0"/>
                    <w:ind w:left="0" w:right="0"/>
                    <w:rPr>
                      <w:rFonts w:hint="default"/>
                    </w:rPr>
                  </w:pPr>
                  <w:r>
                    <w:rPr>
                      <w:rFonts w:hint="default"/>
                    </w:rPr>
                    <w:t>1</w:t>
                  </w:r>
                </w:p>
              </w:tc>
            </w:tr>
            <w:tr w14:paraId="692A7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77391348">
                  <w:pPr>
                    <w:pStyle w:val="26"/>
                    <w:keepNext w:val="0"/>
                    <w:keepLines w:val="0"/>
                    <w:suppressLineNumbers w:val="0"/>
                    <w:spacing w:before="0" w:beforeAutospacing="0" w:after="0" w:afterAutospacing="0"/>
                    <w:ind w:left="0" w:right="0"/>
                    <w:rPr>
                      <w:rFonts w:hint="default"/>
                    </w:rPr>
                  </w:pPr>
                  <w:r>
                    <w:rPr>
                      <w:rFonts w:hint="default"/>
                    </w:rPr>
                    <w:t>4</w:t>
                  </w:r>
                </w:p>
              </w:tc>
              <w:tc>
                <w:tcPr>
                  <w:tcW w:w="450" w:type="pct"/>
                  <w:tcBorders>
                    <w:tl2br w:val="nil"/>
                    <w:tr2bl w:val="nil"/>
                  </w:tcBorders>
                  <w:shd w:val="clear" w:color="auto" w:fill="auto"/>
                  <w:tcMar>
                    <w:top w:w="0" w:type="dxa"/>
                    <w:left w:w="0" w:type="dxa"/>
                    <w:bottom w:w="0" w:type="dxa"/>
                    <w:right w:w="0" w:type="dxa"/>
                  </w:tcMar>
                  <w:vAlign w:val="center"/>
                </w:tcPr>
                <w:p w14:paraId="6C45EF42">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675F0E37">
                  <w:pPr>
                    <w:pStyle w:val="26"/>
                    <w:keepNext w:val="0"/>
                    <w:keepLines w:val="0"/>
                    <w:suppressLineNumbers w:val="0"/>
                    <w:spacing w:before="0" w:beforeAutospacing="0" w:after="0" w:afterAutospacing="0"/>
                    <w:ind w:left="0" w:right="0"/>
                    <w:rPr>
                      <w:rFonts w:hint="default"/>
                    </w:rPr>
                  </w:pPr>
                  <w:r>
                    <w:rPr>
                      <w:rFonts w:hint="default"/>
                    </w:rPr>
                    <w:t>提纯塔</w:t>
                  </w:r>
                </w:p>
              </w:tc>
              <w:tc>
                <w:tcPr>
                  <w:tcW w:w="476" w:type="pct"/>
                  <w:tcBorders>
                    <w:tl2br w:val="nil"/>
                    <w:tr2bl w:val="nil"/>
                  </w:tcBorders>
                  <w:shd w:val="clear" w:color="auto" w:fill="auto"/>
                  <w:tcMar>
                    <w:top w:w="0" w:type="dxa"/>
                    <w:left w:w="0" w:type="dxa"/>
                    <w:bottom w:w="0" w:type="dxa"/>
                    <w:right w:w="0" w:type="dxa"/>
                  </w:tcMar>
                  <w:vAlign w:val="center"/>
                </w:tcPr>
                <w:p w14:paraId="507E670E">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78C87DB9">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7EE43ED7">
                  <w:pPr>
                    <w:pStyle w:val="26"/>
                    <w:keepNext w:val="0"/>
                    <w:keepLines w:val="0"/>
                    <w:suppressLineNumbers w:val="0"/>
                    <w:spacing w:before="0" w:beforeAutospacing="0" w:after="0" w:afterAutospacing="0"/>
                    <w:ind w:left="0" w:right="0"/>
                    <w:rPr>
                      <w:rFonts w:hint="default"/>
                    </w:rPr>
                  </w:pPr>
                  <w:r>
                    <w:rPr>
                      <w:rFonts w:hint="default"/>
                    </w:rPr>
                    <w:t>38.5</w:t>
                  </w:r>
                </w:p>
              </w:tc>
              <w:tc>
                <w:tcPr>
                  <w:tcW w:w="313" w:type="pct"/>
                  <w:tcBorders>
                    <w:tl2br w:val="nil"/>
                    <w:tr2bl w:val="nil"/>
                  </w:tcBorders>
                  <w:shd w:val="clear" w:color="auto" w:fill="auto"/>
                  <w:tcMar>
                    <w:top w:w="0" w:type="dxa"/>
                    <w:left w:w="0" w:type="dxa"/>
                    <w:bottom w:w="0" w:type="dxa"/>
                    <w:right w:w="0" w:type="dxa"/>
                  </w:tcMar>
                  <w:vAlign w:val="center"/>
                </w:tcPr>
                <w:p w14:paraId="35DBFA8A">
                  <w:pPr>
                    <w:pStyle w:val="26"/>
                    <w:keepNext w:val="0"/>
                    <w:keepLines w:val="0"/>
                    <w:suppressLineNumbers w:val="0"/>
                    <w:spacing w:before="0" w:beforeAutospacing="0" w:after="0" w:afterAutospacing="0"/>
                    <w:ind w:left="0" w:right="0"/>
                    <w:rPr>
                      <w:rFonts w:hint="default"/>
                    </w:rPr>
                  </w:pPr>
                  <w:r>
                    <w:rPr>
                      <w:rFonts w:hint="default"/>
                    </w:rPr>
                    <w:t>108</w:t>
                  </w:r>
                </w:p>
              </w:tc>
              <w:tc>
                <w:tcPr>
                  <w:tcW w:w="248" w:type="pct"/>
                  <w:tcBorders>
                    <w:tl2br w:val="nil"/>
                    <w:tr2bl w:val="nil"/>
                  </w:tcBorders>
                  <w:shd w:val="clear" w:color="auto" w:fill="auto"/>
                  <w:tcMar>
                    <w:top w:w="0" w:type="dxa"/>
                    <w:left w:w="0" w:type="dxa"/>
                    <w:bottom w:w="0" w:type="dxa"/>
                    <w:right w:w="0" w:type="dxa"/>
                  </w:tcMar>
                  <w:vAlign w:val="center"/>
                </w:tcPr>
                <w:p w14:paraId="06830370">
                  <w:pPr>
                    <w:pStyle w:val="26"/>
                    <w:keepNext w:val="0"/>
                    <w:keepLines w:val="0"/>
                    <w:suppressLineNumbers w:val="0"/>
                    <w:spacing w:before="0" w:beforeAutospacing="0" w:after="0" w:afterAutospacing="0"/>
                    <w:ind w:left="0" w:right="0"/>
                    <w:rPr>
                      <w:rFonts w:hint="default"/>
                    </w:rPr>
                  </w:pPr>
                  <w:r>
                    <w:rPr>
                      <w:rFonts w:hint="default"/>
                    </w:rPr>
                    <w:t>21</w:t>
                  </w:r>
                </w:p>
              </w:tc>
              <w:tc>
                <w:tcPr>
                  <w:tcW w:w="347" w:type="pct"/>
                  <w:tcBorders>
                    <w:tl2br w:val="nil"/>
                    <w:tr2bl w:val="nil"/>
                  </w:tcBorders>
                  <w:shd w:val="clear" w:color="auto" w:fill="auto"/>
                  <w:tcMar>
                    <w:top w:w="0" w:type="dxa"/>
                    <w:left w:w="0" w:type="dxa"/>
                    <w:bottom w:w="0" w:type="dxa"/>
                    <w:right w:w="0" w:type="dxa"/>
                  </w:tcMar>
                  <w:vAlign w:val="center"/>
                </w:tcPr>
                <w:p w14:paraId="6312868B">
                  <w:pPr>
                    <w:pStyle w:val="26"/>
                    <w:keepNext w:val="0"/>
                    <w:keepLines w:val="0"/>
                    <w:suppressLineNumbers w:val="0"/>
                    <w:spacing w:before="0" w:beforeAutospacing="0" w:after="0" w:afterAutospacing="0"/>
                    <w:ind w:left="0" w:right="0"/>
                    <w:rPr>
                      <w:rFonts w:hint="default"/>
                    </w:rPr>
                  </w:pPr>
                  <w:r>
                    <w:rPr>
                      <w:rFonts w:hint="default"/>
                    </w:rPr>
                    <w:t>1</w:t>
                  </w:r>
                </w:p>
              </w:tc>
              <w:tc>
                <w:tcPr>
                  <w:tcW w:w="385" w:type="pct"/>
                  <w:tcBorders>
                    <w:tl2br w:val="nil"/>
                    <w:tr2bl w:val="nil"/>
                  </w:tcBorders>
                  <w:shd w:val="clear" w:color="auto" w:fill="auto"/>
                  <w:tcMar>
                    <w:top w:w="0" w:type="dxa"/>
                    <w:left w:w="0" w:type="dxa"/>
                    <w:bottom w:w="0" w:type="dxa"/>
                    <w:right w:w="0" w:type="dxa"/>
                  </w:tcMar>
                  <w:vAlign w:val="center"/>
                </w:tcPr>
                <w:p w14:paraId="222B526E">
                  <w:pPr>
                    <w:pStyle w:val="26"/>
                    <w:keepNext w:val="0"/>
                    <w:keepLines w:val="0"/>
                    <w:suppressLineNumbers w:val="0"/>
                    <w:spacing w:before="0" w:beforeAutospacing="0" w:after="0" w:afterAutospacing="0"/>
                    <w:ind w:left="0" w:right="0"/>
                    <w:rPr>
                      <w:rFonts w:hint="default"/>
                    </w:rPr>
                  </w:pPr>
                  <w:r>
                    <w:rPr>
                      <w:rFonts w:hint="default"/>
                    </w:rPr>
                    <w:t>70.53</w:t>
                  </w:r>
                </w:p>
              </w:tc>
              <w:tc>
                <w:tcPr>
                  <w:tcW w:w="241" w:type="pct"/>
                  <w:tcBorders>
                    <w:tl2br w:val="nil"/>
                    <w:tr2bl w:val="nil"/>
                  </w:tcBorders>
                  <w:shd w:val="clear" w:color="auto" w:fill="auto"/>
                  <w:tcMar>
                    <w:top w:w="0" w:type="dxa"/>
                    <w:left w:w="0" w:type="dxa"/>
                    <w:bottom w:w="0" w:type="dxa"/>
                    <w:right w:w="0" w:type="dxa"/>
                  </w:tcMar>
                  <w:vAlign w:val="center"/>
                </w:tcPr>
                <w:p w14:paraId="02D62212">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726BCC97">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508E29B5">
                  <w:pPr>
                    <w:pStyle w:val="28"/>
                    <w:keepNext w:val="0"/>
                    <w:keepLines w:val="0"/>
                    <w:suppressLineNumbers w:val="0"/>
                    <w:spacing w:before="0" w:beforeAutospacing="0" w:after="0" w:afterAutospacing="0"/>
                    <w:ind w:left="0" w:right="0"/>
                    <w:rPr>
                      <w:rFonts w:hint="default"/>
                      <w:color w:val="auto"/>
                    </w:rPr>
                  </w:pPr>
                  <w:r>
                    <w:rPr>
                      <w:rFonts w:hint="default"/>
                      <w:color w:val="auto"/>
                    </w:rPr>
                    <w:t>44.53</w:t>
                  </w:r>
                </w:p>
              </w:tc>
              <w:tc>
                <w:tcPr>
                  <w:tcW w:w="320" w:type="pct"/>
                  <w:tcBorders>
                    <w:tl2br w:val="nil"/>
                    <w:tr2bl w:val="nil"/>
                  </w:tcBorders>
                  <w:shd w:val="clear" w:color="auto" w:fill="auto"/>
                  <w:tcMar>
                    <w:top w:w="0" w:type="dxa"/>
                    <w:left w:w="0" w:type="dxa"/>
                    <w:bottom w:w="0" w:type="dxa"/>
                    <w:right w:w="0" w:type="dxa"/>
                  </w:tcMar>
                  <w:vAlign w:val="center"/>
                </w:tcPr>
                <w:p w14:paraId="64414170">
                  <w:pPr>
                    <w:pStyle w:val="26"/>
                    <w:keepNext w:val="0"/>
                    <w:keepLines w:val="0"/>
                    <w:suppressLineNumbers w:val="0"/>
                    <w:spacing w:before="0" w:beforeAutospacing="0" w:after="0" w:afterAutospacing="0"/>
                    <w:ind w:left="0" w:right="0"/>
                    <w:rPr>
                      <w:rFonts w:hint="default"/>
                    </w:rPr>
                  </w:pPr>
                  <w:r>
                    <w:rPr>
                      <w:rFonts w:hint="default"/>
                    </w:rPr>
                    <w:t>1</w:t>
                  </w:r>
                </w:p>
              </w:tc>
            </w:tr>
            <w:tr w14:paraId="3E41A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4E0A8867">
                  <w:pPr>
                    <w:pStyle w:val="26"/>
                    <w:keepNext w:val="0"/>
                    <w:keepLines w:val="0"/>
                    <w:suppressLineNumbers w:val="0"/>
                    <w:spacing w:before="0" w:beforeAutospacing="0" w:after="0" w:afterAutospacing="0"/>
                    <w:ind w:left="0" w:right="0"/>
                    <w:rPr>
                      <w:rFonts w:hint="default"/>
                    </w:rPr>
                  </w:pPr>
                  <w:r>
                    <w:rPr>
                      <w:rFonts w:hint="default"/>
                    </w:rPr>
                    <w:t>5</w:t>
                  </w:r>
                </w:p>
              </w:tc>
              <w:tc>
                <w:tcPr>
                  <w:tcW w:w="450" w:type="pct"/>
                  <w:tcBorders>
                    <w:tl2br w:val="nil"/>
                    <w:tr2bl w:val="nil"/>
                  </w:tcBorders>
                  <w:shd w:val="clear" w:color="auto" w:fill="auto"/>
                  <w:tcMar>
                    <w:top w:w="0" w:type="dxa"/>
                    <w:left w:w="0" w:type="dxa"/>
                    <w:bottom w:w="0" w:type="dxa"/>
                    <w:right w:w="0" w:type="dxa"/>
                  </w:tcMar>
                  <w:vAlign w:val="center"/>
                </w:tcPr>
                <w:p w14:paraId="6F64918A">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73EF20F4">
                  <w:pPr>
                    <w:pStyle w:val="26"/>
                    <w:keepNext w:val="0"/>
                    <w:keepLines w:val="0"/>
                    <w:suppressLineNumbers w:val="0"/>
                    <w:spacing w:before="0" w:beforeAutospacing="0" w:after="0" w:afterAutospacing="0"/>
                    <w:ind w:left="0" w:right="0"/>
                    <w:rPr>
                      <w:rFonts w:hint="default"/>
                    </w:rPr>
                  </w:pPr>
                  <w:r>
                    <w:rPr>
                      <w:rFonts w:hint="default"/>
                    </w:rPr>
                    <w:t>转筒硫磺造粒机</w:t>
                  </w:r>
                </w:p>
              </w:tc>
              <w:tc>
                <w:tcPr>
                  <w:tcW w:w="476" w:type="pct"/>
                  <w:tcBorders>
                    <w:tl2br w:val="nil"/>
                    <w:tr2bl w:val="nil"/>
                  </w:tcBorders>
                  <w:shd w:val="clear" w:color="auto" w:fill="auto"/>
                  <w:tcMar>
                    <w:top w:w="0" w:type="dxa"/>
                    <w:left w:w="0" w:type="dxa"/>
                    <w:bottom w:w="0" w:type="dxa"/>
                    <w:right w:w="0" w:type="dxa"/>
                  </w:tcMar>
                  <w:vAlign w:val="center"/>
                </w:tcPr>
                <w:p w14:paraId="5876A660">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48879F29">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7C6CD096">
                  <w:pPr>
                    <w:pStyle w:val="28"/>
                    <w:keepNext w:val="0"/>
                    <w:keepLines w:val="0"/>
                    <w:suppressLineNumbers w:val="0"/>
                    <w:spacing w:before="0" w:beforeAutospacing="0" w:after="0" w:afterAutospacing="0"/>
                    <w:ind w:left="0" w:right="0"/>
                    <w:rPr>
                      <w:rFonts w:hint="default"/>
                      <w:color w:val="auto"/>
                    </w:rPr>
                  </w:pPr>
                  <w:r>
                    <w:rPr>
                      <w:rFonts w:hint="default"/>
                      <w:color w:val="auto"/>
                    </w:rPr>
                    <w:t>24</w:t>
                  </w:r>
                </w:p>
              </w:tc>
              <w:tc>
                <w:tcPr>
                  <w:tcW w:w="313" w:type="pct"/>
                  <w:tcBorders>
                    <w:tl2br w:val="nil"/>
                    <w:tr2bl w:val="nil"/>
                  </w:tcBorders>
                  <w:shd w:val="clear" w:color="auto" w:fill="auto"/>
                  <w:tcMar>
                    <w:top w:w="0" w:type="dxa"/>
                    <w:left w:w="0" w:type="dxa"/>
                    <w:bottom w:w="0" w:type="dxa"/>
                    <w:right w:w="0" w:type="dxa"/>
                  </w:tcMar>
                  <w:vAlign w:val="center"/>
                </w:tcPr>
                <w:p w14:paraId="68EA2003">
                  <w:pPr>
                    <w:pStyle w:val="28"/>
                    <w:keepNext w:val="0"/>
                    <w:keepLines w:val="0"/>
                    <w:suppressLineNumbers w:val="0"/>
                    <w:spacing w:before="0" w:beforeAutospacing="0" w:after="0" w:afterAutospacing="0"/>
                    <w:ind w:left="0" w:right="0"/>
                    <w:rPr>
                      <w:rFonts w:hint="default"/>
                      <w:color w:val="auto"/>
                    </w:rPr>
                  </w:pPr>
                  <w:r>
                    <w:rPr>
                      <w:rFonts w:hint="default"/>
                      <w:color w:val="auto"/>
                    </w:rPr>
                    <w:t>115</w:t>
                  </w:r>
                </w:p>
              </w:tc>
              <w:tc>
                <w:tcPr>
                  <w:tcW w:w="248" w:type="pct"/>
                  <w:tcBorders>
                    <w:tl2br w:val="nil"/>
                    <w:tr2bl w:val="nil"/>
                  </w:tcBorders>
                  <w:shd w:val="clear" w:color="auto" w:fill="auto"/>
                  <w:tcMar>
                    <w:top w:w="0" w:type="dxa"/>
                    <w:left w:w="0" w:type="dxa"/>
                    <w:bottom w:w="0" w:type="dxa"/>
                    <w:right w:w="0" w:type="dxa"/>
                  </w:tcMar>
                  <w:vAlign w:val="center"/>
                </w:tcPr>
                <w:p w14:paraId="4EB48806">
                  <w:pPr>
                    <w:pStyle w:val="26"/>
                    <w:keepNext w:val="0"/>
                    <w:keepLines w:val="0"/>
                    <w:suppressLineNumbers w:val="0"/>
                    <w:spacing w:before="0" w:beforeAutospacing="0" w:after="0" w:afterAutospacing="0"/>
                    <w:ind w:left="0" w:right="0"/>
                    <w:rPr>
                      <w:rFonts w:hint="default"/>
                    </w:rPr>
                  </w:pPr>
                  <w:r>
                    <w:rPr>
                      <w:rFonts w:hint="default"/>
                    </w:rPr>
                    <w:t>7.5</w:t>
                  </w:r>
                </w:p>
              </w:tc>
              <w:tc>
                <w:tcPr>
                  <w:tcW w:w="347" w:type="pct"/>
                  <w:tcBorders>
                    <w:tl2br w:val="nil"/>
                    <w:tr2bl w:val="nil"/>
                  </w:tcBorders>
                  <w:shd w:val="clear" w:color="auto" w:fill="auto"/>
                  <w:tcMar>
                    <w:top w:w="0" w:type="dxa"/>
                    <w:left w:w="0" w:type="dxa"/>
                    <w:bottom w:w="0" w:type="dxa"/>
                    <w:right w:w="0" w:type="dxa"/>
                  </w:tcMar>
                  <w:vAlign w:val="center"/>
                </w:tcPr>
                <w:p w14:paraId="75020A69">
                  <w:pPr>
                    <w:pStyle w:val="26"/>
                    <w:keepNext w:val="0"/>
                    <w:keepLines w:val="0"/>
                    <w:suppressLineNumbers w:val="0"/>
                    <w:spacing w:before="0" w:beforeAutospacing="0" w:after="0" w:afterAutospacing="0"/>
                    <w:ind w:left="0" w:right="0"/>
                    <w:rPr>
                      <w:rFonts w:hint="default"/>
                    </w:rPr>
                  </w:pPr>
                  <w:r>
                    <w:rPr>
                      <w:rFonts w:hint="default"/>
                    </w:rPr>
                    <w:t>1.5</w:t>
                  </w:r>
                </w:p>
              </w:tc>
              <w:tc>
                <w:tcPr>
                  <w:tcW w:w="385" w:type="pct"/>
                  <w:tcBorders>
                    <w:tl2br w:val="nil"/>
                    <w:tr2bl w:val="nil"/>
                  </w:tcBorders>
                  <w:shd w:val="clear" w:color="auto" w:fill="auto"/>
                  <w:tcMar>
                    <w:top w:w="0" w:type="dxa"/>
                    <w:left w:w="0" w:type="dxa"/>
                    <w:bottom w:w="0" w:type="dxa"/>
                    <w:right w:w="0" w:type="dxa"/>
                  </w:tcMar>
                  <w:vAlign w:val="center"/>
                </w:tcPr>
                <w:p w14:paraId="497BD367">
                  <w:pPr>
                    <w:pStyle w:val="26"/>
                    <w:keepNext w:val="0"/>
                    <w:keepLines w:val="0"/>
                    <w:suppressLineNumbers w:val="0"/>
                    <w:spacing w:before="0" w:beforeAutospacing="0" w:after="0" w:afterAutospacing="0"/>
                    <w:ind w:left="0" w:right="0"/>
                    <w:rPr>
                      <w:rFonts w:hint="default"/>
                    </w:rPr>
                  </w:pPr>
                  <w:r>
                    <w:rPr>
                      <w:rFonts w:hint="default"/>
                    </w:rPr>
                    <w:t>73.3</w:t>
                  </w:r>
                </w:p>
              </w:tc>
              <w:tc>
                <w:tcPr>
                  <w:tcW w:w="241" w:type="pct"/>
                  <w:tcBorders>
                    <w:tl2br w:val="nil"/>
                    <w:tr2bl w:val="nil"/>
                  </w:tcBorders>
                  <w:shd w:val="clear" w:color="auto" w:fill="auto"/>
                  <w:tcMar>
                    <w:top w:w="0" w:type="dxa"/>
                    <w:left w:w="0" w:type="dxa"/>
                    <w:bottom w:w="0" w:type="dxa"/>
                    <w:right w:w="0" w:type="dxa"/>
                  </w:tcMar>
                  <w:vAlign w:val="center"/>
                </w:tcPr>
                <w:p w14:paraId="308E2C14">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0D12B84D">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3B9C0240">
                  <w:pPr>
                    <w:pStyle w:val="28"/>
                    <w:keepNext w:val="0"/>
                    <w:keepLines w:val="0"/>
                    <w:suppressLineNumbers w:val="0"/>
                    <w:spacing w:before="0" w:beforeAutospacing="0" w:after="0" w:afterAutospacing="0"/>
                    <w:ind w:left="0" w:right="0"/>
                    <w:rPr>
                      <w:rFonts w:hint="default"/>
                      <w:color w:val="auto"/>
                    </w:rPr>
                  </w:pPr>
                  <w:r>
                    <w:rPr>
                      <w:rFonts w:hint="default"/>
                      <w:color w:val="auto"/>
                    </w:rPr>
                    <w:t>47.3</w:t>
                  </w:r>
                </w:p>
              </w:tc>
              <w:tc>
                <w:tcPr>
                  <w:tcW w:w="320" w:type="pct"/>
                  <w:tcBorders>
                    <w:tl2br w:val="nil"/>
                    <w:tr2bl w:val="nil"/>
                  </w:tcBorders>
                  <w:shd w:val="clear" w:color="auto" w:fill="auto"/>
                  <w:tcMar>
                    <w:top w:w="0" w:type="dxa"/>
                    <w:left w:w="0" w:type="dxa"/>
                    <w:bottom w:w="0" w:type="dxa"/>
                    <w:right w:w="0" w:type="dxa"/>
                  </w:tcMar>
                  <w:vAlign w:val="center"/>
                </w:tcPr>
                <w:p w14:paraId="6331BF5E">
                  <w:pPr>
                    <w:pStyle w:val="26"/>
                    <w:keepNext w:val="0"/>
                    <w:keepLines w:val="0"/>
                    <w:suppressLineNumbers w:val="0"/>
                    <w:spacing w:before="0" w:beforeAutospacing="0" w:after="0" w:afterAutospacing="0"/>
                    <w:ind w:left="0" w:right="0"/>
                    <w:rPr>
                      <w:rFonts w:hint="default"/>
                    </w:rPr>
                  </w:pPr>
                  <w:r>
                    <w:rPr>
                      <w:rFonts w:hint="default"/>
                    </w:rPr>
                    <w:t>1</w:t>
                  </w:r>
                </w:p>
              </w:tc>
            </w:tr>
            <w:tr w14:paraId="73C4C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716849B4">
                  <w:pPr>
                    <w:pStyle w:val="26"/>
                    <w:keepNext w:val="0"/>
                    <w:keepLines w:val="0"/>
                    <w:suppressLineNumbers w:val="0"/>
                    <w:spacing w:before="0" w:beforeAutospacing="0" w:after="0" w:afterAutospacing="0"/>
                    <w:ind w:left="0" w:right="0"/>
                    <w:rPr>
                      <w:rFonts w:hint="default"/>
                    </w:rPr>
                  </w:pPr>
                  <w:r>
                    <w:rPr>
                      <w:rFonts w:hint="default"/>
                    </w:rPr>
                    <w:t>6</w:t>
                  </w:r>
                </w:p>
              </w:tc>
              <w:tc>
                <w:tcPr>
                  <w:tcW w:w="450" w:type="pct"/>
                  <w:tcBorders>
                    <w:tl2br w:val="nil"/>
                    <w:tr2bl w:val="nil"/>
                  </w:tcBorders>
                  <w:shd w:val="clear" w:color="auto" w:fill="auto"/>
                  <w:tcMar>
                    <w:top w:w="0" w:type="dxa"/>
                    <w:left w:w="0" w:type="dxa"/>
                    <w:bottom w:w="0" w:type="dxa"/>
                    <w:right w:w="0" w:type="dxa"/>
                  </w:tcMar>
                  <w:vAlign w:val="center"/>
                </w:tcPr>
                <w:p w14:paraId="246ABDF3">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30F09435">
                  <w:pPr>
                    <w:pStyle w:val="26"/>
                    <w:keepNext w:val="0"/>
                    <w:keepLines w:val="0"/>
                    <w:suppressLineNumbers w:val="0"/>
                    <w:spacing w:before="0" w:beforeAutospacing="0" w:after="0" w:afterAutospacing="0"/>
                    <w:ind w:left="0" w:right="0"/>
                    <w:rPr>
                      <w:rFonts w:hint="default"/>
                    </w:rPr>
                  </w:pPr>
                  <w:r>
                    <w:rPr>
                      <w:rFonts w:hint="default"/>
                    </w:rPr>
                    <w:t>刮片机</w:t>
                  </w:r>
                </w:p>
              </w:tc>
              <w:tc>
                <w:tcPr>
                  <w:tcW w:w="476" w:type="pct"/>
                  <w:tcBorders>
                    <w:tl2br w:val="nil"/>
                    <w:tr2bl w:val="nil"/>
                  </w:tcBorders>
                  <w:shd w:val="clear" w:color="auto" w:fill="auto"/>
                  <w:tcMar>
                    <w:top w:w="0" w:type="dxa"/>
                    <w:left w:w="0" w:type="dxa"/>
                    <w:bottom w:w="0" w:type="dxa"/>
                    <w:right w:w="0" w:type="dxa"/>
                  </w:tcMar>
                  <w:vAlign w:val="center"/>
                </w:tcPr>
                <w:p w14:paraId="4C8896C3">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3C4DA23F">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6016BE72">
                  <w:pPr>
                    <w:pStyle w:val="26"/>
                    <w:keepNext w:val="0"/>
                    <w:keepLines w:val="0"/>
                    <w:suppressLineNumbers w:val="0"/>
                    <w:spacing w:before="0" w:beforeAutospacing="0" w:after="0" w:afterAutospacing="0"/>
                    <w:ind w:left="0" w:right="0"/>
                    <w:rPr>
                      <w:rFonts w:hint="default"/>
                    </w:rPr>
                  </w:pPr>
                  <w:r>
                    <w:rPr>
                      <w:rFonts w:hint="default"/>
                    </w:rPr>
                    <w:t>42</w:t>
                  </w:r>
                </w:p>
              </w:tc>
              <w:tc>
                <w:tcPr>
                  <w:tcW w:w="313" w:type="pct"/>
                  <w:tcBorders>
                    <w:tl2br w:val="nil"/>
                    <w:tr2bl w:val="nil"/>
                  </w:tcBorders>
                  <w:shd w:val="clear" w:color="auto" w:fill="auto"/>
                  <w:tcMar>
                    <w:top w:w="0" w:type="dxa"/>
                    <w:left w:w="0" w:type="dxa"/>
                    <w:bottom w:w="0" w:type="dxa"/>
                    <w:right w:w="0" w:type="dxa"/>
                  </w:tcMar>
                  <w:vAlign w:val="center"/>
                </w:tcPr>
                <w:p w14:paraId="0C396B65">
                  <w:pPr>
                    <w:pStyle w:val="26"/>
                    <w:keepNext w:val="0"/>
                    <w:keepLines w:val="0"/>
                    <w:suppressLineNumbers w:val="0"/>
                    <w:spacing w:before="0" w:beforeAutospacing="0" w:after="0" w:afterAutospacing="0"/>
                    <w:ind w:left="0" w:right="0"/>
                    <w:rPr>
                      <w:rFonts w:hint="default"/>
                    </w:rPr>
                  </w:pPr>
                  <w:r>
                    <w:rPr>
                      <w:rFonts w:hint="default"/>
                    </w:rPr>
                    <w:t>110</w:t>
                  </w:r>
                </w:p>
              </w:tc>
              <w:tc>
                <w:tcPr>
                  <w:tcW w:w="248" w:type="pct"/>
                  <w:tcBorders>
                    <w:tl2br w:val="nil"/>
                    <w:tr2bl w:val="nil"/>
                  </w:tcBorders>
                  <w:shd w:val="clear" w:color="auto" w:fill="auto"/>
                  <w:tcMar>
                    <w:top w:w="0" w:type="dxa"/>
                    <w:left w:w="0" w:type="dxa"/>
                    <w:bottom w:w="0" w:type="dxa"/>
                    <w:right w:w="0" w:type="dxa"/>
                  </w:tcMar>
                  <w:vAlign w:val="center"/>
                </w:tcPr>
                <w:p w14:paraId="04C51451">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2BA4559D">
                  <w:pPr>
                    <w:pStyle w:val="26"/>
                    <w:keepNext w:val="0"/>
                    <w:keepLines w:val="0"/>
                    <w:suppressLineNumbers w:val="0"/>
                    <w:spacing w:before="0" w:beforeAutospacing="0" w:after="0" w:afterAutospacing="0"/>
                    <w:ind w:left="0" w:right="0"/>
                    <w:rPr>
                      <w:rFonts w:hint="default"/>
                    </w:rPr>
                  </w:pPr>
                  <w:r>
                    <w:rPr>
                      <w:rFonts w:hint="default"/>
                    </w:rPr>
                    <w:t>1.5</w:t>
                  </w:r>
                </w:p>
              </w:tc>
              <w:tc>
                <w:tcPr>
                  <w:tcW w:w="385" w:type="pct"/>
                  <w:tcBorders>
                    <w:tl2br w:val="nil"/>
                    <w:tr2bl w:val="nil"/>
                  </w:tcBorders>
                  <w:shd w:val="clear" w:color="auto" w:fill="auto"/>
                  <w:tcMar>
                    <w:top w:w="0" w:type="dxa"/>
                    <w:left w:w="0" w:type="dxa"/>
                    <w:bottom w:w="0" w:type="dxa"/>
                    <w:right w:w="0" w:type="dxa"/>
                  </w:tcMar>
                  <w:vAlign w:val="center"/>
                </w:tcPr>
                <w:p w14:paraId="20BD8A49">
                  <w:pPr>
                    <w:pStyle w:val="26"/>
                    <w:keepNext w:val="0"/>
                    <w:keepLines w:val="0"/>
                    <w:suppressLineNumbers w:val="0"/>
                    <w:spacing w:before="0" w:beforeAutospacing="0" w:after="0" w:afterAutospacing="0"/>
                    <w:ind w:left="0" w:right="0"/>
                    <w:rPr>
                      <w:rFonts w:hint="default"/>
                    </w:rPr>
                  </w:pPr>
                  <w:r>
                    <w:rPr>
                      <w:rFonts w:hint="default"/>
                    </w:rPr>
                    <w:t>73.3</w:t>
                  </w:r>
                </w:p>
              </w:tc>
              <w:tc>
                <w:tcPr>
                  <w:tcW w:w="241" w:type="pct"/>
                  <w:tcBorders>
                    <w:tl2br w:val="nil"/>
                    <w:tr2bl w:val="nil"/>
                  </w:tcBorders>
                  <w:shd w:val="clear" w:color="auto" w:fill="auto"/>
                  <w:tcMar>
                    <w:top w:w="0" w:type="dxa"/>
                    <w:left w:w="0" w:type="dxa"/>
                    <w:bottom w:w="0" w:type="dxa"/>
                    <w:right w:w="0" w:type="dxa"/>
                  </w:tcMar>
                  <w:vAlign w:val="center"/>
                </w:tcPr>
                <w:p w14:paraId="114A6FBF">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2062BB53">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781CD7D3">
                  <w:pPr>
                    <w:pStyle w:val="28"/>
                    <w:keepNext w:val="0"/>
                    <w:keepLines w:val="0"/>
                    <w:suppressLineNumbers w:val="0"/>
                    <w:spacing w:before="0" w:beforeAutospacing="0" w:after="0" w:afterAutospacing="0"/>
                    <w:ind w:left="0" w:right="0"/>
                    <w:rPr>
                      <w:rFonts w:hint="default"/>
                      <w:color w:val="auto"/>
                    </w:rPr>
                  </w:pPr>
                  <w:r>
                    <w:rPr>
                      <w:rFonts w:hint="default"/>
                      <w:color w:val="auto"/>
                    </w:rPr>
                    <w:t>47.3</w:t>
                  </w:r>
                </w:p>
              </w:tc>
              <w:tc>
                <w:tcPr>
                  <w:tcW w:w="320" w:type="pct"/>
                  <w:tcBorders>
                    <w:tl2br w:val="nil"/>
                    <w:tr2bl w:val="nil"/>
                  </w:tcBorders>
                  <w:shd w:val="clear" w:color="auto" w:fill="auto"/>
                  <w:tcMar>
                    <w:top w:w="0" w:type="dxa"/>
                    <w:left w:w="0" w:type="dxa"/>
                    <w:bottom w:w="0" w:type="dxa"/>
                    <w:right w:w="0" w:type="dxa"/>
                  </w:tcMar>
                  <w:vAlign w:val="center"/>
                </w:tcPr>
                <w:p w14:paraId="76A6AEB0">
                  <w:pPr>
                    <w:pStyle w:val="26"/>
                    <w:keepNext w:val="0"/>
                    <w:keepLines w:val="0"/>
                    <w:suppressLineNumbers w:val="0"/>
                    <w:spacing w:before="0" w:beforeAutospacing="0" w:after="0" w:afterAutospacing="0"/>
                    <w:ind w:left="0" w:right="0"/>
                    <w:rPr>
                      <w:rFonts w:hint="default"/>
                    </w:rPr>
                  </w:pPr>
                  <w:r>
                    <w:rPr>
                      <w:rFonts w:hint="default"/>
                    </w:rPr>
                    <w:t>1</w:t>
                  </w:r>
                </w:p>
              </w:tc>
            </w:tr>
            <w:tr w14:paraId="23E6B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75265DC5">
                  <w:pPr>
                    <w:pStyle w:val="26"/>
                    <w:keepNext w:val="0"/>
                    <w:keepLines w:val="0"/>
                    <w:suppressLineNumbers w:val="0"/>
                    <w:spacing w:before="0" w:beforeAutospacing="0" w:after="0" w:afterAutospacing="0"/>
                    <w:ind w:left="0" w:right="0"/>
                    <w:rPr>
                      <w:rFonts w:hint="default"/>
                    </w:rPr>
                  </w:pPr>
                  <w:r>
                    <w:rPr>
                      <w:rFonts w:hint="default"/>
                    </w:rPr>
                    <w:t>7</w:t>
                  </w:r>
                </w:p>
              </w:tc>
              <w:tc>
                <w:tcPr>
                  <w:tcW w:w="450" w:type="pct"/>
                  <w:tcBorders>
                    <w:tl2br w:val="nil"/>
                    <w:tr2bl w:val="nil"/>
                  </w:tcBorders>
                  <w:shd w:val="clear" w:color="auto" w:fill="auto"/>
                  <w:tcMar>
                    <w:top w:w="0" w:type="dxa"/>
                    <w:left w:w="0" w:type="dxa"/>
                    <w:bottom w:w="0" w:type="dxa"/>
                    <w:right w:w="0" w:type="dxa"/>
                  </w:tcMar>
                  <w:vAlign w:val="center"/>
                </w:tcPr>
                <w:p w14:paraId="4B0CA9B9">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24134634">
                  <w:pPr>
                    <w:pStyle w:val="26"/>
                    <w:keepNext w:val="0"/>
                    <w:keepLines w:val="0"/>
                    <w:suppressLineNumbers w:val="0"/>
                    <w:spacing w:before="0" w:beforeAutospacing="0" w:after="0" w:afterAutospacing="0"/>
                    <w:ind w:left="0" w:right="0"/>
                    <w:rPr>
                      <w:rFonts w:hint="default"/>
                    </w:rPr>
                  </w:pPr>
                  <w:r>
                    <w:rPr>
                      <w:rFonts w:hint="default"/>
                    </w:rPr>
                    <w:t>粉碎机</w:t>
                  </w:r>
                </w:p>
              </w:tc>
              <w:tc>
                <w:tcPr>
                  <w:tcW w:w="476" w:type="pct"/>
                  <w:tcBorders>
                    <w:tl2br w:val="nil"/>
                    <w:tr2bl w:val="nil"/>
                  </w:tcBorders>
                  <w:shd w:val="clear" w:color="auto" w:fill="auto"/>
                  <w:tcMar>
                    <w:top w:w="0" w:type="dxa"/>
                    <w:left w:w="0" w:type="dxa"/>
                    <w:bottom w:w="0" w:type="dxa"/>
                    <w:right w:w="0" w:type="dxa"/>
                  </w:tcMar>
                  <w:vAlign w:val="center"/>
                </w:tcPr>
                <w:p w14:paraId="522FE664">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13523AAD">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07B58FF1">
                  <w:pPr>
                    <w:pStyle w:val="26"/>
                    <w:keepNext w:val="0"/>
                    <w:keepLines w:val="0"/>
                    <w:suppressLineNumbers w:val="0"/>
                    <w:spacing w:before="0" w:beforeAutospacing="0" w:after="0" w:afterAutospacing="0"/>
                    <w:ind w:left="0" w:right="0"/>
                    <w:rPr>
                      <w:rFonts w:hint="default"/>
                    </w:rPr>
                  </w:pPr>
                  <w:r>
                    <w:rPr>
                      <w:rFonts w:hint="default"/>
                    </w:rPr>
                    <w:t>25</w:t>
                  </w:r>
                </w:p>
              </w:tc>
              <w:tc>
                <w:tcPr>
                  <w:tcW w:w="313" w:type="pct"/>
                  <w:tcBorders>
                    <w:tl2br w:val="nil"/>
                    <w:tr2bl w:val="nil"/>
                  </w:tcBorders>
                  <w:shd w:val="clear" w:color="auto" w:fill="auto"/>
                  <w:tcMar>
                    <w:top w:w="0" w:type="dxa"/>
                    <w:left w:w="0" w:type="dxa"/>
                    <w:bottom w:w="0" w:type="dxa"/>
                    <w:right w:w="0" w:type="dxa"/>
                  </w:tcMar>
                  <w:vAlign w:val="center"/>
                </w:tcPr>
                <w:p w14:paraId="71650067">
                  <w:pPr>
                    <w:pStyle w:val="26"/>
                    <w:keepNext w:val="0"/>
                    <w:keepLines w:val="0"/>
                    <w:suppressLineNumbers w:val="0"/>
                    <w:spacing w:before="0" w:beforeAutospacing="0" w:after="0" w:afterAutospacing="0"/>
                    <w:ind w:left="0" w:right="0"/>
                    <w:rPr>
                      <w:rFonts w:hint="default"/>
                    </w:rPr>
                  </w:pPr>
                  <w:r>
                    <w:rPr>
                      <w:rFonts w:hint="default"/>
                    </w:rPr>
                    <w:t>108</w:t>
                  </w:r>
                </w:p>
              </w:tc>
              <w:tc>
                <w:tcPr>
                  <w:tcW w:w="248" w:type="pct"/>
                  <w:tcBorders>
                    <w:tl2br w:val="nil"/>
                    <w:tr2bl w:val="nil"/>
                  </w:tcBorders>
                  <w:shd w:val="clear" w:color="auto" w:fill="auto"/>
                  <w:tcMar>
                    <w:top w:w="0" w:type="dxa"/>
                    <w:left w:w="0" w:type="dxa"/>
                    <w:bottom w:w="0" w:type="dxa"/>
                    <w:right w:w="0" w:type="dxa"/>
                  </w:tcMar>
                  <w:vAlign w:val="center"/>
                </w:tcPr>
                <w:p w14:paraId="7F13195E">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46AA135C">
                  <w:pPr>
                    <w:pStyle w:val="26"/>
                    <w:keepNext w:val="0"/>
                    <w:keepLines w:val="0"/>
                    <w:suppressLineNumbers w:val="0"/>
                    <w:spacing w:before="0" w:beforeAutospacing="0" w:after="0" w:afterAutospacing="0"/>
                    <w:ind w:left="0" w:right="0"/>
                    <w:rPr>
                      <w:rFonts w:hint="default"/>
                    </w:rPr>
                  </w:pPr>
                  <w:r>
                    <w:rPr>
                      <w:rFonts w:hint="default"/>
                    </w:rPr>
                    <w:t>2</w:t>
                  </w:r>
                </w:p>
              </w:tc>
              <w:tc>
                <w:tcPr>
                  <w:tcW w:w="385" w:type="pct"/>
                  <w:tcBorders>
                    <w:tl2br w:val="nil"/>
                    <w:tr2bl w:val="nil"/>
                  </w:tcBorders>
                  <w:shd w:val="clear" w:color="auto" w:fill="auto"/>
                  <w:tcMar>
                    <w:top w:w="0" w:type="dxa"/>
                    <w:left w:w="0" w:type="dxa"/>
                    <w:bottom w:w="0" w:type="dxa"/>
                    <w:right w:w="0" w:type="dxa"/>
                  </w:tcMar>
                  <w:vAlign w:val="center"/>
                </w:tcPr>
                <w:p w14:paraId="0958E077">
                  <w:pPr>
                    <w:pStyle w:val="26"/>
                    <w:keepNext w:val="0"/>
                    <w:keepLines w:val="0"/>
                    <w:suppressLineNumbers w:val="0"/>
                    <w:spacing w:before="0" w:beforeAutospacing="0" w:after="0" w:afterAutospacing="0"/>
                    <w:ind w:left="0" w:right="0"/>
                    <w:rPr>
                      <w:rFonts w:hint="default"/>
                    </w:rPr>
                  </w:pPr>
                  <w:r>
                    <w:rPr>
                      <w:rFonts w:hint="default"/>
                    </w:rPr>
                    <w:t>72.1</w:t>
                  </w:r>
                </w:p>
              </w:tc>
              <w:tc>
                <w:tcPr>
                  <w:tcW w:w="241" w:type="pct"/>
                  <w:tcBorders>
                    <w:tl2br w:val="nil"/>
                    <w:tr2bl w:val="nil"/>
                  </w:tcBorders>
                  <w:shd w:val="clear" w:color="auto" w:fill="auto"/>
                  <w:tcMar>
                    <w:top w:w="0" w:type="dxa"/>
                    <w:left w:w="0" w:type="dxa"/>
                    <w:bottom w:w="0" w:type="dxa"/>
                    <w:right w:w="0" w:type="dxa"/>
                  </w:tcMar>
                  <w:vAlign w:val="center"/>
                </w:tcPr>
                <w:p w14:paraId="575AC220">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378FA413">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7724D5E0">
                  <w:pPr>
                    <w:pStyle w:val="28"/>
                    <w:keepNext w:val="0"/>
                    <w:keepLines w:val="0"/>
                    <w:suppressLineNumbers w:val="0"/>
                    <w:spacing w:before="0" w:beforeAutospacing="0" w:after="0" w:afterAutospacing="0"/>
                    <w:ind w:left="0" w:right="0"/>
                    <w:rPr>
                      <w:rFonts w:hint="default"/>
                      <w:color w:val="auto"/>
                    </w:rPr>
                  </w:pPr>
                  <w:r>
                    <w:rPr>
                      <w:rFonts w:hint="default"/>
                      <w:color w:val="auto"/>
                    </w:rPr>
                    <w:t>46.1</w:t>
                  </w:r>
                </w:p>
              </w:tc>
              <w:tc>
                <w:tcPr>
                  <w:tcW w:w="320" w:type="pct"/>
                  <w:tcBorders>
                    <w:tl2br w:val="nil"/>
                    <w:tr2bl w:val="nil"/>
                  </w:tcBorders>
                  <w:shd w:val="clear" w:color="auto" w:fill="auto"/>
                  <w:tcMar>
                    <w:top w:w="0" w:type="dxa"/>
                    <w:left w:w="0" w:type="dxa"/>
                    <w:bottom w:w="0" w:type="dxa"/>
                    <w:right w:w="0" w:type="dxa"/>
                  </w:tcMar>
                  <w:vAlign w:val="center"/>
                </w:tcPr>
                <w:p w14:paraId="7132D7FF">
                  <w:pPr>
                    <w:pStyle w:val="26"/>
                    <w:keepNext w:val="0"/>
                    <w:keepLines w:val="0"/>
                    <w:suppressLineNumbers w:val="0"/>
                    <w:spacing w:before="0" w:beforeAutospacing="0" w:after="0" w:afterAutospacing="0"/>
                    <w:ind w:left="0" w:right="0"/>
                    <w:rPr>
                      <w:rFonts w:hint="default"/>
                    </w:rPr>
                  </w:pPr>
                  <w:r>
                    <w:rPr>
                      <w:rFonts w:hint="default"/>
                    </w:rPr>
                    <w:t>1</w:t>
                  </w:r>
                </w:p>
              </w:tc>
            </w:tr>
            <w:tr w14:paraId="6DB01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5D363350">
                  <w:pPr>
                    <w:pStyle w:val="26"/>
                    <w:keepNext w:val="0"/>
                    <w:keepLines w:val="0"/>
                    <w:suppressLineNumbers w:val="0"/>
                    <w:spacing w:before="0" w:beforeAutospacing="0" w:after="0" w:afterAutospacing="0"/>
                    <w:ind w:left="0" w:right="0"/>
                    <w:rPr>
                      <w:rFonts w:hint="default"/>
                    </w:rPr>
                  </w:pPr>
                  <w:r>
                    <w:rPr>
                      <w:rFonts w:hint="default"/>
                    </w:rPr>
                    <w:t>8</w:t>
                  </w:r>
                </w:p>
              </w:tc>
              <w:tc>
                <w:tcPr>
                  <w:tcW w:w="450" w:type="pct"/>
                  <w:tcBorders>
                    <w:tl2br w:val="nil"/>
                    <w:tr2bl w:val="nil"/>
                  </w:tcBorders>
                  <w:shd w:val="clear" w:color="auto" w:fill="auto"/>
                  <w:tcMar>
                    <w:top w:w="0" w:type="dxa"/>
                    <w:left w:w="0" w:type="dxa"/>
                    <w:bottom w:w="0" w:type="dxa"/>
                    <w:right w:w="0" w:type="dxa"/>
                  </w:tcMar>
                  <w:vAlign w:val="center"/>
                </w:tcPr>
                <w:p w14:paraId="038B1C91">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1AA93E52">
                  <w:pPr>
                    <w:pStyle w:val="26"/>
                    <w:keepNext w:val="0"/>
                    <w:keepLines w:val="0"/>
                    <w:suppressLineNumbers w:val="0"/>
                    <w:spacing w:before="0" w:beforeAutospacing="0" w:after="0" w:afterAutospacing="0"/>
                    <w:ind w:left="0" w:right="0"/>
                    <w:rPr>
                      <w:rFonts w:hint="default"/>
                    </w:rPr>
                  </w:pPr>
                  <w:r>
                    <w:rPr>
                      <w:rFonts w:hint="default"/>
                    </w:rPr>
                    <w:t>湿法造粒机</w:t>
                  </w:r>
                </w:p>
              </w:tc>
              <w:tc>
                <w:tcPr>
                  <w:tcW w:w="476" w:type="pct"/>
                  <w:tcBorders>
                    <w:tl2br w:val="nil"/>
                    <w:tr2bl w:val="nil"/>
                  </w:tcBorders>
                  <w:shd w:val="clear" w:color="auto" w:fill="auto"/>
                  <w:tcMar>
                    <w:top w:w="0" w:type="dxa"/>
                    <w:left w:w="0" w:type="dxa"/>
                    <w:bottom w:w="0" w:type="dxa"/>
                    <w:right w:w="0" w:type="dxa"/>
                  </w:tcMar>
                  <w:vAlign w:val="center"/>
                </w:tcPr>
                <w:p w14:paraId="05408556">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0620FC1D">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275DE83F">
                  <w:pPr>
                    <w:pStyle w:val="26"/>
                    <w:keepNext w:val="0"/>
                    <w:keepLines w:val="0"/>
                    <w:suppressLineNumbers w:val="0"/>
                    <w:spacing w:before="0" w:beforeAutospacing="0" w:after="0" w:afterAutospacing="0"/>
                    <w:ind w:left="0" w:right="0"/>
                    <w:rPr>
                      <w:rFonts w:hint="default"/>
                    </w:rPr>
                  </w:pPr>
                  <w:r>
                    <w:rPr>
                      <w:rFonts w:hint="default"/>
                    </w:rPr>
                    <w:t>42</w:t>
                  </w:r>
                </w:p>
              </w:tc>
              <w:tc>
                <w:tcPr>
                  <w:tcW w:w="313" w:type="pct"/>
                  <w:tcBorders>
                    <w:tl2br w:val="nil"/>
                    <w:tr2bl w:val="nil"/>
                  </w:tcBorders>
                  <w:shd w:val="clear" w:color="auto" w:fill="auto"/>
                  <w:tcMar>
                    <w:top w:w="0" w:type="dxa"/>
                    <w:left w:w="0" w:type="dxa"/>
                    <w:bottom w:w="0" w:type="dxa"/>
                    <w:right w:w="0" w:type="dxa"/>
                  </w:tcMar>
                  <w:vAlign w:val="center"/>
                </w:tcPr>
                <w:p w14:paraId="06DEECA6">
                  <w:pPr>
                    <w:pStyle w:val="26"/>
                    <w:keepNext w:val="0"/>
                    <w:keepLines w:val="0"/>
                    <w:suppressLineNumbers w:val="0"/>
                    <w:spacing w:before="0" w:beforeAutospacing="0" w:after="0" w:afterAutospacing="0"/>
                    <w:ind w:left="0" w:right="0"/>
                    <w:rPr>
                      <w:rFonts w:hint="default"/>
                    </w:rPr>
                  </w:pPr>
                  <w:r>
                    <w:rPr>
                      <w:rFonts w:hint="default"/>
                    </w:rPr>
                    <w:t>110</w:t>
                  </w:r>
                </w:p>
              </w:tc>
              <w:tc>
                <w:tcPr>
                  <w:tcW w:w="248" w:type="pct"/>
                  <w:tcBorders>
                    <w:tl2br w:val="nil"/>
                    <w:tr2bl w:val="nil"/>
                  </w:tcBorders>
                  <w:shd w:val="clear" w:color="auto" w:fill="auto"/>
                  <w:tcMar>
                    <w:top w:w="0" w:type="dxa"/>
                    <w:left w:w="0" w:type="dxa"/>
                    <w:bottom w:w="0" w:type="dxa"/>
                    <w:right w:w="0" w:type="dxa"/>
                  </w:tcMar>
                  <w:vAlign w:val="center"/>
                </w:tcPr>
                <w:p w14:paraId="5DBF4A3B">
                  <w:pPr>
                    <w:pStyle w:val="26"/>
                    <w:keepNext w:val="0"/>
                    <w:keepLines w:val="0"/>
                    <w:suppressLineNumbers w:val="0"/>
                    <w:spacing w:before="0" w:beforeAutospacing="0" w:after="0" w:afterAutospacing="0"/>
                    <w:ind w:left="0" w:right="0"/>
                    <w:rPr>
                      <w:rFonts w:hint="default"/>
                    </w:rPr>
                  </w:pPr>
                  <w:r>
                    <w:rPr>
                      <w:rFonts w:hint="default"/>
                    </w:rPr>
                    <w:t>21</w:t>
                  </w:r>
                </w:p>
              </w:tc>
              <w:tc>
                <w:tcPr>
                  <w:tcW w:w="347" w:type="pct"/>
                  <w:tcBorders>
                    <w:tl2br w:val="nil"/>
                    <w:tr2bl w:val="nil"/>
                  </w:tcBorders>
                  <w:shd w:val="clear" w:color="auto" w:fill="auto"/>
                  <w:tcMar>
                    <w:top w:w="0" w:type="dxa"/>
                    <w:left w:w="0" w:type="dxa"/>
                    <w:bottom w:w="0" w:type="dxa"/>
                    <w:right w:w="0" w:type="dxa"/>
                  </w:tcMar>
                  <w:vAlign w:val="center"/>
                </w:tcPr>
                <w:p w14:paraId="74C9CAAF">
                  <w:pPr>
                    <w:pStyle w:val="26"/>
                    <w:keepNext w:val="0"/>
                    <w:keepLines w:val="0"/>
                    <w:suppressLineNumbers w:val="0"/>
                    <w:spacing w:before="0" w:beforeAutospacing="0" w:after="0" w:afterAutospacing="0"/>
                    <w:ind w:left="0" w:right="0"/>
                    <w:rPr>
                      <w:rFonts w:hint="default"/>
                    </w:rPr>
                  </w:pPr>
                  <w:r>
                    <w:rPr>
                      <w:rFonts w:hint="default"/>
                    </w:rPr>
                    <w:t>1.5</w:t>
                  </w:r>
                </w:p>
              </w:tc>
              <w:tc>
                <w:tcPr>
                  <w:tcW w:w="385" w:type="pct"/>
                  <w:tcBorders>
                    <w:tl2br w:val="nil"/>
                    <w:tr2bl w:val="nil"/>
                  </w:tcBorders>
                  <w:shd w:val="clear" w:color="auto" w:fill="auto"/>
                  <w:tcMar>
                    <w:top w:w="0" w:type="dxa"/>
                    <w:left w:w="0" w:type="dxa"/>
                    <w:bottom w:w="0" w:type="dxa"/>
                    <w:right w:w="0" w:type="dxa"/>
                  </w:tcMar>
                  <w:vAlign w:val="center"/>
                </w:tcPr>
                <w:p w14:paraId="25E2B998">
                  <w:pPr>
                    <w:pStyle w:val="26"/>
                    <w:keepNext w:val="0"/>
                    <w:keepLines w:val="0"/>
                    <w:suppressLineNumbers w:val="0"/>
                    <w:spacing w:before="0" w:beforeAutospacing="0" w:after="0" w:afterAutospacing="0"/>
                    <w:ind w:left="0" w:right="0"/>
                    <w:rPr>
                      <w:rFonts w:hint="default"/>
                    </w:rPr>
                  </w:pPr>
                  <w:r>
                    <w:rPr>
                      <w:rFonts w:hint="default"/>
                    </w:rPr>
                    <w:t>73.3</w:t>
                  </w:r>
                </w:p>
              </w:tc>
              <w:tc>
                <w:tcPr>
                  <w:tcW w:w="241" w:type="pct"/>
                  <w:tcBorders>
                    <w:tl2br w:val="nil"/>
                    <w:tr2bl w:val="nil"/>
                  </w:tcBorders>
                  <w:shd w:val="clear" w:color="auto" w:fill="auto"/>
                  <w:tcMar>
                    <w:top w:w="0" w:type="dxa"/>
                    <w:left w:w="0" w:type="dxa"/>
                    <w:bottom w:w="0" w:type="dxa"/>
                    <w:right w:w="0" w:type="dxa"/>
                  </w:tcMar>
                  <w:vAlign w:val="center"/>
                </w:tcPr>
                <w:p w14:paraId="70FD325D">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7837F0F2">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11FB684A">
                  <w:pPr>
                    <w:pStyle w:val="28"/>
                    <w:keepNext w:val="0"/>
                    <w:keepLines w:val="0"/>
                    <w:suppressLineNumbers w:val="0"/>
                    <w:spacing w:before="0" w:beforeAutospacing="0" w:after="0" w:afterAutospacing="0"/>
                    <w:ind w:left="0" w:right="0"/>
                    <w:rPr>
                      <w:rFonts w:hint="default"/>
                      <w:color w:val="auto"/>
                    </w:rPr>
                  </w:pPr>
                  <w:r>
                    <w:rPr>
                      <w:rFonts w:hint="default"/>
                      <w:color w:val="auto"/>
                    </w:rPr>
                    <w:t>47.3</w:t>
                  </w:r>
                </w:p>
              </w:tc>
              <w:tc>
                <w:tcPr>
                  <w:tcW w:w="320" w:type="pct"/>
                  <w:tcBorders>
                    <w:tl2br w:val="nil"/>
                    <w:tr2bl w:val="nil"/>
                  </w:tcBorders>
                  <w:shd w:val="clear" w:color="auto" w:fill="auto"/>
                  <w:tcMar>
                    <w:top w:w="0" w:type="dxa"/>
                    <w:left w:w="0" w:type="dxa"/>
                    <w:bottom w:w="0" w:type="dxa"/>
                    <w:right w:w="0" w:type="dxa"/>
                  </w:tcMar>
                  <w:vAlign w:val="center"/>
                </w:tcPr>
                <w:p w14:paraId="3F4DADD6">
                  <w:pPr>
                    <w:pStyle w:val="26"/>
                    <w:keepNext w:val="0"/>
                    <w:keepLines w:val="0"/>
                    <w:suppressLineNumbers w:val="0"/>
                    <w:spacing w:before="0" w:beforeAutospacing="0" w:after="0" w:afterAutospacing="0"/>
                    <w:ind w:left="0" w:right="0"/>
                    <w:rPr>
                      <w:rFonts w:hint="default"/>
                    </w:rPr>
                  </w:pPr>
                  <w:r>
                    <w:rPr>
                      <w:rFonts w:hint="default"/>
                    </w:rPr>
                    <w:t>1</w:t>
                  </w:r>
                </w:p>
              </w:tc>
            </w:tr>
            <w:tr w14:paraId="5E496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4031881B">
                  <w:pPr>
                    <w:pStyle w:val="26"/>
                    <w:keepNext w:val="0"/>
                    <w:keepLines w:val="0"/>
                    <w:suppressLineNumbers w:val="0"/>
                    <w:spacing w:before="0" w:beforeAutospacing="0" w:after="0" w:afterAutospacing="0"/>
                    <w:ind w:left="0" w:right="0"/>
                    <w:rPr>
                      <w:rFonts w:hint="default"/>
                    </w:rPr>
                  </w:pPr>
                  <w:r>
                    <w:rPr>
                      <w:rFonts w:hint="default"/>
                    </w:rPr>
                    <w:t>9</w:t>
                  </w:r>
                </w:p>
              </w:tc>
              <w:tc>
                <w:tcPr>
                  <w:tcW w:w="450" w:type="pct"/>
                  <w:tcBorders>
                    <w:tl2br w:val="nil"/>
                    <w:tr2bl w:val="nil"/>
                  </w:tcBorders>
                  <w:shd w:val="clear" w:color="auto" w:fill="auto"/>
                  <w:tcMar>
                    <w:top w:w="0" w:type="dxa"/>
                    <w:left w:w="0" w:type="dxa"/>
                    <w:bottom w:w="0" w:type="dxa"/>
                    <w:right w:w="0" w:type="dxa"/>
                  </w:tcMar>
                  <w:vAlign w:val="center"/>
                </w:tcPr>
                <w:p w14:paraId="6D9F3533">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684" w:type="pct"/>
                  <w:tcBorders>
                    <w:tl2br w:val="nil"/>
                    <w:tr2bl w:val="nil"/>
                  </w:tcBorders>
                  <w:shd w:val="clear" w:color="auto" w:fill="auto"/>
                  <w:tcMar>
                    <w:top w:w="0" w:type="dxa"/>
                    <w:left w:w="0" w:type="dxa"/>
                    <w:bottom w:w="0" w:type="dxa"/>
                    <w:right w:w="0" w:type="dxa"/>
                  </w:tcMar>
                  <w:vAlign w:val="center"/>
                </w:tcPr>
                <w:p w14:paraId="268C4700">
                  <w:pPr>
                    <w:pStyle w:val="26"/>
                    <w:keepNext w:val="0"/>
                    <w:keepLines w:val="0"/>
                    <w:suppressLineNumbers w:val="0"/>
                    <w:spacing w:before="0" w:beforeAutospacing="0" w:after="0" w:afterAutospacing="0"/>
                    <w:ind w:left="0" w:right="0"/>
                    <w:rPr>
                      <w:rFonts w:hint="default"/>
                    </w:rPr>
                  </w:pPr>
                  <w:r>
                    <w:rPr>
                      <w:rFonts w:hint="default"/>
                    </w:rPr>
                    <w:t>筛分机</w:t>
                  </w:r>
                </w:p>
              </w:tc>
              <w:tc>
                <w:tcPr>
                  <w:tcW w:w="476" w:type="pct"/>
                  <w:tcBorders>
                    <w:tl2br w:val="nil"/>
                    <w:tr2bl w:val="nil"/>
                  </w:tcBorders>
                  <w:shd w:val="clear" w:color="auto" w:fill="auto"/>
                  <w:tcMar>
                    <w:top w:w="0" w:type="dxa"/>
                    <w:left w:w="0" w:type="dxa"/>
                    <w:bottom w:w="0" w:type="dxa"/>
                    <w:right w:w="0" w:type="dxa"/>
                  </w:tcMar>
                  <w:vAlign w:val="center"/>
                </w:tcPr>
                <w:p w14:paraId="68861683">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6F52B2A7">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0E495C9B">
                  <w:pPr>
                    <w:pStyle w:val="26"/>
                    <w:keepNext w:val="0"/>
                    <w:keepLines w:val="0"/>
                    <w:suppressLineNumbers w:val="0"/>
                    <w:spacing w:before="0" w:beforeAutospacing="0" w:after="0" w:afterAutospacing="0"/>
                    <w:ind w:left="0" w:right="0"/>
                    <w:rPr>
                      <w:rFonts w:hint="default"/>
                    </w:rPr>
                  </w:pPr>
                  <w:r>
                    <w:rPr>
                      <w:rFonts w:hint="default"/>
                    </w:rPr>
                    <w:t>24</w:t>
                  </w:r>
                </w:p>
              </w:tc>
              <w:tc>
                <w:tcPr>
                  <w:tcW w:w="313" w:type="pct"/>
                  <w:tcBorders>
                    <w:tl2br w:val="nil"/>
                    <w:tr2bl w:val="nil"/>
                  </w:tcBorders>
                  <w:shd w:val="clear" w:color="auto" w:fill="auto"/>
                  <w:tcMar>
                    <w:top w:w="0" w:type="dxa"/>
                    <w:left w:w="0" w:type="dxa"/>
                    <w:bottom w:w="0" w:type="dxa"/>
                    <w:right w:w="0" w:type="dxa"/>
                  </w:tcMar>
                  <w:vAlign w:val="center"/>
                </w:tcPr>
                <w:p w14:paraId="734AF66B">
                  <w:pPr>
                    <w:pStyle w:val="26"/>
                    <w:keepNext w:val="0"/>
                    <w:keepLines w:val="0"/>
                    <w:suppressLineNumbers w:val="0"/>
                    <w:spacing w:before="0" w:beforeAutospacing="0" w:after="0" w:afterAutospacing="0"/>
                    <w:ind w:left="0" w:right="0"/>
                    <w:rPr>
                      <w:rFonts w:hint="default"/>
                    </w:rPr>
                  </w:pPr>
                  <w:r>
                    <w:rPr>
                      <w:rFonts w:hint="default"/>
                    </w:rPr>
                    <w:t>115</w:t>
                  </w:r>
                </w:p>
              </w:tc>
              <w:tc>
                <w:tcPr>
                  <w:tcW w:w="248" w:type="pct"/>
                  <w:tcBorders>
                    <w:tl2br w:val="nil"/>
                    <w:tr2bl w:val="nil"/>
                  </w:tcBorders>
                  <w:shd w:val="clear" w:color="auto" w:fill="auto"/>
                  <w:tcMar>
                    <w:top w:w="0" w:type="dxa"/>
                    <w:left w:w="0" w:type="dxa"/>
                    <w:bottom w:w="0" w:type="dxa"/>
                    <w:right w:w="0" w:type="dxa"/>
                  </w:tcMar>
                  <w:vAlign w:val="center"/>
                </w:tcPr>
                <w:p w14:paraId="2B7BAB93">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4752EB23">
                  <w:pPr>
                    <w:pStyle w:val="26"/>
                    <w:keepNext w:val="0"/>
                    <w:keepLines w:val="0"/>
                    <w:suppressLineNumbers w:val="0"/>
                    <w:spacing w:before="0" w:beforeAutospacing="0" w:after="0" w:afterAutospacing="0"/>
                    <w:ind w:left="0" w:right="0"/>
                    <w:rPr>
                      <w:rFonts w:hint="default"/>
                    </w:rPr>
                  </w:pPr>
                  <w:r>
                    <w:rPr>
                      <w:rFonts w:hint="default"/>
                    </w:rPr>
                    <w:t>1.5</w:t>
                  </w:r>
                </w:p>
              </w:tc>
              <w:tc>
                <w:tcPr>
                  <w:tcW w:w="385" w:type="pct"/>
                  <w:tcBorders>
                    <w:tl2br w:val="nil"/>
                    <w:tr2bl w:val="nil"/>
                  </w:tcBorders>
                  <w:shd w:val="clear" w:color="auto" w:fill="auto"/>
                  <w:tcMar>
                    <w:top w:w="0" w:type="dxa"/>
                    <w:left w:w="0" w:type="dxa"/>
                    <w:bottom w:w="0" w:type="dxa"/>
                    <w:right w:w="0" w:type="dxa"/>
                  </w:tcMar>
                  <w:vAlign w:val="center"/>
                </w:tcPr>
                <w:p w14:paraId="36DFC123">
                  <w:pPr>
                    <w:pStyle w:val="26"/>
                    <w:keepNext w:val="0"/>
                    <w:keepLines w:val="0"/>
                    <w:suppressLineNumbers w:val="0"/>
                    <w:spacing w:before="0" w:beforeAutospacing="0" w:after="0" w:afterAutospacing="0"/>
                    <w:ind w:left="0" w:right="0"/>
                    <w:rPr>
                      <w:rFonts w:hint="default"/>
                    </w:rPr>
                  </w:pPr>
                  <w:r>
                    <w:rPr>
                      <w:rFonts w:hint="default"/>
                    </w:rPr>
                    <w:t>73.3</w:t>
                  </w:r>
                </w:p>
              </w:tc>
              <w:tc>
                <w:tcPr>
                  <w:tcW w:w="241" w:type="pct"/>
                  <w:tcBorders>
                    <w:tl2br w:val="nil"/>
                    <w:tr2bl w:val="nil"/>
                  </w:tcBorders>
                  <w:shd w:val="clear" w:color="auto" w:fill="auto"/>
                  <w:tcMar>
                    <w:top w:w="0" w:type="dxa"/>
                    <w:left w:w="0" w:type="dxa"/>
                    <w:bottom w:w="0" w:type="dxa"/>
                    <w:right w:w="0" w:type="dxa"/>
                  </w:tcMar>
                  <w:vAlign w:val="center"/>
                </w:tcPr>
                <w:p w14:paraId="367510C2">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53C606C5">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13DE2BD5">
                  <w:pPr>
                    <w:pStyle w:val="28"/>
                    <w:keepNext w:val="0"/>
                    <w:keepLines w:val="0"/>
                    <w:suppressLineNumbers w:val="0"/>
                    <w:spacing w:before="0" w:beforeAutospacing="0" w:after="0" w:afterAutospacing="0"/>
                    <w:ind w:left="0" w:right="0"/>
                    <w:rPr>
                      <w:rFonts w:hint="default"/>
                      <w:color w:val="auto"/>
                    </w:rPr>
                  </w:pPr>
                  <w:r>
                    <w:rPr>
                      <w:rFonts w:hint="default"/>
                      <w:color w:val="auto"/>
                    </w:rPr>
                    <w:t>47.3</w:t>
                  </w:r>
                </w:p>
              </w:tc>
              <w:tc>
                <w:tcPr>
                  <w:tcW w:w="320" w:type="pct"/>
                  <w:tcBorders>
                    <w:tl2br w:val="nil"/>
                    <w:tr2bl w:val="nil"/>
                  </w:tcBorders>
                  <w:shd w:val="clear" w:color="auto" w:fill="auto"/>
                  <w:tcMar>
                    <w:top w:w="0" w:type="dxa"/>
                    <w:left w:w="0" w:type="dxa"/>
                    <w:bottom w:w="0" w:type="dxa"/>
                    <w:right w:w="0" w:type="dxa"/>
                  </w:tcMar>
                  <w:vAlign w:val="center"/>
                </w:tcPr>
                <w:p w14:paraId="3EA4B20A">
                  <w:pPr>
                    <w:pStyle w:val="26"/>
                    <w:keepNext w:val="0"/>
                    <w:keepLines w:val="0"/>
                    <w:suppressLineNumbers w:val="0"/>
                    <w:spacing w:before="0" w:beforeAutospacing="0" w:after="0" w:afterAutospacing="0"/>
                    <w:ind w:left="0" w:right="0"/>
                    <w:rPr>
                      <w:rFonts w:hint="default"/>
                    </w:rPr>
                  </w:pPr>
                  <w:r>
                    <w:rPr>
                      <w:rFonts w:hint="default"/>
                    </w:rPr>
                    <w:t>1</w:t>
                  </w:r>
                </w:p>
              </w:tc>
            </w:tr>
            <w:tr w14:paraId="0101E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3AC30E7A">
                  <w:pPr>
                    <w:pStyle w:val="26"/>
                    <w:keepNext w:val="0"/>
                    <w:keepLines w:val="0"/>
                    <w:suppressLineNumbers w:val="0"/>
                    <w:spacing w:before="0" w:beforeAutospacing="0" w:after="0" w:afterAutospacing="0"/>
                    <w:ind w:left="0" w:right="0"/>
                    <w:rPr>
                      <w:rFonts w:hint="default"/>
                    </w:rPr>
                  </w:pPr>
                  <w:r>
                    <w:rPr>
                      <w:rFonts w:hint="default"/>
                    </w:rPr>
                    <w:t>10</w:t>
                  </w:r>
                </w:p>
              </w:tc>
              <w:tc>
                <w:tcPr>
                  <w:tcW w:w="450" w:type="pct"/>
                  <w:tcBorders>
                    <w:tl2br w:val="nil"/>
                    <w:tr2bl w:val="nil"/>
                  </w:tcBorders>
                  <w:shd w:val="clear" w:color="auto" w:fill="auto"/>
                  <w:tcMar>
                    <w:top w:w="0" w:type="dxa"/>
                    <w:left w:w="0" w:type="dxa"/>
                    <w:bottom w:w="0" w:type="dxa"/>
                    <w:right w:w="0" w:type="dxa"/>
                  </w:tcMar>
                  <w:vAlign w:val="center"/>
                </w:tcPr>
                <w:p w14:paraId="51A9D404">
                  <w:pPr>
                    <w:pStyle w:val="26"/>
                    <w:keepNext w:val="0"/>
                    <w:keepLines w:val="0"/>
                    <w:suppressLineNumbers w:val="0"/>
                    <w:spacing w:before="0" w:beforeAutospacing="0" w:after="0" w:afterAutospacing="0"/>
                    <w:ind w:left="0" w:right="0"/>
                    <w:rPr>
                      <w:rFonts w:hint="default"/>
                    </w:rPr>
                  </w:pPr>
                  <w:bookmarkStart w:id="116" w:name="OLE_LINK5"/>
                  <w:bookmarkStart w:id="117" w:name="OLE_LINK19"/>
                  <w:r>
                    <w:rPr>
                      <w:rFonts w:hint="default"/>
                    </w:rPr>
                    <w:t>干冰车间</w:t>
                  </w:r>
                  <w:bookmarkEnd w:id="116"/>
                  <w:bookmarkEnd w:id="117"/>
                </w:p>
              </w:tc>
              <w:tc>
                <w:tcPr>
                  <w:tcW w:w="684" w:type="pct"/>
                  <w:tcBorders>
                    <w:tl2br w:val="nil"/>
                    <w:tr2bl w:val="nil"/>
                  </w:tcBorders>
                  <w:shd w:val="clear" w:color="auto" w:fill="auto"/>
                  <w:tcMar>
                    <w:top w:w="0" w:type="dxa"/>
                    <w:left w:w="0" w:type="dxa"/>
                    <w:bottom w:w="0" w:type="dxa"/>
                    <w:right w:w="0" w:type="dxa"/>
                  </w:tcMar>
                  <w:vAlign w:val="center"/>
                </w:tcPr>
                <w:p w14:paraId="2384BF28">
                  <w:pPr>
                    <w:pStyle w:val="26"/>
                    <w:keepNext w:val="0"/>
                    <w:keepLines w:val="0"/>
                    <w:suppressLineNumbers w:val="0"/>
                    <w:spacing w:before="0" w:beforeAutospacing="0" w:after="0" w:afterAutospacing="0"/>
                    <w:ind w:left="0" w:right="0"/>
                    <w:rPr>
                      <w:rFonts w:hint="default"/>
                    </w:rPr>
                  </w:pPr>
                  <w:r>
                    <w:rPr>
                      <w:rFonts w:hint="default"/>
                    </w:rPr>
                    <w:t>干冰机1</w:t>
                  </w:r>
                </w:p>
              </w:tc>
              <w:tc>
                <w:tcPr>
                  <w:tcW w:w="476" w:type="pct"/>
                  <w:tcBorders>
                    <w:tl2br w:val="nil"/>
                    <w:tr2bl w:val="nil"/>
                  </w:tcBorders>
                  <w:shd w:val="clear" w:color="auto" w:fill="auto"/>
                  <w:tcMar>
                    <w:top w:w="0" w:type="dxa"/>
                    <w:left w:w="0" w:type="dxa"/>
                    <w:bottom w:w="0" w:type="dxa"/>
                    <w:right w:w="0" w:type="dxa"/>
                  </w:tcMar>
                  <w:vAlign w:val="center"/>
                </w:tcPr>
                <w:p w14:paraId="7D52BABA">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064DA4DD">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692ACEE9">
                  <w:pPr>
                    <w:pStyle w:val="26"/>
                    <w:keepNext w:val="0"/>
                    <w:keepLines w:val="0"/>
                    <w:suppressLineNumbers w:val="0"/>
                    <w:spacing w:before="0" w:beforeAutospacing="0" w:after="0" w:afterAutospacing="0"/>
                    <w:ind w:left="0" w:right="0"/>
                    <w:rPr>
                      <w:rFonts w:hint="default"/>
                    </w:rPr>
                  </w:pPr>
                  <w:r>
                    <w:rPr>
                      <w:rFonts w:hint="default"/>
                    </w:rPr>
                    <w:t>76</w:t>
                  </w:r>
                </w:p>
              </w:tc>
              <w:tc>
                <w:tcPr>
                  <w:tcW w:w="313" w:type="pct"/>
                  <w:tcBorders>
                    <w:tl2br w:val="nil"/>
                    <w:tr2bl w:val="nil"/>
                  </w:tcBorders>
                  <w:shd w:val="clear" w:color="auto" w:fill="auto"/>
                  <w:tcMar>
                    <w:top w:w="0" w:type="dxa"/>
                    <w:left w:w="0" w:type="dxa"/>
                    <w:bottom w:w="0" w:type="dxa"/>
                    <w:right w:w="0" w:type="dxa"/>
                  </w:tcMar>
                  <w:vAlign w:val="center"/>
                </w:tcPr>
                <w:p w14:paraId="7E2342A9">
                  <w:pPr>
                    <w:pStyle w:val="26"/>
                    <w:keepNext w:val="0"/>
                    <w:keepLines w:val="0"/>
                    <w:suppressLineNumbers w:val="0"/>
                    <w:spacing w:before="0" w:beforeAutospacing="0" w:after="0" w:afterAutospacing="0"/>
                    <w:ind w:left="0" w:right="0"/>
                    <w:rPr>
                      <w:rFonts w:hint="default"/>
                    </w:rPr>
                  </w:pPr>
                  <w:r>
                    <w:rPr>
                      <w:rFonts w:hint="default"/>
                    </w:rPr>
                    <w:t>164</w:t>
                  </w:r>
                </w:p>
              </w:tc>
              <w:tc>
                <w:tcPr>
                  <w:tcW w:w="248" w:type="pct"/>
                  <w:tcBorders>
                    <w:tl2br w:val="nil"/>
                    <w:tr2bl w:val="nil"/>
                  </w:tcBorders>
                  <w:shd w:val="clear" w:color="auto" w:fill="auto"/>
                  <w:tcMar>
                    <w:top w:w="0" w:type="dxa"/>
                    <w:left w:w="0" w:type="dxa"/>
                    <w:bottom w:w="0" w:type="dxa"/>
                    <w:right w:w="0" w:type="dxa"/>
                  </w:tcMar>
                  <w:vAlign w:val="center"/>
                </w:tcPr>
                <w:p w14:paraId="7A8A23E1">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24297F4E">
                  <w:pPr>
                    <w:pStyle w:val="26"/>
                    <w:keepNext w:val="0"/>
                    <w:keepLines w:val="0"/>
                    <w:suppressLineNumbers w:val="0"/>
                    <w:spacing w:before="0" w:beforeAutospacing="0" w:after="0" w:afterAutospacing="0"/>
                    <w:ind w:left="0" w:right="0"/>
                    <w:rPr>
                      <w:rFonts w:hint="default"/>
                    </w:rPr>
                  </w:pPr>
                  <w:r>
                    <w:rPr>
                      <w:rFonts w:hint="default"/>
                    </w:rPr>
                    <w:t>2.5</w:t>
                  </w:r>
                </w:p>
              </w:tc>
              <w:tc>
                <w:tcPr>
                  <w:tcW w:w="385" w:type="pct"/>
                  <w:tcBorders>
                    <w:tl2br w:val="nil"/>
                    <w:tr2bl w:val="nil"/>
                  </w:tcBorders>
                  <w:shd w:val="clear" w:color="auto" w:fill="auto"/>
                  <w:tcMar>
                    <w:top w:w="0" w:type="dxa"/>
                    <w:left w:w="0" w:type="dxa"/>
                    <w:bottom w:w="0" w:type="dxa"/>
                    <w:right w:w="0" w:type="dxa"/>
                  </w:tcMar>
                  <w:vAlign w:val="center"/>
                </w:tcPr>
                <w:p w14:paraId="1C98F1E1">
                  <w:pPr>
                    <w:pStyle w:val="26"/>
                    <w:keepNext w:val="0"/>
                    <w:keepLines w:val="0"/>
                    <w:suppressLineNumbers w:val="0"/>
                    <w:spacing w:before="0" w:beforeAutospacing="0" w:after="0" w:afterAutospacing="0"/>
                    <w:ind w:left="0" w:right="0"/>
                    <w:rPr>
                      <w:rFonts w:hint="default"/>
                    </w:rPr>
                  </w:pPr>
                  <w:r>
                    <w:rPr>
                      <w:rFonts w:hint="default"/>
                    </w:rPr>
                    <w:t>66.4</w:t>
                  </w:r>
                </w:p>
              </w:tc>
              <w:tc>
                <w:tcPr>
                  <w:tcW w:w="241" w:type="pct"/>
                  <w:tcBorders>
                    <w:tl2br w:val="nil"/>
                    <w:tr2bl w:val="nil"/>
                  </w:tcBorders>
                  <w:shd w:val="clear" w:color="auto" w:fill="auto"/>
                  <w:tcMar>
                    <w:top w:w="0" w:type="dxa"/>
                    <w:left w:w="0" w:type="dxa"/>
                    <w:bottom w:w="0" w:type="dxa"/>
                    <w:right w:w="0" w:type="dxa"/>
                  </w:tcMar>
                  <w:vAlign w:val="center"/>
                </w:tcPr>
                <w:p w14:paraId="39155F51">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47F2A21B">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0F6739CA">
                  <w:pPr>
                    <w:pStyle w:val="28"/>
                    <w:keepNext w:val="0"/>
                    <w:keepLines w:val="0"/>
                    <w:suppressLineNumbers w:val="0"/>
                    <w:spacing w:before="0" w:beforeAutospacing="0" w:after="0" w:afterAutospacing="0"/>
                    <w:ind w:left="0" w:right="0"/>
                    <w:rPr>
                      <w:rFonts w:hint="default"/>
                      <w:color w:val="auto"/>
                    </w:rPr>
                  </w:pPr>
                  <w:r>
                    <w:rPr>
                      <w:rFonts w:hint="default"/>
                      <w:color w:val="auto"/>
                    </w:rPr>
                    <w:t>40.4</w:t>
                  </w:r>
                </w:p>
              </w:tc>
              <w:tc>
                <w:tcPr>
                  <w:tcW w:w="320" w:type="pct"/>
                  <w:tcBorders>
                    <w:tl2br w:val="nil"/>
                    <w:tr2bl w:val="nil"/>
                  </w:tcBorders>
                  <w:shd w:val="clear" w:color="auto" w:fill="auto"/>
                  <w:tcMar>
                    <w:top w:w="0" w:type="dxa"/>
                    <w:left w:w="0" w:type="dxa"/>
                    <w:bottom w:w="0" w:type="dxa"/>
                    <w:right w:w="0" w:type="dxa"/>
                  </w:tcMar>
                  <w:vAlign w:val="center"/>
                </w:tcPr>
                <w:p w14:paraId="58852599">
                  <w:pPr>
                    <w:pStyle w:val="26"/>
                    <w:keepNext w:val="0"/>
                    <w:keepLines w:val="0"/>
                    <w:suppressLineNumbers w:val="0"/>
                    <w:spacing w:before="0" w:beforeAutospacing="0" w:after="0" w:afterAutospacing="0"/>
                    <w:ind w:left="0" w:right="0"/>
                    <w:rPr>
                      <w:rFonts w:hint="default"/>
                    </w:rPr>
                  </w:pPr>
                  <w:r>
                    <w:rPr>
                      <w:rFonts w:hint="default"/>
                    </w:rPr>
                    <w:t>1</w:t>
                  </w:r>
                </w:p>
              </w:tc>
            </w:tr>
            <w:tr w14:paraId="69B3A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047E30FF">
                  <w:pPr>
                    <w:pStyle w:val="26"/>
                    <w:keepNext w:val="0"/>
                    <w:keepLines w:val="0"/>
                    <w:suppressLineNumbers w:val="0"/>
                    <w:spacing w:before="0" w:beforeAutospacing="0" w:after="0" w:afterAutospacing="0"/>
                    <w:ind w:left="0" w:right="0"/>
                    <w:rPr>
                      <w:rFonts w:hint="default"/>
                    </w:rPr>
                  </w:pPr>
                  <w:r>
                    <w:rPr>
                      <w:rFonts w:hint="default"/>
                    </w:rPr>
                    <w:t>11</w:t>
                  </w:r>
                </w:p>
              </w:tc>
              <w:tc>
                <w:tcPr>
                  <w:tcW w:w="450" w:type="pct"/>
                  <w:tcBorders>
                    <w:tl2br w:val="nil"/>
                    <w:tr2bl w:val="nil"/>
                  </w:tcBorders>
                  <w:shd w:val="clear" w:color="auto" w:fill="auto"/>
                  <w:tcMar>
                    <w:top w:w="0" w:type="dxa"/>
                    <w:left w:w="0" w:type="dxa"/>
                    <w:bottom w:w="0" w:type="dxa"/>
                    <w:right w:w="0" w:type="dxa"/>
                  </w:tcMar>
                  <w:vAlign w:val="center"/>
                </w:tcPr>
                <w:p w14:paraId="25ED18CD">
                  <w:pPr>
                    <w:pStyle w:val="26"/>
                    <w:keepNext w:val="0"/>
                    <w:keepLines w:val="0"/>
                    <w:suppressLineNumbers w:val="0"/>
                    <w:spacing w:before="0" w:beforeAutospacing="0" w:after="0" w:afterAutospacing="0"/>
                    <w:ind w:left="0" w:right="0"/>
                    <w:rPr>
                      <w:rFonts w:hint="default"/>
                    </w:rPr>
                  </w:pPr>
                  <w:r>
                    <w:rPr>
                      <w:rFonts w:hint="default"/>
                    </w:rPr>
                    <w:t>干冰车间</w:t>
                  </w:r>
                </w:p>
              </w:tc>
              <w:tc>
                <w:tcPr>
                  <w:tcW w:w="684" w:type="pct"/>
                  <w:tcBorders>
                    <w:tl2br w:val="nil"/>
                    <w:tr2bl w:val="nil"/>
                  </w:tcBorders>
                  <w:shd w:val="clear" w:color="auto" w:fill="auto"/>
                  <w:tcMar>
                    <w:top w:w="0" w:type="dxa"/>
                    <w:left w:w="0" w:type="dxa"/>
                    <w:bottom w:w="0" w:type="dxa"/>
                    <w:right w:w="0" w:type="dxa"/>
                  </w:tcMar>
                  <w:vAlign w:val="center"/>
                </w:tcPr>
                <w:p w14:paraId="2C53583D">
                  <w:pPr>
                    <w:pStyle w:val="26"/>
                    <w:keepNext w:val="0"/>
                    <w:keepLines w:val="0"/>
                    <w:suppressLineNumbers w:val="0"/>
                    <w:spacing w:before="0" w:beforeAutospacing="0" w:after="0" w:afterAutospacing="0"/>
                    <w:ind w:left="0" w:right="0"/>
                    <w:rPr>
                      <w:rFonts w:hint="default"/>
                    </w:rPr>
                  </w:pPr>
                  <w:r>
                    <w:rPr>
                      <w:rFonts w:hint="default"/>
                    </w:rPr>
                    <w:t>干冰机2</w:t>
                  </w:r>
                </w:p>
              </w:tc>
              <w:tc>
                <w:tcPr>
                  <w:tcW w:w="476" w:type="pct"/>
                  <w:tcBorders>
                    <w:tl2br w:val="nil"/>
                    <w:tr2bl w:val="nil"/>
                  </w:tcBorders>
                  <w:shd w:val="clear" w:color="auto" w:fill="auto"/>
                  <w:tcMar>
                    <w:top w:w="0" w:type="dxa"/>
                    <w:left w:w="0" w:type="dxa"/>
                    <w:bottom w:w="0" w:type="dxa"/>
                    <w:right w:w="0" w:type="dxa"/>
                  </w:tcMar>
                  <w:vAlign w:val="center"/>
                </w:tcPr>
                <w:p w14:paraId="36EA8221">
                  <w:pPr>
                    <w:pStyle w:val="26"/>
                    <w:keepNext w:val="0"/>
                    <w:keepLines w:val="0"/>
                    <w:suppressLineNumbers w:val="0"/>
                    <w:spacing w:before="0" w:beforeAutospacing="0" w:after="0" w:afterAutospacing="0"/>
                    <w:ind w:left="0" w:right="0"/>
                    <w:rPr>
                      <w:rFonts w:hint="default"/>
                    </w:rPr>
                  </w:pPr>
                  <w:r>
                    <w:rPr>
                      <w:rFonts w:hint="default"/>
                    </w:rPr>
                    <w:t>80</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0B6518AE">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4FEABCAC">
                  <w:pPr>
                    <w:pStyle w:val="26"/>
                    <w:keepNext w:val="0"/>
                    <w:keepLines w:val="0"/>
                    <w:suppressLineNumbers w:val="0"/>
                    <w:spacing w:before="0" w:beforeAutospacing="0" w:after="0" w:afterAutospacing="0"/>
                    <w:ind w:left="0" w:right="0"/>
                    <w:rPr>
                      <w:rFonts w:hint="default"/>
                    </w:rPr>
                  </w:pPr>
                  <w:r>
                    <w:rPr>
                      <w:rFonts w:hint="default"/>
                    </w:rPr>
                    <w:t>76</w:t>
                  </w:r>
                </w:p>
              </w:tc>
              <w:tc>
                <w:tcPr>
                  <w:tcW w:w="313" w:type="pct"/>
                  <w:tcBorders>
                    <w:tl2br w:val="nil"/>
                    <w:tr2bl w:val="nil"/>
                  </w:tcBorders>
                  <w:shd w:val="clear" w:color="auto" w:fill="auto"/>
                  <w:tcMar>
                    <w:top w:w="0" w:type="dxa"/>
                    <w:left w:w="0" w:type="dxa"/>
                    <w:bottom w:w="0" w:type="dxa"/>
                    <w:right w:w="0" w:type="dxa"/>
                  </w:tcMar>
                  <w:vAlign w:val="center"/>
                </w:tcPr>
                <w:p w14:paraId="284C6F76">
                  <w:pPr>
                    <w:pStyle w:val="26"/>
                    <w:keepNext w:val="0"/>
                    <w:keepLines w:val="0"/>
                    <w:suppressLineNumbers w:val="0"/>
                    <w:spacing w:before="0" w:beforeAutospacing="0" w:after="0" w:afterAutospacing="0"/>
                    <w:ind w:left="0" w:right="0"/>
                    <w:rPr>
                      <w:rFonts w:hint="default"/>
                    </w:rPr>
                  </w:pPr>
                  <w:r>
                    <w:rPr>
                      <w:rFonts w:hint="default"/>
                    </w:rPr>
                    <w:t>168</w:t>
                  </w:r>
                </w:p>
              </w:tc>
              <w:tc>
                <w:tcPr>
                  <w:tcW w:w="248" w:type="pct"/>
                  <w:tcBorders>
                    <w:tl2br w:val="nil"/>
                    <w:tr2bl w:val="nil"/>
                  </w:tcBorders>
                  <w:shd w:val="clear" w:color="auto" w:fill="auto"/>
                  <w:tcMar>
                    <w:top w:w="0" w:type="dxa"/>
                    <w:left w:w="0" w:type="dxa"/>
                    <w:bottom w:w="0" w:type="dxa"/>
                    <w:right w:w="0" w:type="dxa"/>
                  </w:tcMar>
                  <w:vAlign w:val="center"/>
                </w:tcPr>
                <w:p w14:paraId="0924B129">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7A3E32C3">
                  <w:pPr>
                    <w:pStyle w:val="26"/>
                    <w:keepNext w:val="0"/>
                    <w:keepLines w:val="0"/>
                    <w:suppressLineNumbers w:val="0"/>
                    <w:spacing w:before="0" w:beforeAutospacing="0" w:after="0" w:afterAutospacing="0"/>
                    <w:ind w:left="0" w:right="0"/>
                    <w:rPr>
                      <w:rFonts w:hint="default"/>
                    </w:rPr>
                  </w:pPr>
                  <w:r>
                    <w:rPr>
                      <w:rFonts w:hint="default"/>
                    </w:rPr>
                    <w:t>2.5</w:t>
                  </w:r>
                </w:p>
              </w:tc>
              <w:tc>
                <w:tcPr>
                  <w:tcW w:w="385" w:type="pct"/>
                  <w:tcBorders>
                    <w:tl2br w:val="nil"/>
                    <w:tr2bl w:val="nil"/>
                  </w:tcBorders>
                  <w:shd w:val="clear" w:color="auto" w:fill="auto"/>
                  <w:tcMar>
                    <w:top w:w="0" w:type="dxa"/>
                    <w:left w:w="0" w:type="dxa"/>
                    <w:bottom w:w="0" w:type="dxa"/>
                    <w:right w:w="0" w:type="dxa"/>
                  </w:tcMar>
                  <w:vAlign w:val="center"/>
                </w:tcPr>
                <w:p w14:paraId="699F826D">
                  <w:pPr>
                    <w:pStyle w:val="26"/>
                    <w:keepNext w:val="0"/>
                    <w:keepLines w:val="0"/>
                    <w:suppressLineNumbers w:val="0"/>
                    <w:spacing w:before="0" w:beforeAutospacing="0" w:after="0" w:afterAutospacing="0"/>
                    <w:ind w:left="0" w:right="0"/>
                    <w:rPr>
                      <w:rFonts w:hint="default"/>
                    </w:rPr>
                  </w:pPr>
                  <w:r>
                    <w:rPr>
                      <w:rFonts w:hint="default"/>
                    </w:rPr>
                    <w:t>66.4</w:t>
                  </w:r>
                </w:p>
              </w:tc>
              <w:tc>
                <w:tcPr>
                  <w:tcW w:w="241" w:type="pct"/>
                  <w:tcBorders>
                    <w:tl2br w:val="nil"/>
                    <w:tr2bl w:val="nil"/>
                  </w:tcBorders>
                  <w:shd w:val="clear" w:color="auto" w:fill="auto"/>
                  <w:tcMar>
                    <w:top w:w="0" w:type="dxa"/>
                    <w:left w:w="0" w:type="dxa"/>
                    <w:bottom w:w="0" w:type="dxa"/>
                    <w:right w:w="0" w:type="dxa"/>
                  </w:tcMar>
                  <w:vAlign w:val="center"/>
                </w:tcPr>
                <w:p w14:paraId="4D7B0319">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735D2370">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42F9C8FC">
                  <w:pPr>
                    <w:pStyle w:val="28"/>
                    <w:keepNext w:val="0"/>
                    <w:keepLines w:val="0"/>
                    <w:suppressLineNumbers w:val="0"/>
                    <w:spacing w:before="0" w:beforeAutospacing="0" w:after="0" w:afterAutospacing="0"/>
                    <w:ind w:left="0" w:right="0"/>
                    <w:rPr>
                      <w:rFonts w:hint="default"/>
                      <w:color w:val="auto"/>
                    </w:rPr>
                  </w:pPr>
                  <w:r>
                    <w:rPr>
                      <w:rFonts w:hint="default"/>
                      <w:color w:val="auto"/>
                    </w:rPr>
                    <w:t>40.4</w:t>
                  </w:r>
                </w:p>
              </w:tc>
              <w:tc>
                <w:tcPr>
                  <w:tcW w:w="320" w:type="pct"/>
                  <w:tcBorders>
                    <w:tl2br w:val="nil"/>
                    <w:tr2bl w:val="nil"/>
                  </w:tcBorders>
                  <w:shd w:val="clear" w:color="auto" w:fill="auto"/>
                  <w:tcMar>
                    <w:top w:w="0" w:type="dxa"/>
                    <w:left w:w="0" w:type="dxa"/>
                    <w:bottom w:w="0" w:type="dxa"/>
                    <w:right w:w="0" w:type="dxa"/>
                  </w:tcMar>
                  <w:vAlign w:val="center"/>
                </w:tcPr>
                <w:p w14:paraId="60EFFCC4">
                  <w:pPr>
                    <w:pStyle w:val="26"/>
                    <w:keepNext w:val="0"/>
                    <w:keepLines w:val="0"/>
                    <w:suppressLineNumbers w:val="0"/>
                    <w:spacing w:before="0" w:beforeAutospacing="0" w:after="0" w:afterAutospacing="0"/>
                    <w:ind w:left="0" w:right="0"/>
                    <w:rPr>
                      <w:rFonts w:hint="default"/>
                    </w:rPr>
                  </w:pPr>
                  <w:r>
                    <w:rPr>
                      <w:rFonts w:hint="default"/>
                    </w:rPr>
                    <w:t>1</w:t>
                  </w:r>
                </w:p>
              </w:tc>
            </w:tr>
            <w:tr w14:paraId="71236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08753167">
                  <w:pPr>
                    <w:pStyle w:val="26"/>
                    <w:keepNext w:val="0"/>
                    <w:keepLines w:val="0"/>
                    <w:suppressLineNumbers w:val="0"/>
                    <w:spacing w:before="0" w:beforeAutospacing="0" w:after="0" w:afterAutospacing="0"/>
                    <w:ind w:left="0" w:right="0"/>
                    <w:rPr>
                      <w:rFonts w:hint="default"/>
                    </w:rPr>
                  </w:pPr>
                  <w:r>
                    <w:rPr>
                      <w:rFonts w:hint="default"/>
                    </w:rPr>
                    <w:t>12</w:t>
                  </w:r>
                </w:p>
              </w:tc>
              <w:tc>
                <w:tcPr>
                  <w:tcW w:w="450" w:type="pct"/>
                  <w:tcBorders>
                    <w:tl2br w:val="nil"/>
                    <w:tr2bl w:val="nil"/>
                  </w:tcBorders>
                  <w:shd w:val="clear" w:color="auto" w:fill="auto"/>
                  <w:tcMar>
                    <w:top w:w="0" w:type="dxa"/>
                    <w:left w:w="0" w:type="dxa"/>
                    <w:bottom w:w="0" w:type="dxa"/>
                    <w:right w:w="0" w:type="dxa"/>
                  </w:tcMar>
                  <w:vAlign w:val="center"/>
                </w:tcPr>
                <w:p w14:paraId="1EEC076D">
                  <w:pPr>
                    <w:pStyle w:val="26"/>
                    <w:keepNext w:val="0"/>
                    <w:keepLines w:val="0"/>
                    <w:suppressLineNumbers w:val="0"/>
                    <w:spacing w:before="0" w:beforeAutospacing="0" w:after="0" w:afterAutospacing="0"/>
                    <w:ind w:left="0" w:right="0"/>
                    <w:rPr>
                      <w:rFonts w:hint="default"/>
                    </w:rPr>
                  </w:pPr>
                  <w:r>
                    <w:rPr>
                      <w:rFonts w:hint="default"/>
                    </w:rPr>
                    <w:t>干冰车间</w:t>
                  </w:r>
                </w:p>
              </w:tc>
              <w:tc>
                <w:tcPr>
                  <w:tcW w:w="684" w:type="pct"/>
                  <w:tcBorders>
                    <w:tl2br w:val="nil"/>
                    <w:tr2bl w:val="nil"/>
                  </w:tcBorders>
                  <w:shd w:val="clear" w:color="auto" w:fill="auto"/>
                  <w:tcMar>
                    <w:top w:w="0" w:type="dxa"/>
                    <w:left w:w="0" w:type="dxa"/>
                    <w:bottom w:w="0" w:type="dxa"/>
                    <w:right w:w="0" w:type="dxa"/>
                  </w:tcMar>
                  <w:vAlign w:val="center"/>
                </w:tcPr>
                <w:p w14:paraId="78ACB383">
                  <w:pPr>
                    <w:pStyle w:val="26"/>
                    <w:keepNext w:val="0"/>
                    <w:keepLines w:val="0"/>
                    <w:suppressLineNumbers w:val="0"/>
                    <w:spacing w:before="0" w:beforeAutospacing="0" w:after="0" w:afterAutospacing="0"/>
                    <w:ind w:left="0" w:right="0"/>
                    <w:rPr>
                      <w:rFonts w:hint="default"/>
                    </w:rPr>
                  </w:pPr>
                  <w:r>
                    <w:rPr>
                      <w:rFonts w:hint="default"/>
                    </w:rPr>
                    <w:t>压片机1</w:t>
                  </w:r>
                </w:p>
              </w:tc>
              <w:tc>
                <w:tcPr>
                  <w:tcW w:w="476" w:type="pct"/>
                  <w:tcBorders>
                    <w:tl2br w:val="nil"/>
                    <w:tr2bl w:val="nil"/>
                  </w:tcBorders>
                  <w:shd w:val="clear" w:color="auto" w:fill="auto"/>
                  <w:tcMar>
                    <w:top w:w="0" w:type="dxa"/>
                    <w:left w:w="0" w:type="dxa"/>
                    <w:bottom w:w="0" w:type="dxa"/>
                    <w:right w:w="0" w:type="dxa"/>
                  </w:tcMar>
                  <w:vAlign w:val="center"/>
                </w:tcPr>
                <w:p w14:paraId="6EFA47E4">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27245564">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01084265">
                  <w:pPr>
                    <w:pStyle w:val="26"/>
                    <w:keepNext w:val="0"/>
                    <w:keepLines w:val="0"/>
                    <w:suppressLineNumbers w:val="0"/>
                    <w:spacing w:before="0" w:beforeAutospacing="0" w:after="0" w:afterAutospacing="0"/>
                    <w:ind w:left="0" w:right="0"/>
                    <w:rPr>
                      <w:rFonts w:hint="default"/>
                    </w:rPr>
                  </w:pPr>
                  <w:r>
                    <w:rPr>
                      <w:rFonts w:hint="default"/>
                    </w:rPr>
                    <w:t>80</w:t>
                  </w:r>
                </w:p>
              </w:tc>
              <w:tc>
                <w:tcPr>
                  <w:tcW w:w="313" w:type="pct"/>
                  <w:tcBorders>
                    <w:tl2br w:val="nil"/>
                    <w:tr2bl w:val="nil"/>
                  </w:tcBorders>
                  <w:shd w:val="clear" w:color="auto" w:fill="auto"/>
                  <w:tcMar>
                    <w:top w:w="0" w:type="dxa"/>
                    <w:left w:w="0" w:type="dxa"/>
                    <w:bottom w:w="0" w:type="dxa"/>
                    <w:right w:w="0" w:type="dxa"/>
                  </w:tcMar>
                  <w:vAlign w:val="center"/>
                </w:tcPr>
                <w:p w14:paraId="281C9842">
                  <w:pPr>
                    <w:pStyle w:val="26"/>
                    <w:keepNext w:val="0"/>
                    <w:keepLines w:val="0"/>
                    <w:suppressLineNumbers w:val="0"/>
                    <w:spacing w:before="0" w:beforeAutospacing="0" w:after="0" w:afterAutospacing="0"/>
                    <w:ind w:left="0" w:right="0"/>
                    <w:rPr>
                      <w:rFonts w:hint="default"/>
                    </w:rPr>
                  </w:pPr>
                  <w:r>
                    <w:rPr>
                      <w:rFonts w:hint="default"/>
                    </w:rPr>
                    <w:t>164</w:t>
                  </w:r>
                </w:p>
              </w:tc>
              <w:tc>
                <w:tcPr>
                  <w:tcW w:w="248" w:type="pct"/>
                  <w:tcBorders>
                    <w:tl2br w:val="nil"/>
                    <w:tr2bl w:val="nil"/>
                  </w:tcBorders>
                  <w:shd w:val="clear" w:color="auto" w:fill="auto"/>
                  <w:tcMar>
                    <w:top w:w="0" w:type="dxa"/>
                    <w:left w:w="0" w:type="dxa"/>
                    <w:bottom w:w="0" w:type="dxa"/>
                    <w:right w:w="0" w:type="dxa"/>
                  </w:tcMar>
                  <w:vAlign w:val="center"/>
                </w:tcPr>
                <w:p w14:paraId="4648D19E">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60EEF266">
                  <w:pPr>
                    <w:pStyle w:val="26"/>
                    <w:keepNext w:val="0"/>
                    <w:keepLines w:val="0"/>
                    <w:suppressLineNumbers w:val="0"/>
                    <w:spacing w:before="0" w:beforeAutospacing="0" w:after="0" w:afterAutospacing="0"/>
                    <w:ind w:left="0" w:right="0"/>
                    <w:rPr>
                      <w:rFonts w:hint="default"/>
                    </w:rPr>
                  </w:pPr>
                  <w:r>
                    <w:rPr>
                      <w:rFonts w:hint="default"/>
                    </w:rPr>
                    <w:t>6.5</w:t>
                  </w:r>
                </w:p>
              </w:tc>
              <w:tc>
                <w:tcPr>
                  <w:tcW w:w="385" w:type="pct"/>
                  <w:tcBorders>
                    <w:tl2br w:val="nil"/>
                    <w:tr2bl w:val="nil"/>
                  </w:tcBorders>
                  <w:shd w:val="clear" w:color="auto" w:fill="auto"/>
                  <w:tcMar>
                    <w:top w:w="0" w:type="dxa"/>
                    <w:left w:w="0" w:type="dxa"/>
                    <w:bottom w:w="0" w:type="dxa"/>
                    <w:right w:w="0" w:type="dxa"/>
                  </w:tcMar>
                  <w:vAlign w:val="center"/>
                </w:tcPr>
                <w:p w14:paraId="5ED928DA">
                  <w:pPr>
                    <w:pStyle w:val="26"/>
                    <w:keepNext w:val="0"/>
                    <w:keepLines w:val="0"/>
                    <w:suppressLineNumbers w:val="0"/>
                    <w:spacing w:before="0" w:beforeAutospacing="0" w:after="0" w:afterAutospacing="0"/>
                    <w:ind w:left="0" w:right="0"/>
                    <w:rPr>
                      <w:rFonts w:hint="default"/>
                    </w:rPr>
                  </w:pPr>
                  <w:r>
                    <w:rPr>
                      <w:rFonts w:hint="default"/>
                    </w:rPr>
                    <w:t>70.2</w:t>
                  </w:r>
                </w:p>
              </w:tc>
              <w:tc>
                <w:tcPr>
                  <w:tcW w:w="241" w:type="pct"/>
                  <w:tcBorders>
                    <w:tl2br w:val="nil"/>
                    <w:tr2bl w:val="nil"/>
                  </w:tcBorders>
                  <w:shd w:val="clear" w:color="auto" w:fill="auto"/>
                  <w:tcMar>
                    <w:top w:w="0" w:type="dxa"/>
                    <w:left w:w="0" w:type="dxa"/>
                    <w:bottom w:w="0" w:type="dxa"/>
                    <w:right w:w="0" w:type="dxa"/>
                  </w:tcMar>
                  <w:vAlign w:val="center"/>
                </w:tcPr>
                <w:p w14:paraId="79CCF277">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170845EE">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30B9B9D9">
                  <w:pPr>
                    <w:pStyle w:val="28"/>
                    <w:keepNext w:val="0"/>
                    <w:keepLines w:val="0"/>
                    <w:suppressLineNumbers w:val="0"/>
                    <w:spacing w:before="0" w:beforeAutospacing="0" w:after="0" w:afterAutospacing="0"/>
                    <w:ind w:left="0" w:right="0"/>
                    <w:rPr>
                      <w:rFonts w:hint="default"/>
                      <w:color w:val="auto"/>
                    </w:rPr>
                  </w:pPr>
                  <w:r>
                    <w:rPr>
                      <w:rFonts w:hint="default"/>
                      <w:color w:val="auto"/>
                    </w:rPr>
                    <w:t>44.2</w:t>
                  </w:r>
                </w:p>
              </w:tc>
              <w:tc>
                <w:tcPr>
                  <w:tcW w:w="320" w:type="pct"/>
                  <w:tcBorders>
                    <w:tl2br w:val="nil"/>
                    <w:tr2bl w:val="nil"/>
                  </w:tcBorders>
                  <w:shd w:val="clear" w:color="auto" w:fill="auto"/>
                  <w:tcMar>
                    <w:top w:w="0" w:type="dxa"/>
                    <w:left w:w="0" w:type="dxa"/>
                    <w:bottom w:w="0" w:type="dxa"/>
                    <w:right w:w="0" w:type="dxa"/>
                  </w:tcMar>
                  <w:vAlign w:val="center"/>
                </w:tcPr>
                <w:p w14:paraId="570F1EEE">
                  <w:pPr>
                    <w:pStyle w:val="26"/>
                    <w:keepNext w:val="0"/>
                    <w:keepLines w:val="0"/>
                    <w:suppressLineNumbers w:val="0"/>
                    <w:spacing w:before="0" w:beforeAutospacing="0" w:after="0" w:afterAutospacing="0"/>
                    <w:ind w:left="0" w:right="0"/>
                    <w:rPr>
                      <w:rFonts w:hint="default"/>
                    </w:rPr>
                  </w:pPr>
                  <w:r>
                    <w:rPr>
                      <w:rFonts w:hint="default"/>
                    </w:rPr>
                    <w:t>1</w:t>
                  </w:r>
                </w:p>
              </w:tc>
            </w:tr>
            <w:tr w14:paraId="34785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shd w:val="clear" w:color="auto" w:fill="auto"/>
                  <w:tcMar>
                    <w:top w:w="0" w:type="dxa"/>
                    <w:left w:w="0" w:type="dxa"/>
                    <w:bottom w:w="0" w:type="dxa"/>
                    <w:right w:w="0" w:type="dxa"/>
                  </w:tcMar>
                  <w:vAlign w:val="center"/>
                </w:tcPr>
                <w:p w14:paraId="540B6931">
                  <w:pPr>
                    <w:pStyle w:val="26"/>
                    <w:keepNext w:val="0"/>
                    <w:keepLines w:val="0"/>
                    <w:suppressLineNumbers w:val="0"/>
                    <w:spacing w:before="0" w:beforeAutospacing="0" w:after="0" w:afterAutospacing="0"/>
                    <w:ind w:left="0" w:right="0"/>
                    <w:rPr>
                      <w:rFonts w:hint="default"/>
                    </w:rPr>
                  </w:pPr>
                  <w:r>
                    <w:rPr>
                      <w:rFonts w:hint="default"/>
                    </w:rPr>
                    <w:t>13</w:t>
                  </w:r>
                </w:p>
              </w:tc>
              <w:tc>
                <w:tcPr>
                  <w:tcW w:w="450" w:type="pct"/>
                  <w:tcBorders>
                    <w:tl2br w:val="nil"/>
                    <w:tr2bl w:val="nil"/>
                  </w:tcBorders>
                  <w:shd w:val="clear" w:color="auto" w:fill="auto"/>
                  <w:tcMar>
                    <w:top w:w="0" w:type="dxa"/>
                    <w:left w:w="0" w:type="dxa"/>
                    <w:bottom w:w="0" w:type="dxa"/>
                    <w:right w:w="0" w:type="dxa"/>
                  </w:tcMar>
                  <w:vAlign w:val="center"/>
                </w:tcPr>
                <w:p w14:paraId="423BB5A5">
                  <w:pPr>
                    <w:pStyle w:val="26"/>
                    <w:keepNext w:val="0"/>
                    <w:keepLines w:val="0"/>
                    <w:suppressLineNumbers w:val="0"/>
                    <w:spacing w:before="0" w:beforeAutospacing="0" w:after="0" w:afterAutospacing="0"/>
                    <w:ind w:left="0" w:right="0"/>
                    <w:rPr>
                      <w:rFonts w:hint="default"/>
                    </w:rPr>
                  </w:pPr>
                  <w:r>
                    <w:rPr>
                      <w:rFonts w:hint="default"/>
                    </w:rPr>
                    <w:t>干冰车间</w:t>
                  </w:r>
                </w:p>
              </w:tc>
              <w:tc>
                <w:tcPr>
                  <w:tcW w:w="684" w:type="pct"/>
                  <w:tcBorders>
                    <w:tl2br w:val="nil"/>
                    <w:tr2bl w:val="nil"/>
                  </w:tcBorders>
                  <w:shd w:val="clear" w:color="auto" w:fill="auto"/>
                  <w:tcMar>
                    <w:top w:w="0" w:type="dxa"/>
                    <w:left w:w="0" w:type="dxa"/>
                    <w:bottom w:w="0" w:type="dxa"/>
                    <w:right w:w="0" w:type="dxa"/>
                  </w:tcMar>
                  <w:vAlign w:val="center"/>
                </w:tcPr>
                <w:p w14:paraId="7A1E5334">
                  <w:pPr>
                    <w:pStyle w:val="26"/>
                    <w:keepNext w:val="0"/>
                    <w:keepLines w:val="0"/>
                    <w:suppressLineNumbers w:val="0"/>
                    <w:spacing w:before="0" w:beforeAutospacing="0" w:after="0" w:afterAutospacing="0"/>
                    <w:ind w:left="0" w:right="0"/>
                    <w:rPr>
                      <w:rFonts w:hint="default"/>
                    </w:rPr>
                  </w:pPr>
                  <w:r>
                    <w:rPr>
                      <w:rFonts w:hint="default"/>
                    </w:rPr>
                    <w:t>压片机2</w:t>
                  </w:r>
                </w:p>
              </w:tc>
              <w:tc>
                <w:tcPr>
                  <w:tcW w:w="476" w:type="pct"/>
                  <w:tcBorders>
                    <w:tl2br w:val="nil"/>
                    <w:tr2bl w:val="nil"/>
                  </w:tcBorders>
                  <w:shd w:val="clear" w:color="auto" w:fill="auto"/>
                  <w:tcMar>
                    <w:top w:w="0" w:type="dxa"/>
                    <w:left w:w="0" w:type="dxa"/>
                    <w:bottom w:w="0" w:type="dxa"/>
                    <w:right w:w="0" w:type="dxa"/>
                  </w:tcMar>
                  <w:vAlign w:val="center"/>
                </w:tcPr>
                <w:p w14:paraId="350A1717">
                  <w:pPr>
                    <w:pStyle w:val="26"/>
                    <w:keepNext w:val="0"/>
                    <w:keepLines w:val="0"/>
                    <w:suppressLineNumbers w:val="0"/>
                    <w:spacing w:before="0" w:beforeAutospacing="0" w:after="0" w:afterAutospacing="0"/>
                    <w:ind w:left="0" w:right="0"/>
                    <w:rPr>
                      <w:rFonts w:hint="default"/>
                    </w:rPr>
                  </w:pPr>
                  <w:r>
                    <w:rPr>
                      <w:rFonts w:hint="default"/>
                    </w:rPr>
                    <w:t>85</w:t>
                  </w:r>
                </w:p>
              </w:tc>
              <w:tc>
                <w:tcPr>
                  <w:tcW w:w="307" w:type="pct"/>
                  <w:vMerge w:val="continue"/>
                  <w:tcBorders>
                    <w:tl2br w:val="nil"/>
                    <w:tr2bl w:val="nil"/>
                  </w:tcBorders>
                  <w:shd w:val="clear" w:color="auto" w:fill="auto"/>
                  <w:tcMar>
                    <w:top w:w="0" w:type="dxa"/>
                    <w:left w:w="0" w:type="dxa"/>
                    <w:bottom w:w="0" w:type="dxa"/>
                    <w:right w:w="0" w:type="dxa"/>
                  </w:tcMar>
                  <w:vAlign w:val="center"/>
                </w:tcPr>
                <w:p w14:paraId="42F8D842">
                  <w:pPr>
                    <w:pStyle w:val="26"/>
                    <w:keepNext w:val="0"/>
                    <w:keepLines w:val="0"/>
                    <w:suppressLineNumbers w:val="0"/>
                    <w:spacing w:before="0" w:beforeAutospacing="0" w:after="0" w:afterAutospacing="0"/>
                    <w:ind w:left="0" w:right="0"/>
                    <w:rPr>
                      <w:rFonts w:hint="default"/>
                    </w:rPr>
                  </w:pPr>
                </w:p>
              </w:tc>
              <w:tc>
                <w:tcPr>
                  <w:tcW w:w="327" w:type="pct"/>
                  <w:tcBorders>
                    <w:tl2br w:val="nil"/>
                    <w:tr2bl w:val="nil"/>
                  </w:tcBorders>
                  <w:shd w:val="clear" w:color="auto" w:fill="auto"/>
                  <w:tcMar>
                    <w:top w:w="0" w:type="dxa"/>
                    <w:left w:w="0" w:type="dxa"/>
                    <w:bottom w:w="0" w:type="dxa"/>
                    <w:right w:w="0" w:type="dxa"/>
                  </w:tcMar>
                  <w:vAlign w:val="center"/>
                </w:tcPr>
                <w:p w14:paraId="6DEDA617">
                  <w:pPr>
                    <w:pStyle w:val="26"/>
                    <w:keepNext w:val="0"/>
                    <w:keepLines w:val="0"/>
                    <w:suppressLineNumbers w:val="0"/>
                    <w:spacing w:before="0" w:beforeAutospacing="0" w:after="0" w:afterAutospacing="0"/>
                    <w:ind w:left="0" w:right="0"/>
                    <w:rPr>
                      <w:rFonts w:hint="default"/>
                    </w:rPr>
                  </w:pPr>
                  <w:r>
                    <w:rPr>
                      <w:rFonts w:hint="default"/>
                    </w:rPr>
                    <w:t>80</w:t>
                  </w:r>
                </w:p>
              </w:tc>
              <w:tc>
                <w:tcPr>
                  <w:tcW w:w="313" w:type="pct"/>
                  <w:tcBorders>
                    <w:tl2br w:val="nil"/>
                    <w:tr2bl w:val="nil"/>
                  </w:tcBorders>
                  <w:shd w:val="clear" w:color="auto" w:fill="auto"/>
                  <w:tcMar>
                    <w:top w:w="0" w:type="dxa"/>
                    <w:left w:w="0" w:type="dxa"/>
                    <w:bottom w:w="0" w:type="dxa"/>
                    <w:right w:w="0" w:type="dxa"/>
                  </w:tcMar>
                  <w:vAlign w:val="center"/>
                </w:tcPr>
                <w:p w14:paraId="30A0709B">
                  <w:pPr>
                    <w:pStyle w:val="26"/>
                    <w:keepNext w:val="0"/>
                    <w:keepLines w:val="0"/>
                    <w:suppressLineNumbers w:val="0"/>
                    <w:spacing w:before="0" w:beforeAutospacing="0" w:after="0" w:afterAutospacing="0"/>
                    <w:ind w:left="0" w:right="0"/>
                    <w:rPr>
                      <w:rFonts w:hint="default"/>
                    </w:rPr>
                  </w:pPr>
                  <w:r>
                    <w:rPr>
                      <w:rFonts w:hint="default"/>
                    </w:rPr>
                    <w:t>168</w:t>
                  </w:r>
                </w:p>
              </w:tc>
              <w:tc>
                <w:tcPr>
                  <w:tcW w:w="248" w:type="pct"/>
                  <w:tcBorders>
                    <w:tl2br w:val="nil"/>
                    <w:tr2bl w:val="nil"/>
                  </w:tcBorders>
                  <w:shd w:val="clear" w:color="auto" w:fill="auto"/>
                  <w:tcMar>
                    <w:top w:w="0" w:type="dxa"/>
                    <w:left w:w="0" w:type="dxa"/>
                    <w:bottom w:w="0" w:type="dxa"/>
                    <w:right w:w="0" w:type="dxa"/>
                  </w:tcMar>
                  <w:vAlign w:val="center"/>
                </w:tcPr>
                <w:p w14:paraId="3EC3672C">
                  <w:pPr>
                    <w:pStyle w:val="26"/>
                    <w:keepNext w:val="0"/>
                    <w:keepLines w:val="0"/>
                    <w:suppressLineNumbers w:val="0"/>
                    <w:spacing w:before="0" w:beforeAutospacing="0" w:after="0" w:afterAutospacing="0"/>
                    <w:ind w:left="0" w:right="0"/>
                    <w:rPr>
                      <w:rFonts w:hint="default"/>
                    </w:rPr>
                  </w:pPr>
                  <w:r>
                    <w:rPr>
                      <w:rFonts w:hint="default"/>
                    </w:rPr>
                    <w:t>1.2</w:t>
                  </w:r>
                </w:p>
              </w:tc>
              <w:tc>
                <w:tcPr>
                  <w:tcW w:w="347" w:type="pct"/>
                  <w:tcBorders>
                    <w:tl2br w:val="nil"/>
                    <w:tr2bl w:val="nil"/>
                  </w:tcBorders>
                  <w:shd w:val="clear" w:color="auto" w:fill="auto"/>
                  <w:tcMar>
                    <w:top w:w="0" w:type="dxa"/>
                    <w:left w:w="0" w:type="dxa"/>
                    <w:bottom w:w="0" w:type="dxa"/>
                    <w:right w:w="0" w:type="dxa"/>
                  </w:tcMar>
                  <w:vAlign w:val="center"/>
                </w:tcPr>
                <w:p w14:paraId="7C63DBB1">
                  <w:pPr>
                    <w:pStyle w:val="26"/>
                    <w:keepNext w:val="0"/>
                    <w:keepLines w:val="0"/>
                    <w:suppressLineNumbers w:val="0"/>
                    <w:spacing w:before="0" w:beforeAutospacing="0" w:after="0" w:afterAutospacing="0"/>
                    <w:ind w:left="0" w:right="0"/>
                    <w:rPr>
                      <w:rFonts w:hint="default"/>
                    </w:rPr>
                  </w:pPr>
                  <w:r>
                    <w:rPr>
                      <w:rFonts w:hint="default"/>
                    </w:rPr>
                    <w:t>6.5</w:t>
                  </w:r>
                </w:p>
              </w:tc>
              <w:tc>
                <w:tcPr>
                  <w:tcW w:w="385" w:type="pct"/>
                  <w:tcBorders>
                    <w:tl2br w:val="nil"/>
                    <w:tr2bl w:val="nil"/>
                  </w:tcBorders>
                  <w:shd w:val="clear" w:color="auto" w:fill="auto"/>
                  <w:tcMar>
                    <w:top w:w="0" w:type="dxa"/>
                    <w:left w:w="0" w:type="dxa"/>
                    <w:bottom w:w="0" w:type="dxa"/>
                    <w:right w:w="0" w:type="dxa"/>
                  </w:tcMar>
                  <w:vAlign w:val="center"/>
                </w:tcPr>
                <w:p w14:paraId="211D2403">
                  <w:pPr>
                    <w:pStyle w:val="26"/>
                    <w:keepNext w:val="0"/>
                    <w:keepLines w:val="0"/>
                    <w:suppressLineNumbers w:val="0"/>
                    <w:spacing w:before="0" w:beforeAutospacing="0" w:after="0" w:afterAutospacing="0"/>
                    <w:ind w:left="0" w:right="0"/>
                    <w:rPr>
                      <w:rFonts w:hint="default"/>
                    </w:rPr>
                  </w:pPr>
                  <w:r>
                    <w:rPr>
                      <w:rFonts w:hint="default"/>
                    </w:rPr>
                    <w:t>70.2</w:t>
                  </w:r>
                </w:p>
              </w:tc>
              <w:tc>
                <w:tcPr>
                  <w:tcW w:w="241" w:type="pct"/>
                  <w:tcBorders>
                    <w:tl2br w:val="nil"/>
                    <w:tr2bl w:val="nil"/>
                  </w:tcBorders>
                  <w:shd w:val="clear" w:color="auto" w:fill="auto"/>
                  <w:tcMar>
                    <w:top w:w="0" w:type="dxa"/>
                    <w:left w:w="0" w:type="dxa"/>
                    <w:bottom w:w="0" w:type="dxa"/>
                    <w:right w:w="0" w:type="dxa"/>
                  </w:tcMar>
                  <w:vAlign w:val="center"/>
                </w:tcPr>
                <w:p w14:paraId="23435E65">
                  <w:pPr>
                    <w:pStyle w:val="26"/>
                    <w:keepNext w:val="0"/>
                    <w:keepLines w:val="0"/>
                    <w:suppressLineNumbers w:val="0"/>
                    <w:spacing w:before="0" w:beforeAutospacing="0" w:after="0" w:afterAutospacing="0"/>
                    <w:ind w:left="0" w:right="0"/>
                    <w:rPr>
                      <w:rFonts w:hint="default"/>
                    </w:rPr>
                  </w:pPr>
                  <w:r>
                    <w:rPr>
                      <w:rFonts w:hint="default"/>
                    </w:rPr>
                    <w:t>24</w:t>
                  </w:r>
                </w:p>
              </w:tc>
              <w:tc>
                <w:tcPr>
                  <w:tcW w:w="336" w:type="pct"/>
                  <w:tcBorders>
                    <w:tl2br w:val="nil"/>
                    <w:tr2bl w:val="nil"/>
                  </w:tcBorders>
                  <w:shd w:val="clear" w:color="auto" w:fill="auto"/>
                  <w:tcMar>
                    <w:top w:w="0" w:type="dxa"/>
                    <w:left w:w="0" w:type="dxa"/>
                    <w:bottom w:w="0" w:type="dxa"/>
                    <w:right w:w="0" w:type="dxa"/>
                  </w:tcMar>
                  <w:vAlign w:val="center"/>
                </w:tcPr>
                <w:p w14:paraId="4BF8E000">
                  <w:pPr>
                    <w:pStyle w:val="26"/>
                    <w:keepNext w:val="0"/>
                    <w:keepLines w:val="0"/>
                    <w:suppressLineNumbers w:val="0"/>
                    <w:spacing w:before="0" w:beforeAutospacing="0" w:after="0" w:afterAutospacing="0"/>
                    <w:ind w:left="0" w:right="0"/>
                    <w:rPr>
                      <w:rFonts w:hint="default"/>
                    </w:rPr>
                  </w:pPr>
                  <w:r>
                    <w:rPr>
                      <w:rFonts w:hint="default"/>
                    </w:rPr>
                    <w:t>26.0</w:t>
                  </w:r>
                </w:p>
              </w:tc>
              <w:tc>
                <w:tcPr>
                  <w:tcW w:w="327" w:type="pct"/>
                  <w:tcBorders>
                    <w:tl2br w:val="nil"/>
                    <w:tr2bl w:val="nil"/>
                  </w:tcBorders>
                  <w:shd w:val="clear" w:color="auto" w:fill="auto"/>
                  <w:tcMar>
                    <w:top w:w="0" w:type="dxa"/>
                    <w:left w:w="0" w:type="dxa"/>
                    <w:bottom w:w="0" w:type="dxa"/>
                    <w:right w:w="0" w:type="dxa"/>
                  </w:tcMar>
                  <w:vAlign w:val="bottom"/>
                </w:tcPr>
                <w:p w14:paraId="36361613">
                  <w:pPr>
                    <w:pStyle w:val="28"/>
                    <w:keepNext w:val="0"/>
                    <w:keepLines w:val="0"/>
                    <w:suppressLineNumbers w:val="0"/>
                    <w:spacing w:before="0" w:beforeAutospacing="0" w:after="0" w:afterAutospacing="0"/>
                    <w:ind w:left="0" w:right="0"/>
                    <w:rPr>
                      <w:rFonts w:hint="default"/>
                      <w:color w:val="auto"/>
                    </w:rPr>
                  </w:pPr>
                  <w:r>
                    <w:rPr>
                      <w:rFonts w:hint="default"/>
                      <w:color w:val="auto"/>
                    </w:rPr>
                    <w:t>44.2</w:t>
                  </w:r>
                </w:p>
              </w:tc>
              <w:tc>
                <w:tcPr>
                  <w:tcW w:w="320" w:type="pct"/>
                  <w:tcBorders>
                    <w:tl2br w:val="nil"/>
                    <w:tr2bl w:val="nil"/>
                  </w:tcBorders>
                  <w:shd w:val="clear" w:color="auto" w:fill="auto"/>
                  <w:tcMar>
                    <w:top w:w="0" w:type="dxa"/>
                    <w:left w:w="0" w:type="dxa"/>
                    <w:bottom w:w="0" w:type="dxa"/>
                    <w:right w:w="0" w:type="dxa"/>
                  </w:tcMar>
                  <w:vAlign w:val="center"/>
                </w:tcPr>
                <w:p w14:paraId="6196DF8A">
                  <w:pPr>
                    <w:pStyle w:val="26"/>
                    <w:keepNext w:val="0"/>
                    <w:keepLines w:val="0"/>
                    <w:suppressLineNumbers w:val="0"/>
                    <w:spacing w:before="0" w:beforeAutospacing="0" w:after="0" w:afterAutospacing="0"/>
                    <w:ind w:left="0" w:right="0"/>
                    <w:rPr>
                      <w:rFonts w:hint="default"/>
                    </w:rPr>
                  </w:pPr>
                  <w:r>
                    <w:rPr>
                      <w:rFonts w:hint="default"/>
                    </w:rPr>
                    <w:t>1</w:t>
                  </w:r>
                </w:p>
              </w:tc>
            </w:tr>
            <w:bookmarkEnd w:id="114"/>
          </w:tbl>
          <w:p w14:paraId="5D01D838">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备注：坐标原点（0,0,0）取厂区的西南角，以东侧为X轴正向，北侧为Y轴正向，以垂直地面向上为Z轴正向。</w:t>
            </w:r>
          </w:p>
        </w:tc>
      </w:tr>
    </w:tbl>
    <w:p w14:paraId="50FB2B31">
      <w:pPr>
        <w:ind w:firstLine="0" w:firstLineChars="0"/>
        <w:rPr>
          <w:rFonts w:cs="Times New Roman"/>
          <w:color w:val="auto"/>
        </w:rPr>
        <w:sectPr>
          <w:pgSz w:w="16838" w:h="11906" w:orient="landscape"/>
          <w:pgMar w:top="1803" w:right="1440" w:bottom="1803" w:left="1440" w:header="851" w:footer="992" w:gutter="0"/>
          <w:cols w:space="425" w:num="1"/>
          <w:docGrid w:type="lines" w:linePitch="326"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7875"/>
      </w:tblGrid>
      <w:tr w14:paraId="4A65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1" w:type="dxa"/>
            <w:vAlign w:val="center"/>
          </w:tcPr>
          <w:p w14:paraId="4F783A01">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营运期环境影响和保护措施</w:t>
            </w:r>
          </w:p>
        </w:tc>
        <w:tc>
          <w:tcPr>
            <w:tcW w:w="7875" w:type="dxa"/>
            <w:vAlign w:val="center"/>
          </w:tcPr>
          <w:p w14:paraId="4FBADC47">
            <w:pPr>
              <w:pStyle w:val="33"/>
              <w:keepNext w:val="0"/>
              <w:keepLines w:val="0"/>
              <w:suppressLineNumbers w:val="0"/>
              <w:spacing w:before="0" w:beforeAutospacing="0" w:after="0" w:afterAutospacing="0"/>
              <w:ind w:left="0" w:right="0"/>
              <w:rPr>
                <w:rFonts w:hint="default" w:cs="Times New Roman"/>
              </w:rPr>
            </w:pPr>
            <w:r>
              <w:rPr>
                <w:rFonts w:hint="default" w:cs="Times New Roman"/>
              </w:rPr>
              <w:t xml:space="preserve">  拟建项目噪声源强调查清单（室外声源）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669"/>
              <w:gridCol w:w="933"/>
              <w:gridCol w:w="424"/>
              <w:gridCol w:w="710"/>
              <w:gridCol w:w="566"/>
              <w:gridCol w:w="568"/>
              <w:gridCol w:w="1702"/>
              <w:gridCol w:w="955"/>
              <w:gridCol w:w="669"/>
            </w:tblGrid>
            <w:tr w14:paraId="2B3F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 w:type="pct"/>
                  <w:vMerge w:val="restart"/>
                  <w:shd w:val="clear" w:color="auto" w:fill="auto"/>
                  <w:vAlign w:val="center"/>
                </w:tcPr>
                <w:p w14:paraId="0C0AF969">
                  <w:pPr>
                    <w:pStyle w:val="28"/>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437" w:type="pct"/>
                  <w:vMerge w:val="restart"/>
                  <w:shd w:val="clear" w:color="auto" w:fill="auto"/>
                  <w:vAlign w:val="center"/>
                </w:tcPr>
                <w:p w14:paraId="7EA21F06">
                  <w:pPr>
                    <w:pStyle w:val="28"/>
                    <w:keepNext w:val="0"/>
                    <w:keepLines w:val="0"/>
                    <w:suppressLineNumbers w:val="0"/>
                    <w:spacing w:before="0" w:beforeAutospacing="0" w:after="0" w:afterAutospacing="0"/>
                    <w:ind w:left="0" w:right="0"/>
                    <w:rPr>
                      <w:rFonts w:hint="default"/>
                      <w:color w:val="auto"/>
                    </w:rPr>
                  </w:pPr>
                  <w:r>
                    <w:rPr>
                      <w:rFonts w:hint="default"/>
                      <w:color w:val="auto"/>
                    </w:rPr>
                    <w:t>建筑物名称</w:t>
                  </w:r>
                </w:p>
              </w:tc>
              <w:tc>
                <w:tcPr>
                  <w:tcW w:w="610" w:type="pct"/>
                  <w:vMerge w:val="restart"/>
                  <w:shd w:val="clear" w:color="auto" w:fill="auto"/>
                  <w:vAlign w:val="center"/>
                </w:tcPr>
                <w:p w14:paraId="00194613">
                  <w:pPr>
                    <w:pStyle w:val="28"/>
                    <w:keepNext w:val="0"/>
                    <w:keepLines w:val="0"/>
                    <w:suppressLineNumbers w:val="0"/>
                    <w:spacing w:before="0" w:beforeAutospacing="0" w:after="0" w:afterAutospacing="0"/>
                    <w:ind w:left="0" w:right="0"/>
                    <w:rPr>
                      <w:rFonts w:hint="default"/>
                      <w:color w:val="auto"/>
                    </w:rPr>
                  </w:pPr>
                  <w:r>
                    <w:rPr>
                      <w:rFonts w:hint="default"/>
                      <w:color w:val="auto"/>
                    </w:rPr>
                    <w:t>声源名称</w:t>
                  </w:r>
                </w:p>
              </w:tc>
              <w:tc>
                <w:tcPr>
                  <w:tcW w:w="277" w:type="pct"/>
                  <w:vMerge w:val="restart"/>
                  <w:shd w:val="clear" w:color="auto" w:fill="auto"/>
                  <w:vAlign w:val="center"/>
                </w:tcPr>
                <w:p w14:paraId="304AF1C5">
                  <w:pPr>
                    <w:pStyle w:val="28"/>
                    <w:keepNext w:val="0"/>
                    <w:keepLines w:val="0"/>
                    <w:suppressLineNumbers w:val="0"/>
                    <w:spacing w:before="0" w:beforeAutospacing="0" w:after="0" w:afterAutospacing="0"/>
                    <w:ind w:left="0" w:right="0"/>
                    <w:rPr>
                      <w:rFonts w:hint="default"/>
                      <w:color w:val="auto"/>
                    </w:rPr>
                  </w:pPr>
                  <w:r>
                    <w:rPr>
                      <w:rFonts w:hint="default"/>
                      <w:color w:val="auto"/>
                    </w:rPr>
                    <w:t>型号</w:t>
                  </w:r>
                </w:p>
              </w:tc>
              <w:tc>
                <w:tcPr>
                  <w:tcW w:w="1205" w:type="pct"/>
                  <w:gridSpan w:val="3"/>
                  <w:shd w:val="clear" w:color="auto" w:fill="auto"/>
                  <w:vAlign w:val="center"/>
                </w:tcPr>
                <w:p w14:paraId="2FD641D8">
                  <w:pPr>
                    <w:pStyle w:val="28"/>
                    <w:keepNext w:val="0"/>
                    <w:keepLines w:val="0"/>
                    <w:suppressLineNumbers w:val="0"/>
                    <w:spacing w:before="0" w:beforeAutospacing="0" w:after="0" w:afterAutospacing="0"/>
                    <w:ind w:left="0" w:right="0"/>
                    <w:rPr>
                      <w:rFonts w:hint="default"/>
                      <w:color w:val="auto"/>
                    </w:rPr>
                  </w:pPr>
                  <w:r>
                    <w:rPr>
                      <w:rFonts w:hint="default"/>
                      <w:color w:val="auto"/>
                    </w:rPr>
                    <w:t>空间相对位置/m</w:t>
                  </w:r>
                </w:p>
              </w:tc>
              <w:tc>
                <w:tcPr>
                  <w:tcW w:w="1112" w:type="pct"/>
                  <w:vMerge w:val="restart"/>
                  <w:shd w:val="clear" w:color="auto" w:fill="auto"/>
                  <w:vAlign w:val="center"/>
                </w:tcPr>
                <w:p w14:paraId="45A214C4">
                  <w:pPr>
                    <w:pStyle w:val="28"/>
                    <w:keepNext w:val="0"/>
                    <w:keepLines w:val="0"/>
                    <w:suppressLineNumbers w:val="0"/>
                    <w:spacing w:before="0" w:beforeAutospacing="0" w:after="0" w:afterAutospacing="0"/>
                    <w:ind w:left="0" w:right="0"/>
                    <w:rPr>
                      <w:rFonts w:hint="default"/>
                      <w:color w:val="auto"/>
                    </w:rPr>
                  </w:pPr>
                  <w:r>
                    <w:rPr>
                      <w:rFonts w:hint="default"/>
                      <w:color w:val="auto"/>
                    </w:rPr>
                    <w:t>声源源强（声压级/距声源距离）/（dB(A)/ m）</w:t>
                  </w:r>
                </w:p>
              </w:tc>
              <w:tc>
                <w:tcPr>
                  <w:tcW w:w="624" w:type="pct"/>
                  <w:vMerge w:val="restart"/>
                  <w:shd w:val="clear" w:color="auto" w:fill="auto"/>
                  <w:vAlign w:val="center"/>
                </w:tcPr>
                <w:p w14:paraId="167B4B66">
                  <w:pPr>
                    <w:pStyle w:val="28"/>
                    <w:keepNext w:val="0"/>
                    <w:keepLines w:val="0"/>
                    <w:suppressLineNumbers w:val="0"/>
                    <w:spacing w:before="0" w:beforeAutospacing="0" w:after="0" w:afterAutospacing="0"/>
                    <w:ind w:left="0" w:right="0"/>
                    <w:rPr>
                      <w:rFonts w:hint="default"/>
                      <w:color w:val="auto"/>
                    </w:rPr>
                  </w:pPr>
                  <w:r>
                    <w:rPr>
                      <w:rFonts w:hint="default"/>
                      <w:color w:val="auto"/>
                    </w:rPr>
                    <w:t>声源控制措施</w:t>
                  </w:r>
                </w:p>
              </w:tc>
              <w:tc>
                <w:tcPr>
                  <w:tcW w:w="437" w:type="pct"/>
                  <w:vMerge w:val="restart"/>
                  <w:shd w:val="clear" w:color="auto" w:fill="auto"/>
                  <w:vAlign w:val="center"/>
                </w:tcPr>
                <w:p w14:paraId="4440ED66">
                  <w:pPr>
                    <w:pStyle w:val="28"/>
                    <w:keepNext w:val="0"/>
                    <w:keepLines w:val="0"/>
                    <w:suppressLineNumbers w:val="0"/>
                    <w:spacing w:before="0" w:beforeAutospacing="0" w:after="0" w:afterAutospacing="0"/>
                    <w:ind w:left="0" w:right="0"/>
                    <w:rPr>
                      <w:rFonts w:hint="default"/>
                      <w:color w:val="auto"/>
                    </w:rPr>
                  </w:pPr>
                  <w:r>
                    <w:rPr>
                      <w:rFonts w:hint="default"/>
                      <w:color w:val="auto"/>
                    </w:rPr>
                    <w:t>运行</w:t>
                  </w:r>
                </w:p>
                <w:p w14:paraId="4A34A514">
                  <w:pPr>
                    <w:pStyle w:val="28"/>
                    <w:keepNext w:val="0"/>
                    <w:keepLines w:val="0"/>
                    <w:suppressLineNumbers w:val="0"/>
                    <w:spacing w:before="0" w:beforeAutospacing="0" w:after="0" w:afterAutospacing="0"/>
                    <w:ind w:left="0" w:right="0"/>
                    <w:rPr>
                      <w:rFonts w:hint="default"/>
                      <w:color w:val="auto"/>
                    </w:rPr>
                  </w:pPr>
                  <w:r>
                    <w:rPr>
                      <w:rFonts w:hint="default"/>
                      <w:color w:val="auto"/>
                    </w:rPr>
                    <w:t>时段</w:t>
                  </w:r>
                </w:p>
              </w:tc>
            </w:tr>
            <w:tr w14:paraId="7EF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vMerge w:val="continue"/>
                  <w:shd w:val="clear" w:color="auto" w:fill="auto"/>
                  <w:vAlign w:val="center"/>
                </w:tcPr>
                <w:p w14:paraId="0AFB75E9">
                  <w:pPr>
                    <w:pStyle w:val="28"/>
                    <w:keepNext w:val="0"/>
                    <w:keepLines w:val="0"/>
                    <w:suppressLineNumbers w:val="0"/>
                    <w:spacing w:before="0" w:beforeAutospacing="0" w:after="0" w:afterAutospacing="0"/>
                    <w:ind w:left="0" w:right="0"/>
                    <w:rPr>
                      <w:rFonts w:hint="default"/>
                      <w:color w:val="auto"/>
                    </w:rPr>
                  </w:pPr>
                </w:p>
              </w:tc>
              <w:tc>
                <w:tcPr>
                  <w:tcW w:w="437" w:type="pct"/>
                  <w:vMerge w:val="continue"/>
                  <w:shd w:val="clear" w:color="auto" w:fill="auto"/>
                  <w:vAlign w:val="center"/>
                </w:tcPr>
                <w:p w14:paraId="1FB83633">
                  <w:pPr>
                    <w:pStyle w:val="28"/>
                    <w:keepNext w:val="0"/>
                    <w:keepLines w:val="0"/>
                    <w:suppressLineNumbers w:val="0"/>
                    <w:spacing w:before="0" w:beforeAutospacing="0" w:after="0" w:afterAutospacing="0"/>
                    <w:ind w:left="0" w:right="0"/>
                    <w:rPr>
                      <w:rFonts w:hint="default"/>
                      <w:color w:val="auto"/>
                    </w:rPr>
                  </w:pPr>
                </w:p>
              </w:tc>
              <w:tc>
                <w:tcPr>
                  <w:tcW w:w="610" w:type="pct"/>
                  <w:vMerge w:val="continue"/>
                  <w:shd w:val="clear" w:color="auto" w:fill="auto"/>
                  <w:vAlign w:val="center"/>
                </w:tcPr>
                <w:p w14:paraId="4301E32C">
                  <w:pPr>
                    <w:pStyle w:val="28"/>
                    <w:keepNext w:val="0"/>
                    <w:keepLines w:val="0"/>
                    <w:suppressLineNumbers w:val="0"/>
                    <w:spacing w:before="0" w:beforeAutospacing="0" w:after="0" w:afterAutospacing="0"/>
                    <w:ind w:left="0" w:right="0"/>
                    <w:rPr>
                      <w:rFonts w:hint="default"/>
                      <w:color w:val="auto"/>
                    </w:rPr>
                  </w:pPr>
                </w:p>
              </w:tc>
              <w:tc>
                <w:tcPr>
                  <w:tcW w:w="277" w:type="pct"/>
                  <w:vMerge w:val="continue"/>
                  <w:shd w:val="clear" w:color="auto" w:fill="auto"/>
                  <w:vAlign w:val="center"/>
                </w:tcPr>
                <w:p w14:paraId="4A38BB01">
                  <w:pPr>
                    <w:pStyle w:val="28"/>
                    <w:keepNext w:val="0"/>
                    <w:keepLines w:val="0"/>
                    <w:suppressLineNumbers w:val="0"/>
                    <w:spacing w:before="0" w:beforeAutospacing="0" w:after="0" w:afterAutospacing="0"/>
                    <w:ind w:left="0" w:right="0"/>
                    <w:rPr>
                      <w:rFonts w:hint="default"/>
                      <w:color w:val="auto"/>
                    </w:rPr>
                  </w:pPr>
                </w:p>
              </w:tc>
              <w:tc>
                <w:tcPr>
                  <w:tcW w:w="464" w:type="pct"/>
                  <w:shd w:val="clear" w:color="auto" w:fill="auto"/>
                  <w:vAlign w:val="center"/>
                </w:tcPr>
                <w:p w14:paraId="68EAE387">
                  <w:pPr>
                    <w:pStyle w:val="28"/>
                    <w:keepNext w:val="0"/>
                    <w:keepLines w:val="0"/>
                    <w:suppressLineNumbers w:val="0"/>
                    <w:spacing w:before="0" w:beforeAutospacing="0" w:after="0" w:afterAutospacing="0"/>
                    <w:ind w:left="0" w:right="0"/>
                    <w:rPr>
                      <w:rFonts w:hint="default"/>
                      <w:color w:val="auto"/>
                    </w:rPr>
                  </w:pPr>
                  <w:r>
                    <w:rPr>
                      <w:rFonts w:hint="default"/>
                      <w:color w:val="auto"/>
                    </w:rPr>
                    <w:t>X</w:t>
                  </w:r>
                </w:p>
              </w:tc>
              <w:tc>
                <w:tcPr>
                  <w:tcW w:w="370" w:type="pct"/>
                  <w:shd w:val="clear" w:color="auto" w:fill="auto"/>
                  <w:vAlign w:val="center"/>
                </w:tcPr>
                <w:p w14:paraId="1DE9348A">
                  <w:pPr>
                    <w:pStyle w:val="28"/>
                    <w:keepNext w:val="0"/>
                    <w:keepLines w:val="0"/>
                    <w:suppressLineNumbers w:val="0"/>
                    <w:spacing w:before="0" w:beforeAutospacing="0" w:after="0" w:afterAutospacing="0"/>
                    <w:ind w:left="0" w:right="0"/>
                    <w:rPr>
                      <w:rFonts w:hint="default"/>
                      <w:color w:val="auto"/>
                    </w:rPr>
                  </w:pPr>
                  <w:r>
                    <w:rPr>
                      <w:rFonts w:hint="default"/>
                      <w:color w:val="auto"/>
                    </w:rPr>
                    <w:t>Y</w:t>
                  </w:r>
                </w:p>
              </w:tc>
              <w:tc>
                <w:tcPr>
                  <w:tcW w:w="371" w:type="pct"/>
                  <w:shd w:val="clear" w:color="auto" w:fill="auto"/>
                  <w:vAlign w:val="center"/>
                </w:tcPr>
                <w:p w14:paraId="4399357E">
                  <w:pPr>
                    <w:pStyle w:val="28"/>
                    <w:keepNext w:val="0"/>
                    <w:keepLines w:val="0"/>
                    <w:suppressLineNumbers w:val="0"/>
                    <w:spacing w:before="0" w:beforeAutospacing="0" w:after="0" w:afterAutospacing="0"/>
                    <w:ind w:left="0" w:right="0"/>
                    <w:rPr>
                      <w:rFonts w:hint="default"/>
                      <w:color w:val="auto"/>
                    </w:rPr>
                  </w:pPr>
                  <w:r>
                    <w:rPr>
                      <w:rFonts w:hint="default"/>
                      <w:color w:val="auto"/>
                    </w:rPr>
                    <w:t>Z</w:t>
                  </w:r>
                </w:p>
              </w:tc>
              <w:tc>
                <w:tcPr>
                  <w:tcW w:w="1112" w:type="pct"/>
                  <w:vMerge w:val="continue"/>
                  <w:shd w:val="clear" w:color="auto" w:fill="auto"/>
                  <w:vAlign w:val="center"/>
                </w:tcPr>
                <w:p w14:paraId="65E70CAB">
                  <w:pPr>
                    <w:pStyle w:val="28"/>
                    <w:keepNext w:val="0"/>
                    <w:keepLines w:val="0"/>
                    <w:suppressLineNumbers w:val="0"/>
                    <w:spacing w:before="0" w:beforeAutospacing="0" w:after="0" w:afterAutospacing="0"/>
                    <w:ind w:left="0" w:right="0"/>
                    <w:rPr>
                      <w:rFonts w:hint="default"/>
                      <w:color w:val="auto"/>
                    </w:rPr>
                  </w:pPr>
                </w:p>
              </w:tc>
              <w:tc>
                <w:tcPr>
                  <w:tcW w:w="624" w:type="pct"/>
                  <w:vMerge w:val="continue"/>
                  <w:shd w:val="clear" w:color="auto" w:fill="auto"/>
                  <w:vAlign w:val="center"/>
                </w:tcPr>
                <w:p w14:paraId="0E529C17">
                  <w:pPr>
                    <w:pStyle w:val="28"/>
                    <w:keepNext w:val="0"/>
                    <w:keepLines w:val="0"/>
                    <w:suppressLineNumbers w:val="0"/>
                    <w:spacing w:before="0" w:beforeAutospacing="0" w:after="0" w:afterAutospacing="0"/>
                    <w:ind w:left="0" w:right="0"/>
                    <w:rPr>
                      <w:rFonts w:hint="default"/>
                      <w:color w:val="auto"/>
                    </w:rPr>
                  </w:pPr>
                </w:p>
              </w:tc>
              <w:tc>
                <w:tcPr>
                  <w:tcW w:w="437" w:type="pct"/>
                  <w:vMerge w:val="continue"/>
                  <w:shd w:val="clear" w:color="auto" w:fill="auto"/>
                  <w:vAlign w:val="center"/>
                </w:tcPr>
                <w:p w14:paraId="3BF4B66D">
                  <w:pPr>
                    <w:pStyle w:val="28"/>
                    <w:keepNext w:val="0"/>
                    <w:keepLines w:val="0"/>
                    <w:suppressLineNumbers w:val="0"/>
                    <w:spacing w:before="0" w:beforeAutospacing="0" w:after="0" w:afterAutospacing="0"/>
                    <w:ind w:left="0" w:right="0"/>
                    <w:rPr>
                      <w:rFonts w:hint="default"/>
                      <w:color w:val="auto"/>
                    </w:rPr>
                  </w:pPr>
                </w:p>
              </w:tc>
            </w:tr>
            <w:tr w14:paraId="02C8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shd w:val="clear" w:color="auto" w:fill="auto"/>
                  <w:vAlign w:val="center"/>
                </w:tcPr>
                <w:p w14:paraId="02143B94">
                  <w:pPr>
                    <w:pStyle w:val="28"/>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437" w:type="pct"/>
                  <w:shd w:val="clear" w:color="auto" w:fill="auto"/>
                  <w:vAlign w:val="center"/>
                </w:tcPr>
                <w:p w14:paraId="241FBDC8">
                  <w:pPr>
                    <w:pStyle w:val="28"/>
                    <w:keepNext w:val="0"/>
                    <w:keepLines w:val="0"/>
                    <w:suppressLineNumbers w:val="0"/>
                    <w:spacing w:before="0" w:beforeAutospacing="0" w:after="0" w:afterAutospacing="0"/>
                    <w:ind w:left="0" w:right="0"/>
                    <w:rPr>
                      <w:rFonts w:hint="default"/>
                      <w:color w:val="auto"/>
                    </w:rPr>
                  </w:pPr>
                  <w:r>
                    <w:rPr>
                      <w:rFonts w:hint="default"/>
                      <w:color w:val="auto"/>
                    </w:rPr>
                    <w:t>生产车间</w:t>
                  </w:r>
                </w:p>
              </w:tc>
              <w:tc>
                <w:tcPr>
                  <w:tcW w:w="610" w:type="pct"/>
                  <w:shd w:val="clear" w:color="auto" w:fill="auto"/>
                  <w:vAlign w:val="center"/>
                </w:tcPr>
                <w:p w14:paraId="0F6DFEF3">
                  <w:pPr>
                    <w:pStyle w:val="28"/>
                    <w:keepNext w:val="0"/>
                    <w:keepLines w:val="0"/>
                    <w:suppressLineNumbers w:val="0"/>
                    <w:spacing w:before="0" w:beforeAutospacing="0" w:after="0" w:afterAutospacing="0"/>
                    <w:ind w:left="0" w:right="0"/>
                    <w:rPr>
                      <w:rFonts w:hint="default"/>
                      <w:color w:val="auto"/>
                    </w:rPr>
                  </w:pPr>
                  <w:r>
                    <w:rPr>
                      <w:rFonts w:hint="default"/>
                      <w:color w:val="auto"/>
                    </w:rPr>
                    <w:t>楼顶废气治理风机</w:t>
                  </w:r>
                </w:p>
              </w:tc>
              <w:tc>
                <w:tcPr>
                  <w:tcW w:w="277" w:type="pct"/>
                  <w:shd w:val="clear" w:color="auto" w:fill="auto"/>
                  <w:vAlign w:val="center"/>
                </w:tcPr>
                <w:p w14:paraId="6C441AA2">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64" w:type="pct"/>
                  <w:shd w:val="clear" w:color="auto" w:fill="auto"/>
                  <w:vAlign w:val="center"/>
                </w:tcPr>
                <w:p w14:paraId="4DC5E3B8">
                  <w:pPr>
                    <w:pStyle w:val="28"/>
                    <w:keepNext w:val="0"/>
                    <w:keepLines w:val="0"/>
                    <w:suppressLineNumbers w:val="0"/>
                    <w:spacing w:before="0" w:beforeAutospacing="0" w:after="0" w:afterAutospacing="0"/>
                    <w:ind w:left="0" w:right="0"/>
                    <w:rPr>
                      <w:rFonts w:hint="default"/>
                      <w:color w:val="auto"/>
                    </w:rPr>
                  </w:pPr>
                  <w:r>
                    <w:rPr>
                      <w:rFonts w:hint="default"/>
                      <w:color w:val="auto"/>
                    </w:rPr>
                    <w:t>33</w:t>
                  </w:r>
                </w:p>
              </w:tc>
              <w:tc>
                <w:tcPr>
                  <w:tcW w:w="370" w:type="pct"/>
                  <w:shd w:val="clear" w:color="auto" w:fill="auto"/>
                  <w:vAlign w:val="center"/>
                </w:tcPr>
                <w:p w14:paraId="64FC0060">
                  <w:pPr>
                    <w:pStyle w:val="28"/>
                    <w:keepNext w:val="0"/>
                    <w:keepLines w:val="0"/>
                    <w:suppressLineNumbers w:val="0"/>
                    <w:spacing w:before="0" w:beforeAutospacing="0" w:after="0" w:afterAutospacing="0"/>
                    <w:ind w:left="0" w:right="0"/>
                    <w:rPr>
                      <w:rFonts w:hint="default"/>
                      <w:color w:val="auto"/>
                    </w:rPr>
                  </w:pPr>
                  <w:r>
                    <w:rPr>
                      <w:rFonts w:hint="default"/>
                      <w:color w:val="auto"/>
                    </w:rPr>
                    <w:t>113</w:t>
                  </w:r>
                </w:p>
              </w:tc>
              <w:tc>
                <w:tcPr>
                  <w:tcW w:w="371" w:type="pct"/>
                  <w:shd w:val="clear" w:color="auto" w:fill="auto"/>
                  <w:vAlign w:val="center"/>
                </w:tcPr>
                <w:p w14:paraId="121C8917">
                  <w:pPr>
                    <w:pStyle w:val="28"/>
                    <w:keepNext w:val="0"/>
                    <w:keepLines w:val="0"/>
                    <w:suppressLineNumbers w:val="0"/>
                    <w:spacing w:before="0" w:beforeAutospacing="0" w:after="0" w:afterAutospacing="0"/>
                    <w:ind w:left="0" w:right="0"/>
                    <w:rPr>
                      <w:rFonts w:hint="default"/>
                      <w:color w:val="auto"/>
                    </w:rPr>
                  </w:pPr>
                  <w:r>
                    <w:rPr>
                      <w:rFonts w:hint="default"/>
                      <w:color w:val="auto"/>
                    </w:rPr>
                    <w:t>24</w:t>
                  </w:r>
                </w:p>
              </w:tc>
              <w:tc>
                <w:tcPr>
                  <w:tcW w:w="1112" w:type="pct"/>
                  <w:shd w:val="clear" w:color="auto" w:fill="auto"/>
                  <w:vAlign w:val="center"/>
                </w:tcPr>
                <w:p w14:paraId="2E119602">
                  <w:pPr>
                    <w:pStyle w:val="28"/>
                    <w:keepNext w:val="0"/>
                    <w:keepLines w:val="0"/>
                    <w:suppressLineNumbers w:val="0"/>
                    <w:spacing w:before="0" w:beforeAutospacing="0" w:after="0" w:afterAutospacing="0"/>
                    <w:ind w:left="0" w:right="0"/>
                    <w:rPr>
                      <w:rFonts w:hint="default"/>
                      <w:color w:val="auto"/>
                    </w:rPr>
                  </w:pPr>
                  <w:r>
                    <w:rPr>
                      <w:rFonts w:hint="default"/>
                      <w:color w:val="auto"/>
                    </w:rPr>
                    <w:t>80/1</w:t>
                  </w:r>
                </w:p>
              </w:tc>
              <w:tc>
                <w:tcPr>
                  <w:tcW w:w="624" w:type="pct"/>
                  <w:vMerge w:val="restart"/>
                  <w:shd w:val="clear" w:color="auto" w:fill="auto"/>
                  <w:vAlign w:val="center"/>
                </w:tcPr>
                <w:p w14:paraId="7E5BDA25">
                  <w:pPr>
                    <w:pStyle w:val="28"/>
                    <w:keepNext w:val="0"/>
                    <w:keepLines w:val="0"/>
                    <w:suppressLineNumbers w:val="0"/>
                    <w:spacing w:before="0" w:beforeAutospacing="0" w:after="0" w:afterAutospacing="0"/>
                    <w:ind w:left="0" w:right="0"/>
                    <w:rPr>
                      <w:rFonts w:hint="default"/>
                      <w:color w:val="auto"/>
                    </w:rPr>
                  </w:pPr>
                  <w:r>
                    <w:rPr>
                      <w:rFonts w:hint="default"/>
                      <w:color w:val="auto"/>
                    </w:rPr>
                    <w:t>选用低噪声设备、基础减振</w:t>
                  </w:r>
                </w:p>
              </w:tc>
              <w:tc>
                <w:tcPr>
                  <w:tcW w:w="437" w:type="pct"/>
                  <w:shd w:val="clear" w:color="auto" w:fill="auto"/>
                  <w:vAlign w:val="center"/>
                </w:tcPr>
                <w:p w14:paraId="5A19D7AD">
                  <w:pPr>
                    <w:pStyle w:val="28"/>
                    <w:keepNext w:val="0"/>
                    <w:keepLines w:val="0"/>
                    <w:suppressLineNumbers w:val="0"/>
                    <w:spacing w:before="0" w:beforeAutospacing="0" w:after="0" w:afterAutospacing="0"/>
                    <w:ind w:left="0" w:right="0"/>
                    <w:rPr>
                      <w:rFonts w:hint="default"/>
                      <w:color w:val="auto"/>
                    </w:rPr>
                  </w:pPr>
                  <w:r>
                    <w:rPr>
                      <w:rFonts w:hint="default"/>
                      <w:color w:val="auto"/>
                    </w:rPr>
                    <w:t>连续</w:t>
                  </w:r>
                </w:p>
              </w:tc>
            </w:tr>
            <w:tr w14:paraId="639F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shd w:val="clear" w:color="auto" w:fill="auto"/>
                  <w:vAlign w:val="center"/>
                </w:tcPr>
                <w:p w14:paraId="1DD9C5C8">
                  <w:pPr>
                    <w:pStyle w:val="28"/>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437" w:type="pct"/>
                  <w:vMerge w:val="restart"/>
                  <w:shd w:val="clear" w:color="auto" w:fill="auto"/>
                  <w:vAlign w:val="center"/>
                </w:tcPr>
                <w:p w14:paraId="7683DE0E">
                  <w:pPr>
                    <w:pStyle w:val="28"/>
                    <w:keepNext w:val="0"/>
                    <w:keepLines w:val="0"/>
                    <w:suppressLineNumbers w:val="0"/>
                    <w:spacing w:before="0" w:beforeAutospacing="0" w:after="0" w:afterAutospacing="0"/>
                    <w:ind w:left="0" w:right="0"/>
                    <w:rPr>
                      <w:rFonts w:hint="default"/>
                      <w:color w:val="auto"/>
                    </w:rPr>
                  </w:pPr>
                  <w:r>
                    <w:rPr>
                      <w:rFonts w:hint="default"/>
                      <w:color w:val="auto"/>
                    </w:rPr>
                    <w:t>循环水系统</w:t>
                  </w:r>
                </w:p>
              </w:tc>
              <w:tc>
                <w:tcPr>
                  <w:tcW w:w="610" w:type="pct"/>
                  <w:shd w:val="clear" w:color="auto" w:fill="auto"/>
                  <w:vAlign w:val="center"/>
                </w:tcPr>
                <w:p w14:paraId="228C4482">
                  <w:pPr>
                    <w:pStyle w:val="28"/>
                    <w:keepNext w:val="0"/>
                    <w:keepLines w:val="0"/>
                    <w:suppressLineNumbers w:val="0"/>
                    <w:spacing w:before="0" w:beforeAutospacing="0" w:after="0" w:afterAutospacing="0"/>
                    <w:ind w:left="0" w:right="0"/>
                    <w:rPr>
                      <w:rFonts w:hint="default"/>
                      <w:color w:val="auto"/>
                    </w:rPr>
                  </w:pPr>
                  <w:r>
                    <w:rPr>
                      <w:rFonts w:hint="default"/>
                      <w:color w:val="auto"/>
                    </w:rPr>
                    <w:t>水泵</w:t>
                  </w:r>
                </w:p>
              </w:tc>
              <w:tc>
                <w:tcPr>
                  <w:tcW w:w="277" w:type="pct"/>
                  <w:shd w:val="clear" w:color="auto" w:fill="auto"/>
                  <w:vAlign w:val="center"/>
                </w:tcPr>
                <w:p w14:paraId="724E38B5">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64" w:type="pct"/>
                  <w:shd w:val="clear" w:color="auto" w:fill="auto"/>
                  <w:vAlign w:val="center"/>
                </w:tcPr>
                <w:p w14:paraId="08474DB9">
                  <w:pPr>
                    <w:pStyle w:val="28"/>
                    <w:keepNext w:val="0"/>
                    <w:keepLines w:val="0"/>
                    <w:suppressLineNumbers w:val="0"/>
                    <w:spacing w:before="0" w:beforeAutospacing="0" w:after="0" w:afterAutospacing="0"/>
                    <w:ind w:left="0" w:right="0"/>
                    <w:rPr>
                      <w:rFonts w:hint="default"/>
                      <w:color w:val="auto"/>
                    </w:rPr>
                  </w:pPr>
                  <w:r>
                    <w:rPr>
                      <w:rFonts w:hint="default"/>
                      <w:color w:val="auto"/>
                    </w:rPr>
                    <w:t>90</w:t>
                  </w:r>
                </w:p>
              </w:tc>
              <w:tc>
                <w:tcPr>
                  <w:tcW w:w="370" w:type="pct"/>
                  <w:shd w:val="clear" w:color="auto" w:fill="auto"/>
                  <w:vAlign w:val="center"/>
                </w:tcPr>
                <w:p w14:paraId="220151C5">
                  <w:pPr>
                    <w:pStyle w:val="28"/>
                    <w:keepNext w:val="0"/>
                    <w:keepLines w:val="0"/>
                    <w:suppressLineNumbers w:val="0"/>
                    <w:spacing w:before="0" w:beforeAutospacing="0" w:after="0" w:afterAutospacing="0"/>
                    <w:ind w:left="0" w:right="0"/>
                    <w:rPr>
                      <w:rFonts w:hint="default"/>
                      <w:color w:val="auto"/>
                    </w:rPr>
                  </w:pPr>
                  <w:r>
                    <w:rPr>
                      <w:rFonts w:hint="default"/>
                      <w:color w:val="auto"/>
                    </w:rPr>
                    <w:t>130</w:t>
                  </w:r>
                </w:p>
              </w:tc>
              <w:tc>
                <w:tcPr>
                  <w:tcW w:w="371" w:type="pct"/>
                  <w:shd w:val="clear" w:color="auto" w:fill="auto"/>
                  <w:vAlign w:val="center"/>
                </w:tcPr>
                <w:p w14:paraId="2B29AC89">
                  <w:pPr>
                    <w:pStyle w:val="28"/>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1112" w:type="pct"/>
                  <w:shd w:val="clear" w:color="auto" w:fill="auto"/>
                  <w:vAlign w:val="center"/>
                </w:tcPr>
                <w:p w14:paraId="20725831">
                  <w:pPr>
                    <w:pStyle w:val="28"/>
                    <w:keepNext w:val="0"/>
                    <w:keepLines w:val="0"/>
                    <w:suppressLineNumbers w:val="0"/>
                    <w:spacing w:before="0" w:beforeAutospacing="0" w:after="0" w:afterAutospacing="0"/>
                    <w:ind w:left="0" w:right="0"/>
                    <w:rPr>
                      <w:rFonts w:hint="default"/>
                      <w:color w:val="auto"/>
                    </w:rPr>
                  </w:pPr>
                  <w:r>
                    <w:rPr>
                      <w:rFonts w:hint="default"/>
                      <w:color w:val="auto"/>
                    </w:rPr>
                    <w:t>80/1</w:t>
                  </w:r>
                </w:p>
              </w:tc>
              <w:tc>
                <w:tcPr>
                  <w:tcW w:w="624" w:type="pct"/>
                  <w:vMerge w:val="continue"/>
                  <w:shd w:val="clear" w:color="auto" w:fill="auto"/>
                  <w:vAlign w:val="center"/>
                </w:tcPr>
                <w:p w14:paraId="1F95DF7B">
                  <w:pPr>
                    <w:pStyle w:val="28"/>
                    <w:keepNext w:val="0"/>
                    <w:keepLines w:val="0"/>
                    <w:suppressLineNumbers w:val="0"/>
                    <w:spacing w:before="0" w:beforeAutospacing="0" w:after="0" w:afterAutospacing="0"/>
                    <w:ind w:left="0" w:right="0"/>
                    <w:rPr>
                      <w:rFonts w:hint="default"/>
                      <w:color w:val="auto"/>
                    </w:rPr>
                  </w:pPr>
                </w:p>
              </w:tc>
              <w:tc>
                <w:tcPr>
                  <w:tcW w:w="437" w:type="pct"/>
                  <w:shd w:val="clear" w:color="auto" w:fill="auto"/>
                  <w:vAlign w:val="center"/>
                </w:tcPr>
                <w:p w14:paraId="4D304F1C">
                  <w:pPr>
                    <w:pStyle w:val="28"/>
                    <w:keepNext w:val="0"/>
                    <w:keepLines w:val="0"/>
                    <w:suppressLineNumbers w:val="0"/>
                    <w:spacing w:before="0" w:beforeAutospacing="0" w:after="0" w:afterAutospacing="0"/>
                    <w:ind w:left="0" w:right="0"/>
                    <w:rPr>
                      <w:rFonts w:hint="default"/>
                      <w:color w:val="auto"/>
                    </w:rPr>
                  </w:pPr>
                  <w:r>
                    <w:rPr>
                      <w:rFonts w:hint="default"/>
                      <w:color w:val="auto"/>
                    </w:rPr>
                    <w:t>连续</w:t>
                  </w:r>
                </w:p>
              </w:tc>
            </w:tr>
            <w:tr w14:paraId="6AD2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shd w:val="clear" w:color="auto" w:fill="auto"/>
                  <w:vAlign w:val="center"/>
                </w:tcPr>
                <w:p w14:paraId="32F053F7">
                  <w:pPr>
                    <w:pStyle w:val="28"/>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437" w:type="pct"/>
                  <w:vMerge w:val="continue"/>
                  <w:shd w:val="clear" w:color="auto" w:fill="auto"/>
                  <w:vAlign w:val="center"/>
                </w:tcPr>
                <w:p w14:paraId="61534FAE">
                  <w:pPr>
                    <w:pStyle w:val="28"/>
                    <w:keepNext w:val="0"/>
                    <w:keepLines w:val="0"/>
                    <w:suppressLineNumbers w:val="0"/>
                    <w:spacing w:before="0" w:beforeAutospacing="0" w:after="0" w:afterAutospacing="0"/>
                    <w:ind w:left="0" w:right="0"/>
                    <w:rPr>
                      <w:rFonts w:hint="default"/>
                      <w:color w:val="auto"/>
                    </w:rPr>
                  </w:pPr>
                </w:p>
              </w:tc>
              <w:tc>
                <w:tcPr>
                  <w:tcW w:w="610" w:type="pct"/>
                  <w:shd w:val="clear" w:color="auto" w:fill="auto"/>
                  <w:vAlign w:val="center"/>
                </w:tcPr>
                <w:p w14:paraId="7CBB5C0E">
                  <w:pPr>
                    <w:pStyle w:val="28"/>
                    <w:keepNext w:val="0"/>
                    <w:keepLines w:val="0"/>
                    <w:suppressLineNumbers w:val="0"/>
                    <w:spacing w:before="0" w:beforeAutospacing="0" w:after="0" w:afterAutospacing="0"/>
                    <w:ind w:left="0" w:right="0"/>
                    <w:rPr>
                      <w:rFonts w:hint="default"/>
                      <w:color w:val="auto"/>
                    </w:rPr>
                  </w:pPr>
                  <w:r>
                    <w:rPr>
                      <w:rFonts w:hint="default"/>
                      <w:color w:val="auto"/>
                    </w:rPr>
                    <w:t>冷却塔</w:t>
                  </w:r>
                </w:p>
              </w:tc>
              <w:tc>
                <w:tcPr>
                  <w:tcW w:w="277" w:type="pct"/>
                  <w:shd w:val="clear" w:color="auto" w:fill="auto"/>
                  <w:vAlign w:val="center"/>
                </w:tcPr>
                <w:p w14:paraId="2B66B43E">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64" w:type="pct"/>
                  <w:shd w:val="clear" w:color="auto" w:fill="auto"/>
                  <w:vAlign w:val="center"/>
                </w:tcPr>
                <w:p w14:paraId="4DDE70C7">
                  <w:pPr>
                    <w:pStyle w:val="28"/>
                    <w:keepNext w:val="0"/>
                    <w:keepLines w:val="0"/>
                    <w:suppressLineNumbers w:val="0"/>
                    <w:spacing w:before="0" w:beforeAutospacing="0" w:after="0" w:afterAutospacing="0"/>
                    <w:ind w:left="0" w:right="0"/>
                    <w:rPr>
                      <w:rFonts w:hint="default"/>
                      <w:color w:val="auto"/>
                    </w:rPr>
                  </w:pPr>
                  <w:r>
                    <w:rPr>
                      <w:rFonts w:hint="default"/>
                      <w:color w:val="auto"/>
                    </w:rPr>
                    <w:t>86</w:t>
                  </w:r>
                </w:p>
              </w:tc>
              <w:tc>
                <w:tcPr>
                  <w:tcW w:w="370" w:type="pct"/>
                  <w:shd w:val="clear" w:color="auto" w:fill="auto"/>
                  <w:vAlign w:val="center"/>
                </w:tcPr>
                <w:p w14:paraId="18189EA6">
                  <w:pPr>
                    <w:pStyle w:val="28"/>
                    <w:keepNext w:val="0"/>
                    <w:keepLines w:val="0"/>
                    <w:suppressLineNumbers w:val="0"/>
                    <w:spacing w:before="0" w:beforeAutospacing="0" w:after="0" w:afterAutospacing="0"/>
                    <w:ind w:left="0" w:right="0"/>
                    <w:rPr>
                      <w:rFonts w:hint="default"/>
                      <w:color w:val="auto"/>
                    </w:rPr>
                  </w:pPr>
                  <w:r>
                    <w:rPr>
                      <w:rFonts w:hint="default"/>
                      <w:color w:val="auto"/>
                    </w:rPr>
                    <w:t>129</w:t>
                  </w:r>
                </w:p>
              </w:tc>
              <w:tc>
                <w:tcPr>
                  <w:tcW w:w="371" w:type="pct"/>
                  <w:shd w:val="clear" w:color="auto" w:fill="auto"/>
                  <w:vAlign w:val="center"/>
                </w:tcPr>
                <w:p w14:paraId="188877EC">
                  <w:pPr>
                    <w:pStyle w:val="28"/>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1112" w:type="pct"/>
                  <w:shd w:val="clear" w:color="auto" w:fill="auto"/>
                  <w:vAlign w:val="center"/>
                </w:tcPr>
                <w:p w14:paraId="4BE4E755">
                  <w:pPr>
                    <w:pStyle w:val="28"/>
                    <w:keepNext w:val="0"/>
                    <w:keepLines w:val="0"/>
                    <w:suppressLineNumbers w:val="0"/>
                    <w:spacing w:before="0" w:beforeAutospacing="0" w:after="0" w:afterAutospacing="0"/>
                    <w:ind w:left="0" w:right="0"/>
                    <w:rPr>
                      <w:rFonts w:hint="default"/>
                      <w:color w:val="auto"/>
                    </w:rPr>
                  </w:pPr>
                  <w:r>
                    <w:rPr>
                      <w:rFonts w:hint="default"/>
                      <w:color w:val="auto"/>
                    </w:rPr>
                    <w:t>100/1</w:t>
                  </w:r>
                </w:p>
              </w:tc>
              <w:tc>
                <w:tcPr>
                  <w:tcW w:w="624" w:type="pct"/>
                  <w:vMerge w:val="continue"/>
                  <w:shd w:val="clear" w:color="auto" w:fill="auto"/>
                  <w:vAlign w:val="center"/>
                </w:tcPr>
                <w:p w14:paraId="7E4B7727">
                  <w:pPr>
                    <w:pStyle w:val="28"/>
                    <w:keepNext w:val="0"/>
                    <w:keepLines w:val="0"/>
                    <w:suppressLineNumbers w:val="0"/>
                    <w:spacing w:before="0" w:beforeAutospacing="0" w:after="0" w:afterAutospacing="0"/>
                    <w:ind w:left="0" w:right="0"/>
                    <w:rPr>
                      <w:rFonts w:hint="default"/>
                      <w:color w:val="auto"/>
                    </w:rPr>
                  </w:pPr>
                </w:p>
              </w:tc>
              <w:tc>
                <w:tcPr>
                  <w:tcW w:w="437" w:type="pct"/>
                  <w:shd w:val="clear" w:color="auto" w:fill="auto"/>
                  <w:vAlign w:val="center"/>
                </w:tcPr>
                <w:p w14:paraId="17E5D376">
                  <w:pPr>
                    <w:pStyle w:val="28"/>
                    <w:keepNext w:val="0"/>
                    <w:keepLines w:val="0"/>
                    <w:suppressLineNumbers w:val="0"/>
                    <w:spacing w:before="0" w:beforeAutospacing="0" w:after="0" w:afterAutospacing="0"/>
                    <w:ind w:left="0" w:right="0"/>
                    <w:rPr>
                      <w:rFonts w:hint="default"/>
                      <w:color w:val="auto"/>
                    </w:rPr>
                  </w:pPr>
                  <w:r>
                    <w:rPr>
                      <w:rFonts w:hint="default"/>
                      <w:color w:val="auto"/>
                    </w:rPr>
                    <w:t>连续</w:t>
                  </w:r>
                </w:p>
              </w:tc>
            </w:tr>
            <w:tr w14:paraId="331D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shd w:val="clear" w:color="auto" w:fill="auto"/>
                  <w:vAlign w:val="center"/>
                </w:tcPr>
                <w:p w14:paraId="45FE0713">
                  <w:pPr>
                    <w:pStyle w:val="28"/>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437" w:type="pct"/>
                  <w:shd w:val="clear" w:color="auto" w:fill="auto"/>
                  <w:vAlign w:val="center"/>
                </w:tcPr>
                <w:p w14:paraId="147847E0">
                  <w:pPr>
                    <w:pStyle w:val="28"/>
                    <w:keepNext w:val="0"/>
                    <w:keepLines w:val="0"/>
                    <w:suppressLineNumbers w:val="0"/>
                    <w:spacing w:before="0" w:beforeAutospacing="0" w:after="0" w:afterAutospacing="0"/>
                    <w:ind w:left="0" w:right="0"/>
                    <w:rPr>
                      <w:rFonts w:hint="default"/>
                      <w:color w:val="auto"/>
                    </w:rPr>
                  </w:pPr>
                  <w:r>
                    <w:rPr>
                      <w:rFonts w:hint="default"/>
                      <w:color w:val="auto"/>
                    </w:rPr>
                    <w:t>柴油撬装站</w:t>
                  </w:r>
                </w:p>
              </w:tc>
              <w:tc>
                <w:tcPr>
                  <w:tcW w:w="610" w:type="pct"/>
                  <w:shd w:val="clear" w:color="auto" w:fill="auto"/>
                  <w:vAlign w:val="center"/>
                </w:tcPr>
                <w:p w14:paraId="31AF27E2">
                  <w:pPr>
                    <w:pStyle w:val="28"/>
                    <w:keepNext w:val="0"/>
                    <w:keepLines w:val="0"/>
                    <w:suppressLineNumbers w:val="0"/>
                    <w:spacing w:before="0" w:beforeAutospacing="0" w:after="0" w:afterAutospacing="0"/>
                    <w:ind w:left="0" w:right="0"/>
                    <w:rPr>
                      <w:rFonts w:hint="default"/>
                      <w:color w:val="auto"/>
                    </w:rPr>
                  </w:pPr>
                  <w:r>
                    <w:rPr>
                      <w:rFonts w:hint="default"/>
                      <w:color w:val="auto"/>
                    </w:rPr>
                    <w:t>柴油泵</w:t>
                  </w:r>
                </w:p>
              </w:tc>
              <w:tc>
                <w:tcPr>
                  <w:tcW w:w="277" w:type="pct"/>
                  <w:shd w:val="clear" w:color="auto" w:fill="auto"/>
                  <w:vAlign w:val="center"/>
                </w:tcPr>
                <w:p w14:paraId="169066BE">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64" w:type="pct"/>
                  <w:shd w:val="clear" w:color="auto" w:fill="auto"/>
                  <w:vAlign w:val="center"/>
                </w:tcPr>
                <w:p w14:paraId="2DE5423F">
                  <w:pPr>
                    <w:pStyle w:val="28"/>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370" w:type="pct"/>
                  <w:shd w:val="clear" w:color="auto" w:fill="auto"/>
                  <w:vAlign w:val="center"/>
                </w:tcPr>
                <w:p w14:paraId="6062659C">
                  <w:pPr>
                    <w:pStyle w:val="28"/>
                    <w:keepNext w:val="0"/>
                    <w:keepLines w:val="0"/>
                    <w:suppressLineNumbers w:val="0"/>
                    <w:spacing w:before="0" w:beforeAutospacing="0" w:after="0" w:afterAutospacing="0"/>
                    <w:ind w:left="0" w:right="0"/>
                    <w:rPr>
                      <w:rFonts w:hint="default"/>
                      <w:color w:val="auto"/>
                    </w:rPr>
                  </w:pPr>
                  <w:r>
                    <w:rPr>
                      <w:rFonts w:hint="default"/>
                      <w:color w:val="auto"/>
                    </w:rPr>
                    <w:t>107</w:t>
                  </w:r>
                </w:p>
              </w:tc>
              <w:tc>
                <w:tcPr>
                  <w:tcW w:w="371" w:type="pct"/>
                  <w:shd w:val="clear" w:color="auto" w:fill="auto"/>
                  <w:vAlign w:val="center"/>
                </w:tcPr>
                <w:p w14:paraId="2F0AC982">
                  <w:pPr>
                    <w:pStyle w:val="28"/>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1112" w:type="pct"/>
                  <w:shd w:val="clear" w:color="auto" w:fill="auto"/>
                  <w:vAlign w:val="center"/>
                </w:tcPr>
                <w:p w14:paraId="213085D0">
                  <w:pPr>
                    <w:pStyle w:val="28"/>
                    <w:keepNext w:val="0"/>
                    <w:keepLines w:val="0"/>
                    <w:suppressLineNumbers w:val="0"/>
                    <w:spacing w:before="0" w:beforeAutospacing="0" w:after="0" w:afterAutospacing="0"/>
                    <w:ind w:left="0" w:right="0"/>
                    <w:rPr>
                      <w:rFonts w:hint="default"/>
                      <w:color w:val="auto"/>
                    </w:rPr>
                  </w:pPr>
                  <w:r>
                    <w:rPr>
                      <w:rFonts w:hint="default"/>
                      <w:color w:val="auto"/>
                    </w:rPr>
                    <w:t>80/1</w:t>
                  </w:r>
                </w:p>
              </w:tc>
              <w:tc>
                <w:tcPr>
                  <w:tcW w:w="624" w:type="pct"/>
                  <w:vMerge w:val="continue"/>
                  <w:shd w:val="clear" w:color="auto" w:fill="auto"/>
                  <w:vAlign w:val="center"/>
                </w:tcPr>
                <w:p w14:paraId="147F6D82">
                  <w:pPr>
                    <w:pStyle w:val="28"/>
                    <w:keepNext w:val="0"/>
                    <w:keepLines w:val="0"/>
                    <w:suppressLineNumbers w:val="0"/>
                    <w:spacing w:before="0" w:beforeAutospacing="0" w:after="0" w:afterAutospacing="0"/>
                    <w:ind w:left="0" w:right="0"/>
                    <w:rPr>
                      <w:rFonts w:hint="default"/>
                      <w:color w:val="auto"/>
                    </w:rPr>
                  </w:pPr>
                </w:p>
              </w:tc>
              <w:tc>
                <w:tcPr>
                  <w:tcW w:w="437" w:type="pct"/>
                  <w:shd w:val="clear" w:color="auto" w:fill="auto"/>
                  <w:vAlign w:val="center"/>
                </w:tcPr>
                <w:p w14:paraId="7D2D4E74">
                  <w:pPr>
                    <w:pStyle w:val="28"/>
                    <w:keepNext w:val="0"/>
                    <w:keepLines w:val="0"/>
                    <w:suppressLineNumbers w:val="0"/>
                    <w:spacing w:before="0" w:beforeAutospacing="0" w:after="0" w:afterAutospacing="0"/>
                    <w:ind w:left="0" w:right="0"/>
                    <w:rPr>
                      <w:rFonts w:hint="default"/>
                      <w:color w:val="auto"/>
                    </w:rPr>
                  </w:pPr>
                  <w:r>
                    <w:rPr>
                      <w:rFonts w:hint="default"/>
                      <w:color w:val="auto"/>
                    </w:rPr>
                    <w:t>间歇</w:t>
                  </w:r>
                </w:p>
              </w:tc>
            </w:tr>
            <w:tr w14:paraId="43CB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97" w:type="pct"/>
                  <w:shd w:val="clear" w:color="auto" w:fill="auto"/>
                  <w:vAlign w:val="center"/>
                </w:tcPr>
                <w:p w14:paraId="28BD0D3C">
                  <w:pPr>
                    <w:pStyle w:val="28"/>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437" w:type="pct"/>
                  <w:shd w:val="clear" w:color="auto" w:fill="auto"/>
                  <w:vAlign w:val="center"/>
                </w:tcPr>
                <w:p w14:paraId="23D4B379">
                  <w:pPr>
                    <w:pStyle w:val="28"/>
                    <w:keepNext w:val="0"/>
                    <w:keepLines w:val="0"/>
                    <w:suppressLineNumbers w:val="0"/>
                    <w:spacing w:before="0" w:beforeAutospacing="0" w:after="0" w:afterAutospacing="0"/>
                    <w:ind w:left="0" w:right="0"/>
                    <w:rPr>
                      <w:rFonts w:hint="default"/>
                      <w:color w:val="auto"/>
                    </w:rPr>
                  </w:pPr>
                  <w:r>
                    <w:rPr>
                      <w:rFonts w:hint="default"/>
                      <w:color w:val="auto"/>
                    </w:rPr>
                    <w:t>LNG充装撬</w:t>
                  </w:r>
                </w:p>
              </w:tc>
              <w:tc>
                <w:tcPr>
                  <w:tcW w:w="610" w:type="pct"/>
                  <w:shd w:val="clear" w:color="auto" w:fill="auto"/>
                  <w:vAlign w:val="center"/>
                </w:tcPr>
                <w:p w14:paraId="7CB766EA">
                  <w:pPr>
                    <w:pStyle w:val="28"/>
                    <w:keepNext w:val="0"/>
                    <w:keepLines w:val="0"/>
                    <w:suppressLineNumbers w:val="0"/>
                    <w:spacing w:before="0" w:beforeAutospacing="0" w:after="0" w:afterAutospacing="0"/>
                    <w:ind w:left="0" w:right="0"/>
                    <w:rPr>
                      <w:rFonts w:hint="default"/>
                      <w:color w:val="auto"/>
                    </w:rPr>
                  </w:pPr>
                  <w:r>
                    <w:rPr>
                      <w:rFonts w:hint="default"/>
                      <w:color w:val="auto"/>
                    </w:rPr>
                    <w:t>LNG泵</w:t>
                  </w:r>
                </w:p>
              </w:tc>
              <w:tc>
                <w:tcPr>
                  <w:tcW w:w="277" w:type="pct"/>
                  <w:shd w:val="clear" w:color="auto" w:fill="auto"/>
                  <w:vAlign w:val="center"/>
                </w:tcPr>
                <w:p w14:paraId="508BEC71">
                  <w:pPr>
                    <w:pStyle w:val="28"/>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464" w:type="pct"/>
                  <w:shd w:val="clear" w:color="auto" w:fill="auto"/>
                  <w:vAlign w:val="center"/>
                </w:tcPr>
                <w:p w14:paraId="71D0A1BB">
                  <w:pPr>
                    <w:pStyle w:val="28"/>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370" w:type="pct"/>
                  <w:shd w:val="clear" w:color="auto" w:fill="auto"/>
                  <w:vAlign w:val="center"/>
                </w:tcPr>
                <w:p w14:paraId="4BD7684C">
                  <w:pPr>
                    <w:pStyle w:val="28"/>
                    <w:keepNext w:val="0"/>
                    <w:keepLines w:val="0"/>
                    <w:suppressLineNumbers w:val="0"/>
                    <w:spacing w:before="0" w:beforeAutospacing="0" w:after="0" w:afterAutospacing="0"/>
                    <w:ind w:left="0" w:right="0"/>
                    <w:rPr>
                      <w:rFonts w:hint="default"/>
                      <w:color w:val="auto"/>
                    </w:rPr>
                  </w:pPr>
                  <w:r>
                    <w:rPr>
                      <w:rFonts w:hint="default"/>
                      <w:color w:val="auto"/>
                    </w:rPr>
                    <w:t>95</w:t>
                  </w:r>
                </w:p>
              </w:tc>
              <w:tc>
                <w:tcPr>
                  <w:tcW w:w="371" w:type="pct"/>
                  <w:shd w:val="clear" w:color="auto" w:fill="auto"/>
                  <w:vAlign w:val="center"/>
                </w:tcPr>
                <w:p w14:paraId="269597B9">
                  <w:pPr>
                    <w:pStyle w:val="28"/>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1112" w:type="pct"/>
                  <w:shd w:val="clear" w:color="auto" w:fill="auto"/>
                  <w:vAlign w:val="center"/>
                </w:tcPr>
                <w:p w14:paraId="18E63271">
                  <w:pPr>
                    <w:pStyle w:val="28"/>
                    <w:keepNext w:val="0"/>
                    <w:keepLines w:val="0"/>
                    <w:suppressLineNumbers w:val="0"/>
                    <w:spacing w:before="0" w:beforeAutospacing="0" w:after="0" w:afterAutospacing="0"/>
                    <w:ind w:left="0" w:right="0"/>
                    <w:rPr>
                      <w:rFonts w:hint="default"/>
                      <w:color w:val="auto"/>
                    </w:rPr>
                  </w:pPr>
                  <w:r>
                    <w:rPr>
                      <w:rFonts w:hint="default"/>
                      <w:color w:val="auto"/>
                    </w:rPr>
                    <w:t>80/1</w:t>
                  </w:r>
                </w:p>
              </w:tc>
              <w:tc>
                <w:tcPr>
                  <w:tcW w:w="624" w:type="pct"/>
                  <w:vMerge w:val="continue"/>
                  <w:shd w:val="clear" w:color="auto" w:fill="auto"/>
                  <w:vAlign w:val="center"/>
                </w:tcPr>
                <w:p w14:paraId="367F60DE">
                  <w:pPr>
                    <w:pStyle w:val="28"/>
                    <w:keepNext w:val="0"/>
                    <w:keepLines w:val="0"/>
                    <w:suppressLineNumbers w:val="0"/>
                    <w:spacing w:before="0" w:beforeAutospacing="0" w:after="0" w:afterAutospacing="0"/>
                    <w:ind w:left="0" w:right="0"/>
                    <w:rPr>
                      <w:rFonts w:hint="default"/>
                      <w:color w:val="auto"/>
                    </w:rPr>
                  </w:pPr>
                </w:p>
              </w:tc>
              <w:tc>
                <w:tcPr>
                  <w:tcW w:w="437" w:type="pct"/>
                  <w:shd w:val="clear" w:color="auto" w:fill="auto"/>
                  <w:vAlign w:val="center"/>
                </w:tcPr>
                <w:p w14:paraId="5B124A43">
                  <w:pPr>
                    <w:pStyle w:val="28"/>
                    <w:keepNext w:val="0"/>
                    <w:keepLines w:val="0"/>
                    <w:suppressLineNumbers w:val="0"/>
                    <w:spacing w:before="0" w:beforeAutospacing="0" w:after="0" w:afterAutospacing="0"/>
                    <w:ind w:left="0" w:right="0"/>
                    <w:rPr>
                      <w:rFonts w:hint="default"/>
                      <w:color w:val="auto"/>
                    </w:rPr>
                  </w:pPr>
                  <w:r>
                    <w:rPr>
                      <w:rFonts w:hint="default"/>
                      <w:color w:val="auto"/>
                    </w:rPr>
                    <w:t>间歇</w:t>
                  </w:r>
                </w:p>
              </w:tc>
            </w:tr>
          </w:tbl>
          <w:p w14:paraId="04818936">
            <w:pPr>
              <w:keepNext w:val="0"/>
              <w:keepLines w:val="0"/>
              <w:widowControl/>
              <w:suppressLineNumbers w:val="0"/>
              <w:spacing w:before="0" w:beforeAutospacing="0" w:after="0" w:afterAutospacing="0"/>
              <w:ind w:left="0" w:right="0" w:firstLine="482"/>
              <w:jc w:val="left"/>
              <w:rPr>
                <w:rFonts w:hint="default" w:cs="Times New Roman"/>
                <w:b/>
                <w:bCs/>
                <w:color w:val="auto"/>
              </w:rPr>
            </w:pPr>
            <w:r>
              <w:rPr>
                <w:rFonts w:hint="default" w:cs="Times New Roman"/>
                <w:b/>
                <w:bCs/>
                <w:color w:val="auto"/>
              </w:rPr>
              <w:t>2、声传播途径分析</w:t>
            </w:r>
          </w:p>
          <w:p w14:paraId="485A816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厂界外50米范围内无现状声环境保护目标，以下对声源与厂界之间的声波传播途径进行分析。项目所在地区气候湿润，地面平坦，本项目生产车间和干冰车间位于厂区中部，均距离厂界有一定距离，项目声源所在建筑与厂界距离如下表所示。</w:t>
            </w:r>
          </w:p>
          <w:p w14:paraId="2A93430C">
            <w:pPr>
              <w:pStyle w:val="33"/>
              <w:keepNext w:val="0"/>
              <w:keepLines w:val="0"/>
              <w:suppressLineNumbers w:val="0"/>
              <w:spacing w:before="0" w:beforeAutospacing="0" w:after="0" w:afterAutospacing="0"/>
              <w:ind w:left="0" w:right="0"/>
              <w:rPr>
                <w:rFonts w:hint="default" w:cs="Times New Roman"/>
              </w:rPr>
            </w:pPr>
            <w:r>
              <w:rPr>
                <w:rFonts w:hint="default" w:cs="Times New Roman"/>
              </w:rPr>
              <w:t>预测点距声源距离情况表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723"/>
              <w:gridCol w:w="701"/>
              <w:gridCol w:w="577"/>
              <w:gridCol w:w="709"/>
              <w:gridCol w:w="1066"/>
              <w:gridCol w:w="1513"/>
            </w:tblGrid>
            <w:tr w14:paraId="4B4D0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6" w:type="pct"/>
                  <w:vMerge w:val="restart"/>
                  <w:vAlign w:val="center"/>
                </w:tcPr>
                <w:p w14:paraId="70599E39">
                  <w:pPr>
                    <w:pStyle w:val="26"/>
                    <w:keepNext w:val="0"/>
                    <w:keepLines w:val="0"/>
                    <w:suppressLineNumbers w:val="0"/>
                    <w:spacing w:before="0" w:beforeAutospacing="0" w:after="0" w:afterAutospacing="0"/>
                    <w:ind w:left="0" w:right="0"/>
                    <w:rPr>
                      <w:rFonts w:hint="default"/>
                    </w:rPr>
                  </w:pPr>
                  <w:r>
                    <w:rPr>
                      <w:rFonts w:hint="default"/>
                    </w:rPr>
                    <w:t>声源位置</w:t>
                  </w:r>
                </w:p>
              </w:tc>
              <w:tc>
                <w:tcPr>
                  <w:tcW w:w="1770" w:type="pct"/>
                  <w:gridSpan w:val="4"/>
                  <w:vAlign w:val="center"/>
                </w:tcPr>
                <w:p w14:paraId="4A53545C">
                  <w:pPr>
                    <w:pStyle w:val="26"/>
                    <w:keepNext w:val="0"/>
                    <w:keepLines w:val="0"/>
                    <w:suppressLineNumbers w:val="0"/>
                    <w:spacing w:before="0" w:beforeAutospacing="0" w:after="0" w:afterAutospacing="0"/>
                    <w:ind w:left="0" w:right="0"/>
                    <w:rPr>
                      <w:rFonts w:hint="default"/>
                    </w:rPr>
                  </w:pPr>
                  <w:r>
                    <w:rPr>
                      <w:rFonts w:hint="default"/>
                    </w:rPr>
                    <w:t>与厂界最近距离（m）</w:t>
                  </w:r>
                </w:p>
              </w:tc>
              <w:tc>
                <w:tcPr>
                  <w:tcW w:w="696" w:type="pct"/>
                  <w:vMerge w:val="restart"/>
                  <w:vAlign w:val="center"/>
                </w:tcPr>
                <w:p w14:paraId="6B2F8D10">
                  <w:pPr>
                    <w:pStyle w:val="26"/>
                    <w:keepNext w:val="0"/>
                    <w:keepLines w:val="0"/>
                    <w:suppressLineNumbers w:val="0"/>
                    <w:spacing w:before="0" w:beforeAutospacing="0" w:after="0" w:afterAutospacing="0"/>
                    <w:ind w:left="0" w:right="0"/>
                    <w:rPr>
                      <w:rFonts w:hint="default"/>
                    </w:rPr>
                  </w:pPr>
                  <w:r>
                    <w:rPr>
                      <w:rFonts w:hint="default"/>
                    </w:rPr>
                    <w:t>频率特性</w:t>
                  </w:r>
                </w:p>
              </w:tc>
              <w:tc>
                <w:tcPr>
                  <w:tcW w:w="988" w:type="pct"/>
                  <w:vMerge w:val="restart"/>
                  <w:vAlign w:val="center"/>
                </w:tcPr>
                <w:p w14:paraId="256369E2">
                  <w:pPr>
                    <w:pStyle w:val="26"/>
                    <w:keepNext w:val="0"/>
                    <w:keepLines w:val="0"/>
                    <w:suppressLineNumbers w:val="0"/>
                    <w:spacing w:before="0" w:beforeAutospacing="0" w:after="0" w:afterAutospacing="0"/>
                    <w:ind w:left="0" w:right="0"/>
                    <w:rPr>
                      <w:rFonts w:hint="default"/>
                    </w:rPr>
                  </w:pPr>
                  <w:r>
                    <w:rPr>
                      <w:rFonts w:hint="default"/>
                    </w:rPr>
                    <w:t>作用时段</w:t>
                  </w:r>
                </w:p>
              </w:tc>
            </w:tr>
            <w:tr w14:paraId="1A8C4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1546" w:type="pct"/>
                  <w:vMerge w:val="continue"/>
                  <w:vAlign w:val="center"/>
                </w:tcPr>
                <w:p w14:paraId="06F94C2D">
                  <w:pPr>
                    <w:pStyle w:val="26"/>
                    <w:keepNext w:val="0"/>
                    <w:keepLines w:val="0"/>
                    <w:suppressLineNumbers w:val="0"/>
                    <w:spacing w:before="0" w:beforeAutospacing="0" w:after="0" w:afterAutospacing="0"/>
                    <w:ind w:left="0" w:right="0"/>
                    <w:rPr>
                      <w:rFonts w:hint="default"/>
                    </w:rPr>
                  </w:pPr>
                </w:p>
              </w:tc>
              <w:tc>
                <w:tcPr>
                  <w:tcW w:w="472" w:type="pct"/>
                  <w:vAlign w:val="center"/>
                </w:tcPr>
                <w:p w14:paraId="21DCFCFB">
                  <w:pPr>
                    <w:pStyle w:val="26"/>
                    <w:keepNext w:val="0"/>
                    <w:keepLines w:val="0"/>
                    <w:suppressLineNumbers w:val="0"/>
                    <w:spacing w:before="0" w:beforeAutospacing="0" w:after="0" w:afterAutospacing="0"/>
                    <w:ind w:left="0" w:right="0"/>
                    <w:rPr>
                      <w:rFonts w:hint="default"/>
                    </w:rPr>
                  </w:pPr>
                  <w:r>
                    <w:rPr>
                      <w:rFonts w:hint="default"/>
                    </w:rPr>
                    <w:t>东</w:t>
                  </w:r>
                </w:p>
              </w:tc>
              <w:tc>
                <w:tcPr>
                  <w:tcW w:w="458" w:type="pct"/>
                  <w:vAlign w:val="center"/>
                </w:tcPr>
                <w:p w14:paraId="2EC497BF">
                  <w:pPr>
                    <w:pStyle w:val="26"/>
                    <w:keepNext w:val="0"/>
                    <w:keepLines w:val="0"/>
                    <w:suppressLineNumbers w:val="0"/>
                    <w:spacing w:before="0" w:beforeAutospacing="0" w:after="0" w:afterAutospacing="0"/>
                    <w:ind w:left="0" w:right="0"/>
                    <w:rPr>
                      <w:rFonts w:hint="default"/>
                    </w:rPr>
                  </w:pPr>
                  <w:r>
                    <w:rPr>
                      <w:rFonts w:hint="default"/>
                    </w:rPr>
                    <w:t>南</w:t>
                  </w:r>
                </w:p>
              </w:tc>
              <w:tc>
                <w:tcPr>
                  <w:tcW w:w="377" w:type="pct"/>
                  <w:vAlign w:val="center"/>
                </w:tcPr>
                <w:p w14:paraId="2A33D34D">
                  <w:pPr>
                    <w:pStyle w:val="26"/>
                    <w:keepNext w:val="0"/>
                    <w:keepLines w:val="0"/>
                    <w:suppressLineNumbers w:val="0"/>
                    <w:spacing w:before="0" w:beforeAutospacing="0" w:after="0" w:afterAutospacing="0"/>
                    <w:ind w:left="0" w:right="0"/>
                    <w:rPr>
                      <w:rFonts w:hint="default"/>
                    </w:rPr>
                  </w:pPr>
                  <w:r>
                    <w:rPr>
                      <w:rFonts w:hint="default"/>
                    </w:rPr>
                    <w:t>西</w:t>
                  </w:r>
                </w:p>
              </w:tc>
              <w:tc>
                <w:tcPr>
                  <w:tcW w:w="463" w:type="pct"/>
                  <w:vAlign w:val="center"/>
                </w:tcPr>
                <w:p w14:paraId="58FE2015">
                  <w:pPr>
                    <w:pStyle w:val="26"/>
                    <w:keepNext w:val="0"/>
                    <w:keepLines w:val="0"/>
                    <w:suppressLineNumbers w:val="0"/>
                    <w:spacing w:before="0" w:beforeAutospacing="0" w:after="0" w:afterAutospacing="0"/>
                    <w:ind w:left="0" w:right="0"/>
                    <w:rPr>
                      <w:rFonts w:hint="default"/>
                    </w:rPr>
                  </w:pPr>
                  <w:r>
                    <w:rPr>
                      <w:rFonts w:hint="default"/>
                    </w:rPr>
                    <w:t>北</w:t>
                  </w:r>
                </w:p>
              </w:tc>
              <w:tc>
                <w:tcPr>
                  <w:tcW w:w="696" w:type="pct"/>
                  <w:vMerge w:val="continue"/>
                  <w:vAlign w:val="center"/>
                </w:tcPr>
                <w:p w14:paraId="4F24F346">
                  <w:pPr>
                    <w:pStyle w:val="26"/>
                    <w:keepNext w:val="0"/>
                    <w:keepLines w:val="0"/>
                    <w:suppressLineNumbers w:val="0"/>
                    <w:spacing w:before="0" w:beforeAutospacing="0" w:after="0" w:afterAutospacing="0"/>
                    <w:ind w:left="0" w:right="0"/>
                    <w:rPr>
                      <w:rFonts w:hint="default"/>
                    </w:rPr>
                  </w:pPr>
                </w:p>
              </w:tc>
              <w:tc>
                <w:tcPr>
                  <w:tcW w:w="988" w:type="pct"/>
                  <w:vMerge w:val="continue"/>
                  <w:vAlign w:val="center"/>
                </w:tcPr>
                <w:p w14:paraId="58C01C84">
                  <w:pPr>
                    <w:pStyle w:val="26"/>
                    <w:keepNext w:val="0"/>
                    <w:keepLines w:val="0"/>
                    <w:suppressLineNumbers w:val="0"/>
                    <w:spacing w:before="0" w:beforeAutospacing="0" w:after="0" w:afterAutospacing="0"/>
                    <w:ind w:left="0" w:right="0"/>
                    <w:rPr>
                      <w:rFonts w:hint="default"/>
                    </w:rPr>
                  </w:pPr>
                </w:p>
              </w:tc>
            </w:tr>
            <w:tr w14:paraId="5C9A4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vAlign w:val="center"/>
                </w:tcPr>
                <w:p w14:paraId="3E420963">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472" w:type="pct"/>
                  <w:vAlign w:val="center"/>
                </w:tcPr>
                <w:p w14:paraId="05449A70">
                  <w:pPr>
                    <w:pStyle w:val="26"/>
                    <w:keepNext w:val="0"/>
                    <w:keepLines w:val="0"/>
                    <w:suppressLineNumbers w:val="0"/>
                    <w:spacing w:before="0" w:beforeAutospacing="0" w:after="0" w:afterAutospacing="0"/>
                    <w:ind w:left="0" w:right="0"/>
                    <w:rPr>
                      <w:rFonts w:hint="default"/>
                    </w:rPr>
                  </w:pPr>
                  <w:r>
                    <w:rPr>
                      <w:rFonts w:hint="default"/>
                    </w:rPr>
                    <w:t>61</w:t>
                  </w:r>
                </w:p>
              </w:tc>
              <w:tc>
                <w:tcPr>
                  <w:tcW w:w="458" w:type="pct"/>
                  <w:vAlign w:val="center"/>
                </w:tcPr>
                <w:p w14:paraId="49B5B19D">
                  <w:pPr>
                    <w:pStyle w:val="26"/>
                    <w:keepNext w:val="0"/>
                    <w:keepLines w:val="0"/>
                    <w:suppressLineNumbers w:val="0"/>
                    <w:spacing w:before="0" w:beforeAutospacing="0" w:after="0" w:afterAutospacing="0"/>
                    <w:ind w:left="0" w:right="0"/>
                    <w:rPr>
                      <w:rFonts w:hint="default"/>
                    </w:rPr>
                  </w:pPr>
                  <w:r>
                    <w:rPr>
                      <w:rFonts w:hint="default"/>
                    </w:rPr>
                    <w:t>84</w:t>
                  </w:r>
                </w:p>
              </w:tc>
              <w:tc>
                <w:tcPr>
                  <w:tcW w:w="377" w:type="pct"/>
                  <w:vAlign w:val="center"/>
                </w:tcPr>
                <w:p w14:paraId="6C4543D3">
                  <w:pPr>
                    <w:pStyle w:val="26"/>
                    <w:keepNext w:val="0"/>
                    <w:keepLines w:val="0"/>
                    <w:suppressLineNumbers w:val="0"/>
                    <w:spacing w:before="0" w:beforeAutospacing="0" w:after="0" w:afterAutospacing="0"/>
                    <w:ind w:left="0" w:right="0"/>
                    <w:rPr>
                      <w:rFonts w:hint="default"/>
                    </w:rPr>
                  </w:pPr>
                  <w:r>
                    <w:rPr>
                      <w:rFonts w:hint="default"/>
                    </w:rPr>
                    <w:t>61</w:t>
                  </w:r>
                </w:p>
              </w:tc>
              <w:tc>
                <w:tcPr>
                  <w:tcW w:w="463" w:type="pct"/>
                  <w:vAlign w:val="center"/>
                </w:tcPr>
                <w:p w14:paraId="37AF778B">
                  <w:pPr>
                    <w:pStyle w:val="26"/>
                    <w:keepNext w:val="0"/>
                    <w:keepLines w:val="0"/>
                    <w:suppressLineNumbers w:val="0"/>
                    <w:spacing w:before="0" w:beforeAutospacing="0" w:after="0" w:afterAutospacing="0"/>
                    <w:ind w:left="0" w:right="0"/>
                    <w:rPr>
                      <w:rFonts w:hint="default"/>
                    </w:rPr>
                  </w:pPr>
                  <w:r>
                    <w:rPr>
                      <w:rFonts w:hint="default"/>
                    </w:rPr>
                    <w:t>51</w:t>
                  </w:r>
                </w:p>
              </w:tc>
              <w:tc>
                <w:tcPr>
                  <w:tcW w:w="696" w:type="pct"/>
                  <w:vAlign w:val="center"/>
                </w:tcPr>
                <w:p w14:paraId="3B208F76">
                  <w:pPr>
                    <w:pStyle w:val="26"/>
                    <w:keepNext w:val="0"/>
                    <w:keepLines w:val="0"/>
                    <w:suppressLineNumbers w:val="0"/>
                    <w:spacing w:before="0" w:beforeAutospacing="0" w:after="0" w:afterAutospacing="0"/>
                    <w:ind w:left="0" w:right="0"/>
                    <w:rPr>
                      <w:rFonts w:hint="default"/>
                    </w:rPr>
                  </w:pPr>
                  <w:r>
                    <w:rPr>
                      <w:rFonts w:hint="default"/>
                    </w:rPr>
                    <w:t>中频噪声</w:t>
                  </w:r>
                </w:p>
              </w:tc>
              <w:tc>
                <w:tcPr>
                  <w:tcW w:w="988" w:type="pct"/>
                  <w:vAlign w:val="center"/>
                </w:tcPr>
                <w:p w14:paraId="402AD5A6">
                  <w:pPr>
                    <w:pStyle w:val="26"/>
                    <w:keepNext w:val="0"/>
                    <w:keepLines w:val="0"/>
                    <w:suppressLineNumbers w:val="0"/>
                    <w:spacing w:before="0" w:beforeAutospacing="0" w:after="0" w:afterAutospacing="0"/>
                    <w:ind w:left="0" w:right="0"/>
                    <w:rPr>
                      <w:rFonts w:hint="default"/>
                    </w:rPr>
                  </w:pPr>
                  <w:r>
                    <w:rPr>
                      <w:rFonts w:hint="default"/>
                    </w:rPr>
                    <w:t>全天</w:t>
                  </w:r>
                </w:p>
              </w:tc>
            </w:tr>
            <w:tr w14:paraId="37DEA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46" w:type="pct"/>
                  <w:vAlign w:val="center"/>
                </w:tcPr>
                <w:p w14:paraId="1BE18AC0">
                  <w:pPr>
                    <w:pStyle w:val="26"/>
                    <w:keepNext w:val="0"/>
                    <w:keepLines w:val="0"/>
                    <w:suppressLineNumbers w:val="0"/>
                    <w:spacing w:before="0" w:beforeAutospacing="0" w:after="0" w:afterAutospacing="0"/>
                    <w:ind w:left="0" w:right="0"/>
                    <w:rPr>
                      <w:rFonts w:hint="default"/>
                    </w:rPr>
                  </w:pPr>
                  <w:r>
                    <w:rPr>
                      <w:rFonts w:hint="default"/>
                    </w:rPr>
                    <w:t>干冰车间</w:t>
                  </w:r>
                </w:p>
              </w:tc>
              <w:tc>
                <w:tcPr>
                  <w:tcW w:w="472" w:type="pct"/>
                  <w:vAlign w:val="center"/>
                </w:tcPr>
                <w:p w14:paraId="3A9478DF">
                  <w:pPr>
                    <w:pStyle w:val="26"/>
                    <w:keepNext w:val="0"/>
                    <w:keepLines w:val="0"/>
                    <w:suppressLineNumbers w:val="0"/>
                    <w:spacing w:before="0" w:beforeAutospacing="0" w:after="0" w:afterAutospacing="0"/>
                    <w:ind w:left="0" w:right="0"/>
                    <w:rPr>
                      <w:rFonts w:hint="default"/>
                    </w:rPr>
                  </w:pPr>
                  <w:r>
                    <w:rPr>
                      <w:rFonts w:hint="default"/>
                    </w:rPr>
                    <w:t>5</w:t>
                  </w:r>
                </w:p>
              </w:tc>
              <w:tc>
                <w:tcPr>
                  <w:tcW w:w="458" w:type="pct"/>
                  <w:vAlign w:val="center"/>
                </w:tcPr>
                <w:p w14:paraId="70321D93">
                  <w:pPr>
                    <w:pStyle w:val="26"/>
                    <w:keepNext w:val="0"/>
                    <w:keepLines w:val="0"/>
                    <w:suppressLineNumbers w:val="0"/>
                    <w:spacing w:before="0" w:beforeAutospacing="0" w:after="0" w:afterAutospacing="0"/>
                    <w:ind w:left="0" w:right="0"/>
                    <w:rPr>
                      <w:rFonts w:hint="default"/>
                    </w:rPr>
                  </w:pPr>
                  <w:r>
                    <w:rPr>
                      <w:rFonts w:hint="default"/>
                    </w:rPr>
                    <w:t>116</w:t>
                  </w:r>
                </w:p>
              </w:tc>
              <w:tc>
                <w:tcPr>
                  <w:tcW w:w="377" w:type="pct"/>
                  <w:vAlign w:val="center"/>
                </w:tcPr>
                <w:p w14:paraId="1D87FE4E">
                  <w:pPr>
                    <w:pStyle w:val="26"/>
                    <w:keepNext w:val="0"/>
                    <w:keepLines w:val="0"/>
                    <w:suppressLineNumbers w:val="0"/>
                    <w:spacing w:before="0" w:beforeAutospacing="0" w:after="0" w:afterAutospacing="0"/>
                    <w:ind w:left="0" w:right="0"/>
                    <w:rPr>
                      <w:rFonts w:hint="default"/>
                    </w:rPr>
                  </w:pPr>
                  <w:r>
                    <w:rPr>
                      <w:rFonts w:hint="default"/>
                    </w:rPr>
                    <w:t>130</w:t>
                  </w:r>
                </w:p>
              </w:tc>
              <w:tc>
                <w:tcPr>
                  <w:tcW w:w="463" w:type="pct"/>
                  <w:vAlign w:val="center"/>
                </w:tcPr>
                <w:p w14:paraId="3EED899B">
                  <w:pPr>
                    <w:pStyle w:val="26"/>
                    <w:keepNext w:val="0"/>
                    <w:keepLines w:val="0"/>
                    <w:suppressLineNumbers w:val="0"/>
                    <w:spacing w:before="0" w:beforeAutospacing="0" w:after="0" w:afterAutospacing="0"/>
                    <w:ind w:left="0" w:right="0"/>
                    <w:rPr>
                      <w:rFonts w:hint="default"/>
                    </w:rPr>
                  </w:pPr>
                  <w:r>
                    <w:rPr>
                      <w:rFonts w:hint="default"/>
                    </w:rPr>
                    <w:t>5</w:t>
                  </w:r>
                </w:p>
              </w:tc>
              <w:tc>
                <w:tcPr>
                  <w:tcW w:w="696" w:type="pct"/>
                  <w:vAlign w:val="center"/>
                </w:tcPr>
                <w:p w14:paraId="1897E297">
                  <w:pPr>
                    <w:pStyle w:val="26"/>
                    <w:keepNext w:val="0"/>
                    <w:keepLines w:val="0"/>
                    <w:suppressLineNumbers w:val="0"/>
                    <w:spacing w:before="0" w:beforeAutospacing="0" w:after="0" w:afterAutospacing="0"/>
                    <w:ind w:left="0" w:right="0"/>
                    <w:rPr>
                      <w:rFonts w:hint="default"/>
                    </w:rPr>
                  </w:pPr>
                  <w:r>
                    <w:rPr>
                      <w:rFonts w:hint="default"/>
                    </w:rPr>
                    <w:t>中频噪声</w:t>
                  </w:r>
                </w:p>
              </w:tc>
              <w:tc>
                <w:tcPr>
                  <w:tcW w:w="988" w:type="pct"/>
                  <w:vAlign w:val="center"/>
                </w:tcPr>
                <w:p w14:paraId="563A36CF">
                  <w:pPr>
                    <w:pStyle w:val="26"/>
                    <w:keepNext w:val="0"/>
                    <w:keepLines w:val="0"/>
                    <w:suppressLineNumbers w:val="0"/>
                    <w:spacing w:before="0" w:beforeAutospacing="0" w:after="0" w:afterAutospacing="0"/>
                    <w:ind w:left="0" w:right="0"/>
                    <w:rPr>
                      <w:rFonts w:hint="default"/>
                    </w:rPr>
                  </w:pPr>
                  <w:r>
                    <w:rPr>
                      <w:rFonts w:hint="default"/>
                    </w:rPr>
                    <w:t>全天</w:t>
                  </w:r>
                </w:p>
              </w:tc>
            </w:tr>
            <w:tr w14:paraId="250A0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vAlign w:val="center"/>
                </w:tcPr>
                <w:p w14:paraId="7F3E06CD">
                  <w:pPr>
                    <w:pStyle w:val="26"/>
                    <w:keepNext w:val="0"/>
                    <w:keepLines w:val="0"/>
                    <w:suppressLineNumbers w:val="0"/>
                    <w:spacing w:before="0" w:beforeAutospacing="0" w:after="0" w:afterAutospacing="0"/>
                    <w:ind w:left="0" w:right="0"/>
                    <w:rPr>
                      <w:rFonts w:hint="default"/>
                    </w:rPr>
                  </w:pPr>
                  <w:r>
                    <w:rPr>
                      <w:rFonts w:hint="default"/>
                    </w:rPr>
                    <w:t>循环水系统</w:t>
                  </w:r>
                </w:p>
              </w:tc>
              <w:tc>
                <w:tcPr>
                  <w:tcW w:w="472" w:type="pct"/>
                  <w:vAlign w:val="center"/>
                </w:tcPr>
                <w:p w14:paraId="2D4811A3">
                  <w:pPr>
                    <w:pStyle w:val="26"/>
                    <w:keepNext w:val="0"/>
                    <w:keepLines w:val="0"/>
                    <w:suppressLineNumbers w:val="0"/>
                    <w:spacing w:before="0" w:beforeAutospacing="0" w:after="0" w:afterAutospacing="0"/>
                    <w:ind w:left="0" w:right="0"/>
                    <w:rPr>
                      <w:rFonts w:hint="default"/>
                    </w:rPr>
                  </w:pPr>
                  <w:r>
                    <w:rPr>
                      <w:rFonts w:hint="default"/>
                    </w:rPr>
                    <w:t>5</w:t>
                  </w:r>
                </w:p>
              </w:tc>
              <w:tc>
                <w:tcPr>
                  <w:tcW w:w="458" w:type="pct"/>
                  <w:vAlign w:val="center"/>
                </w:tcPr>
                <w:p w14:paraId="0802EAE0">
                  <w:pPr>
                    <w:pStyle w:val="26"/>
                    <w:keepNext w:val="0"/>
                    <w:keepLines w:val="0"/>
                    <w:suppressLineNumbers w:val="0"/>
                    <w:spacing w:before="0" w:beforeAutospacing="0" w:after="0" w:afterAutospacing="0"/>
                    <w:ind w:left="0" w:right="0"/>
                    <w:rPr>
                      <w:rFonts w:hint="default"/>
                    </w:rPr>
                  </w:pPr>
                  <w:r>
                    <w:rPr>
                      <w:rFonts w:hint="default"/>
                    </w:rPr>
                    <w:t>81</w:t>
                  </w:r>
                </w:p>
              </w:tc>
              <w:tc>
                <w:tcPr>
                  <w:tcW w:w="377" w:type="pct"/>
                  <w:vAlign w:val="center"/>
                </w:tcPr>
                <w:p w14:paraId="20694F61">
                  <w:pPr>
                    <w:pStyle w:val="26"/>
                    <w:keepNext w:val="0"/>
                    <w:keepLines w:val="0"/>
                    <w:suppressLineNumbers w:val="0"/>
                    <w:spacing w:before="0" w:beforeAutospacing="0" w:after="0" w:afterAutospacing="0"/>
                    <w:ind w:left="0" w:right="0"/>
                    <w:rPr>
                      <w:rFonts w:hint="default"/>
                    </w:rPr>
                  </w:pPr>
                  <w:r>
                    <w:rPr>
                      <w:rFonts w:hint="default"/>
                    </w:rPr>
                    <w:t>128</w:t>
                  </w:r>
                </w:p>
              </w:tc>
              <w:tc>
                <w:tcPr>
                  <w:tcW w:w="463" w:type="pct"/>
                  <w:vAlign w:val="center"/>
                </w:tcPr>
                <w:p w14:paraId="7C5547E1">
                  <w:pPr>
                    <w:pStyle w:val="26"/>
                    <w:keepNext w:val="0"/>
                    <w:keepLines w:val="0"/>
                    <w:suppressLineNumbers w:val="0"/>
                    <w:spacing w:before="0" w:beforeAutospacing="0" w:after="0" w:afterAutospacing="0"/>
                    <w:ind w:left="0" w:right="0"/>
                    <w:rPr>
                      <w:rFonts w:hint="default"/>
                    </w:rPr>
                  </w:pPr>
                  <w:r>
                    <w:rPr>
                      <w:rFonts w:hint="default"/>
                    </w:rPr>
                    <w:t>58</w:t>
                  </w:r>
                </w:p>
              </w:tc>
              <w:tc>
                <w:tcPr>
                  <w:tcW w:w="696" w:type="pct"/>
                  <w:vAlign w:val="center"/>
                </w:tcPr>
                <w:p w14:paraId="1DB24494">
                  <w:pPr>
                    <w:pStyle w:val="28"/>
                    <w:keepNext w:val="0"/>
                    <w:keepLines w:val="0"/>
                    <w:suppressLineNumbers w:val="0"/>
                    <w:spacing w:before="0" w:beforeAutospacing="0" w:after="0" w:afterAutospacing="0"/>
                    <w:ind w:left="0" w:right="0"/>
                    <w:rPr>
                      <w:rFonts w:hint="default"/>
                      <w:color w:val="auto"/>
                    </w:rPr>
                  </w:pPr>
                  <w:r>
                    <w:rPr>
                      <w:rFonts w:hint="default"/>
                      <w:color w:val="auto"/>
                    </w:rPr>
                    <w:t>中频噪声</w:t>
                  </w:r>
                </w:p>
              </w:tc>
              <w:tc>
                <w:tcPr>
                  <w:tcW w:w="988" w:type="pct"/>
                  <w:vAlign w:val="center"/>
                </w:tcPr>
                <w:p w14:paraId="7DCE36C6">
                  <w:pPr>
                    <w:pStyle w:val="28"/>
                    <w:keepNext w:val="0"/>
                    <w:keepLines w:val="0"/>
                    <w:suppressLineNumbers w:val="0"/>
                    <w:spacing w:before="0" w:beforeAutospacing="0" w:after="0" w:afterAutospacing="0"/>
                    <w:ind w:left="0" w:right="0"/>
                    <w:rPr>
                      <w:rFonts w:hint="default"/>
                      <w:color w:val="auto"/>
                    </w:rPr>
                  </w:pPr>
                  <w:r>
                    <w:rPr>
                      <w:rFonts w:hint="default"/>
                      <w:color w:val="auto"/>
                    </w:rPr>
                    <w:t>全天</w:t>
                  </w:r>
                </w:p>
              </w:tc>
            </w:tr>
          </w:tbl>
          <w:p w14:paraId="1EEAD94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3、拟采取治理措施</w:t>
            </w:r>
          </w:p>
          <w:p w14:paraId="0A07A61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本项目针对主要噪声源，采取的主要降噪措施如下：</w:t>
            </w:r>
          </w:p>
          <w:p w14:paraId="15BC4FE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（1）规划防治对策</w:t>
            </w:r>
          </w:p>
          <w:p w14:paraId="34CE413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主要通过本项目的合理布置，产噪设备全部布置于室内，使项目的高噪声设备尽可能远离厂界，最大限度降低本项目噪声对周边影响。</w:t>
            </w:r>
          </w:p>
          <w:p w14:paraId="7803076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（2）技术防治措施</w:t>
            </w:r>
          </w:p>
          <w:p w14:paraId="312FA1AB">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选用低噪声设备等。</w:t>
            </w:r>
          </w:p>
          <w:p w14:paraId="79BC274A">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定期检修设备，维持设备处于良好的运转状态。</w:t>
            </w:r>
          </w:p>
          <w:p w14:paraId="1116C880">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各类风机、水泵的基础设橡胶隔振垫，以减振降噪；气泵、吸水管和出水管上均加设橡胶接头以减振，排气管道加装消声器。</w:t>
            </w:r>
          </w:p>
          <w:p w14:paraId="49BC0262">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④</w:t>
            </w:r>
            <w:r>
              <w:rPr>
                <w:rFonts w:hint="default" w:cs="Times New Roman"/>
                <w:color w:val="auto"/>
              </w:rPr>
              <w:t>冷却塔基座减振、在受水盘水面铺设聚氨酯多孔泡沫塑料垫，设置维护隔声百叶。</w:t>
            </w:r>
          </w:p>
          <w:p w14:paraId="00E48DC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（3）管理措施：</w:t>
            </w:r>
          </w:p>
          <w:p w14:paraId="74C46AC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根据周边外环境关系，制定合理的工作方案，在厂界四周墙内种植常绿防护树林，减少车间噪声对声环境的影响；制定噪声监测方案，并对降噪减噪设施的使用运行、维护保养等方面纳入了公司的管理要求。</w:t>
            </w:r>
          </w:p>
          <w:p w14:paraId="1DE6515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4、达标分析</w:t>
            </w:r>
          </w:p>
          <w:p w14:paraId="11DCCDF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本次环评采用《环境影响评价技术导则 声环境》（HJ2.4-2021）推荐模式，利用环保小智软件进行噪声值预测。</w:t>
            </w:r>
          </w:p>
          <w:p w14:paraId="187B8367">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声源描述</w:t>
            </w:r>
          </w:p>
          <w:p w14:paraId="69D6C4A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声环境影响预测，一般采用声源的倍频带声功率级、A声功率级或靠近声源某一位置的倍频带声压级、A声级来预测计算距声源不同距离的声级。工业声源有室外和室内两种声源，应分别计算。</w:t>
            </w:r>
          </w:p>
          <w:p w14:paraId="785F67AE">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室外声源在预测点产生的声级计算</w:t>
            </w:r>
          </w:p>
          <w:p w14:paraId="0D7820C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按照无指向性点声源几何发散衰减进行计算：</w:t>
            </w:r>
          </w:p>
          <w:p w14:paraId="1E47C482">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t>Lp（r）= Lp（r</w:t>
            </w:r>
            <w:r>
              <w:rPr>
                <w:rFonts w:hint="default" w:cs="Times New Roman"/>
                <w:color w:val="auto"/>
                <w:vertAlign w:val="subscript"/>
              </w:rPr>
              <w:t>0</w:t>
            </w:r>
            <w:r>
              <w:rPr>
                <w:rFonts w:hint="default" w:cs="Times New Roman"/>
                <w:color w:val="auto"/>
              </w:rPr>
              <w:t>）-20Lg（r/r</w:t>
            </w:r>
            <w:r>
              <w:rPr>
                <w:rFonts w:hint="default" w:cs="Times New Roman"/>
                <w:color w:val="auto"/>
                <w:vertAlign w:val="subscript"/>
              </w:rPr>
              <w:t>0</w:t>
            </w:r>
            <w:r>
              <w:rPr>
                <w:rFonts w:hint="default" w:cs="Times New Roman"/>
                <w:color w:val="auto"/>
              </w:rPr>
              <w:t>）</w:t>
            </w:r>
          </w:p>
          <w:p w14:paraId="7D9C75F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式中：Lp（r）——距声源处噪声值，dB；</w:t>
            </w:r>
          </w:p>
          <w:p w14:paraId="094C208A">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color w:val="auto"/>
              </w:rPr>
              <w:t>Lp（r</w:t>
            </w:r>
            <w:r>
              <w:rPr>
                <w:rFonts w:hint="default" w:cs="Times New Roman"/>
                <w:color w:val="auto"/>
                <w:vertAlign w:val="subscript"/>
              </w:rPr>
              <w:t>0</w:t>
            </w:r>
            <w:r>
              <w:rPr>
                <w:rFonts w:hint="default" w:cs="Times New Roman"/>
                <w:color w:val="auto"/>
              </w:rPr>
              <w:t>）——距声源r</w:t>
            </w:r>
            <w:r>
              <w:rPr>
                <w:rFonts w:hint="default" w:cs="Times New Roman"/>
                <w:color w:val="auto"/>
                <w:vertAlign w:val="subscript"/>
              </w:rPr>
              <w:t>0</w:t>
            </w:r>
            <w:r>
              <w:rPr>
                <w:rFonts w:hint="default" w:cs="Times New Roman"/>
                <w:color w:val="auto"/>
              </w:rPr>
              <w:t>处噪声值，dB；</w:t>
            </w:r>
          </w:p>
          <w:p w14:paraId="61F9F93A">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color w:val="auto"/>
              </w:rPr>
              <w:t>r——预测点距离声源的距离；</w:t>
            </w:r>
          </w:p>
          <w:p w14:paraId="5751F672">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color w:val="auto"/>
              </w:rPr>
              <w:t>r</w:t>
            </w:r>
            <w:r>
              <w:rPr>
                <w:rFonts w:hint="default" w:cs="Times New Roman"/>
                <w:color w:val="auto"/>
                <w:vertAlign w:val="subscript"/>
              </w:rPr>
              <w:t>0</w:t>
            </w:r>
            <w:r>
              <w:rPr>
                <w:rFonts w:hint="default" w:cs="Times New Roman"/>
                <w:color w:val="auto"/>
              </w:rPr>
              <w:t>——参考位置距声源的距离。</w:t>
            </w:r>
          </w:p>
          <w:p w14:paraId="70343100">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室内声源等效室外声源声功率级计算</w:t>
            </w:r>
          </w:p>
          <w:p w14:paraId="4D6D8E6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如下图所示，声源位于室内，室内声源可采用等效室外声源声功率级法进行计算。设靠近开口处（或窗户）室内、室外某倍频带的声压级分别为Lp1和Lp</w:t>
            </w:r>
            <w:r>
              <w:rPr>
                <w:rFonts w:hint="default" w:cs="Times New Roman"/>
                <w:color w:val="auto"/>
                <w:vertAlign w:val="subscript"/>
              </w:rPr>
              <w:t>2</w:t>
            </w:r>
            <w:r>
              <w:rPr>
                <w:rFonts w:hint="default" w:cs="Times New Roman"/>
                <w:color w:val="auto"/>
              </w:rPr>
              <w:t>，若声源所在室内声场为近似扩散声场，则室外倍频带声压级按下式计算：</w:t>
            </w:r>
          </w:p>
          <w:p w14:paraId="5DB71AA7">
            <w:pPr>
              <w:keepNext w:val="0"/>
              <w:keepLines w:val="0"/>
              <w:suppressLineNumbers w:val="0"/>
              <w:spacing w:before="0" w:beforeAutospacing="0" w:after="0" w:afterAutospacing="0"/>
              <w:ind w:left="0" w:right="0" w:firstLine="0" w:firstLineChars="0"/>
              <w:jc w:val="center"/>
              <w:rPr>
                <w:rFonts w:hint="default" w:cs="Times New Roman"/>
                <w:color w:val="auto"/>
              </w:rPr>
            </w:pPr>
            <w:r>
              <w:rPr>
                <w:rFonts w:hint="default" w:cs="Times New Roman"/>
                <w:color w:val="auto"/>
              </w:rPr>
              <w:t>Lp</w:t>
            </w:r>
            <w:r>
              <w:rPr>
                <w:rFonts w:hint="default" w:cs="Times New Roman"/>
                <w:color w:val="auto"/>
                <w:vertAlign w:val="subscript"/>
              </w:rPr>
              <w:t>2</w:t>
            </w:r>
            <w:r>
              <w:rPr>
                <w:rFonts w:hint="default" w:cs="Times New Roman"/>
                <w:color w:val="auto"/>
              </w:rPr>
              <w:t>=Lp</w:t>
            </w:r>
            <w:r>
              <w:rPr>
                <w:rFonts w:hint="default" w:cs="Times New Roman"/>
                <w:color w:val="auto"/>
                <w:vertAlign w:val="subscript"/>
              </w:rPr>
              <w:t>1</w:t>
            </w:r>
            <w:r>
              <w:rPr>
                <w:rFonts w:hint="default" w:cs="Times New Roman"/>
                <w:color w:val="auto"/>
              </w:rPr>
              <w:t>−（TL+6）</w:t>
            </w:r>
          </w:p>
          <w:p w14:paraId="54CCC81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1039C5B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Lp</w:t>
            </w:r>
            <w:r>
              <w:rPr>
                <w:rFonts w:hint="default" w:cs="Times New Roman"/>
                <w:color w:val="auto"/>
                <w:vertAlign w:val="subscript"/>
              </w:rPr>
              <w:t>1</w:t>
            </w:r>
            <w:r>
              <w:rPr>
                <w:rFonts w:hint="default" w:cs="Times New Roman"/>
                <w:color w:val="auto"/>
              </w:rPr>
              <w:t>——靠近开口处（或窗户）室内某倍频带的声压级或A声级，dB；</w:t>
            </w:r>
          </w:p>
          <w:p w14:paraId="7D340B3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Lp</w:t>
            </w:r>
            <w:r>
              <w:rPr>
                <w:rFonts w:hint="default" w:cs="Times New Roman"/>
                <w:color w:val="auto"/>
                <w:vertAlign w:val="subscript"/>
              </w:rPr>
              <w:t>2</w:t>
            </w:r>
            <w:r>
              <w:rPr>
                <w:rFonts w:hint="default" w:cs="Times New Roman"/>
                <w:color w:val="auto"/>
              </w:rPr>
              <w:t>——靠近开口处（或窗户）室外某倍频带的声压级或A声级，dB；</w:t>
            </w:r>
          </w:p>
          <w:p w14:paraId="69B069C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TL——隔墙（或窗户）倍频带或A声级的隔声量，dB。</w:t>
            </w:r>
          </w:p>
          <w:p w14:paraId="58A64A8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某一室内声源靠近围护结构处产生的倍频带声压级或A声级按下式计算：</w:t>
            </w:r>
          </w:p>
          <w:p w14:paraId="2EF8C56D">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position w:val="-24"/>
              </w:rPr>
              <w:object>
                <v:shape id="_x0000_i1028" o:spt="75" type="#_x0000_t75" style="height:26.2pt;width:109.65pt;" o:ole="t" filled="f" o:preferrelative="t" stroked="f" coordsize="21600,21600">
                  <v:path/>
                  <v:fill on="f" focussize="0,0"/>
                  <v:stroke on="f" joinstyle="miter"/>
                  <v:imagedata r:id="rId30" o:title=""/>
                  <o:lock v:ext="edit" aspectratio="t"/>
                  <w10:wrap type="none"/>
                  <w10:anchorlock/>
                </v:shape>
                <o:OLEObject Type="Embed" ProgID="Equation.DSMT4" ShapeID="_x0000_i1028" DrawAspect="Content" ObjectID="_1468075728" r:id="rId29">
                  <o:LockedField>false</o:LockedField>
                </o:OLEObject>
              </w:object>
            </w:r>
          </w:p>
          <w:p w14:paraId="37498D9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108EF9F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Lp1——靠近开口处（或窗户）室内某倍频带的声压级或A声级，dB；</w:t>
            </w:r>
          </w:p>
          <w:p w14:paraId="4C70EF1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Lw——点声源声功率级（A计权或倍频带），dB；</w:t>
            </w:r>
          </w:p>
          <w:p w14:paraId="2F7629D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Q——指向性因数；通常对无指向性声源，当声源放在房间中心时，Q=1；当放在一面墙的中心时，Q=2；当放在两面墙夹角处时，Q=4；当放在三面墙夹角处时，Q=8；</w:t>
            </w:r>
          </w:p>
          <w:p w14:paraId="0EE414A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R——房间常数；R=Sα/（1-α），S为房间内表面面积，m2；α为平均吸声系数；</w:t>
            </w:r>
          </w:p>
          <w:p w14:paraId="4612A38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r——声源到靠近围护结构某点处的距离，m。</w:t>
            </w:r>
          </w:p>
          <w:p w14:paraId="5003EC8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然后按下式计算出所有室内声源在围护结构处产生的i倍频带叠加声压级：</w:t>
            </w:r>
          </w:p>
          <w:p w14:paraId="7357150D">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position w:val="-30"/>
              </w:rPr>
              <w:object>
                <v:shape id="_x0000_i1029" o:spt="75" type="#_x0000_t75" style="height:30pt;width:108.55pt;" o:ole="t" filled="f" o:preferrelative="t" stroked="f" coordsize="21600,21600">
                  <v:path/>
                  <v:fill on="f" focussize="0,0"/>
                  <v:stroke on="f" joinstyle="miter"/>
                  <v:imagedata r:id="rId32" o:title=""/>
                  <o:lock v:ext="edit" aspectratio="t"/>
                  <w10:wrap type="none"/>
                  <w10:anchorlock/>
                </v:shape>
                <o:OLEObject Type="Embed" ProgID="Equation.DSMT4" ShapeID="_x0000_i1029" DrawAspect="Content" ObjectID="_1468075729" r:id="rId31">
                  <o:LockedField>false</o:LockedField>
                </o:OLEObject>
              </w:object>
            </w:r>
          </w:p>
          <w:p w14:paraId="7894E98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5AC2353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Lp1i（T）——靠近围护结构处室内N个声源i倍频带的叠加声压级，dB；</w:t>
            </w:r>
          </w:p>
          <w:p w14:paraId="164B4BD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Lp1ij——室内j声源i倍频带的声压级，dB；</w:t>
            </w:r>
          </w:p>
          <w:p w14:paraId="64280F4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N——室内声源总数。</w:t>
            </w:r>
          </w:p>
          <w:p w14:paraId="7A429E5E">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④</w:t>
            </w:r>
            <w:r>
              <w:rPr>
                <w:rFonts w:hint="default" w:cs="Times New Roman"/>
                <w:color w:val="auto"/>
              </w:rPr>
              <w:t>靠近声源处的预测点噪声预测模型</w:t>
            </w:r>
          </w:p>
          <w:p w14:paraId="3B9439D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如预测点在靠近声源处，但不能满足点声源条件时，需按线声源或面声源模型计算。</w:t>
            </w:r>
          </w:p>
          <w:p w14:paraId="4FECF677">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⑤</w:t>
            </w:r>
            <w:r>
              <w:rPr>
                <w:rFonts w:hint="default" w:cs="Times New Roman"/>
                <w:color w:val="auto"/>
              </w:rPr>
              <w:t>工业企业噪声计算</w:t>
            </w:r>
          </w:p>
          <w:p w14:paraId="4D35707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5013DC0E">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position w:val="-32"/>
              </w:rPr>
              <w:object>
                <v:shape id="_x0000_i1030" o:spt="75" type="#_x0000_t75" style="height:32.2pt;width:170.2pt;" o:ole="t" filled="f" o:preferrelative="t" stroked="f" coordsize="21600,21600">
                  <v:path/>
                  <v:fill on="f" focussize="0,0"/>
                  <v:stroke on="f" joinstyle="miter"/>
                  <v:imagedata r:id="rId34" o:title=""/>
                  <o:lock v:ext="edit" aspectratio="t"/>
                  <w10:wrap type="none"/>
                  <w10:anchorlock/>
                </v:shape>
                <o:OLEObject Type="Embed" ProgID="Equation.DSMT4" ShapeID="_x0000_i1030" DrawAspect="Content" ObjectID="_1468075730" r:id="rId33">
                  <o:LockedField>false</o:LockedField>
                </o:OLEObject>
              </w:object>
            </w:r>
          </w:p>
          <w:p w14:paraId="468C607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66178E4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Leqg——建设项目声源在预测点产生的噪声贡献值，dB；</w:t>
            </w:r>
          </w:p>
          <w:p w14:paraId="4606020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T——用于计算等效声级的时间，s；</w:t>
            </w:r>
          </w:p>
          <w:p w14:paraId="41C087F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N——室外声源个数；</w:t>
            </w:r>
          </w:p>
          <w:p w14:paraId="1387A2E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ti——在T时间内i声源工作时间，s；</w:t>
            </w:r>
          </w:p>
          <w:p w14:paraId="79DEDD5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M——等效室外声源个数；</w:t>
            </w:r>
          </w:p>
          <w:p w14:paraId="0F765B0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tj——在T时间内j声源工作时间，s。</w:t>
            </w:r>
          </w:p>
          <w:p w14:paraId="77026C4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（6）预测值计算</w:t>
            </w:r>
          </w:p>
          <w:p w14:paraId="2FDC1BC3">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position w:val="-14"/>
              </w:rPr>
              <w:object>
                <v:shape id="_x0000_i1031" o:spt="75" type="#_x0000_t75" style="height:18pt;width:113.45pt;" o:ole="t" filled="f" o:preferrelative="t" stroked="f" coordsize="21600,21600">
                  <v:path/>
                  <v:fill on="f" focussize="0,0"/>
                  <v:stroke on="f" joinstyle="miter"/>
                  <v:imagedata r:id="rId36" o:title=""/>
                  <o:lock v:ext="edit" aspectratio="t"/>
                  <w10:wrap type="none"/>
                  <w10:anchorlock/>
                </v:shape>
                <o:OLEObject Type="Embed" ProgID="Equation.DSMT4" ShapeID="_x0000_i1031" DrawAspect="Content" ObjectID="_1468075731" r:id="rId35">
                  <o:LockedField>false</o:LockedField>
                </o:OLEObject>
              </w:object>
            </w:r>
          </w:p>
          <w:p w14:paraId="4CB400D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p>
          <w:p w14:paraId="3376A2A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Leq——预测点的噪声预测值，dB；</w:t>
            </w:r>
          </w:p>
          <w:p w14:paraId="7B7BC93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Leqb——预测点的背景值，dB。</w:t>
            </w:r>
          </w:p>
          <w:p w14:paraId="786690C4">
            <w:pPr>
              <w:keepNext w:val="0"/>
              <w:keepLines w:val="0"/>
              <w:suppressLineNumbers w:val="0"/>
              <w:spacing w:before="0" w:beforeAutospacing="0" w:after="0" w:afterAutospacing="0"/>
              <w:ind w:left="0" w:right="0" w:firstLine="480"/>
              <w:rPr>
                <w:rFonts w:hint="default" w:cs="Times New Roman"/>
                <w:b/>
                <w:bCs/>
                <w:color w:val="auto"/>
              </w:rPr>
            </w:pPr>
            <w:r>
              <w:rPr>
                <w:rFonts w:hint="default" w:cs="Times New Roman"/>
                <w:snapToGrid w:val="0"/>
                <w:color w:val="auto"/>
              </w:rPr>
              <w:t>本项目运营过程中噪声结果见下表：</w:t>
            </w:r>
          </w:p>
          <w:p w14:paraId="01F0A6CC">
            <w:pPr>
              <w:pStyle w:val="33"/>
              <w:keepNext w:val="0"/>
              <w:keepLines w:val="0"/>
              <w:suppressLineNumbers w:val="0"/>
              <w:spacing w:before="0" w:beforeAutospacing="0" w:after="0" w:afterAutospacing="0"/>
              <w:ind w:left="0" w:right="0"/>
              <w:rPr>
                <w:rFonts w:hint="default" w:cs="Times New Roman"/>
              </w:rPr>
            </w:pPr>
            <w:r>
              <w:rPr>
                <w:rFonts w:hint="default" w:cs="Times New Roman"/>
              </w:rPr>
              <w:t>厂界噪声预测结果与达标分析（单位：dB（A））</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388"/>
              <w:gridCol w:w="1926"/>
              <w:gridCol w:w="1639"/>
              <w:gridCol w:w="1151"/>
            </w:tblGrid>
            <w:tr w14:paraId="35342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15" w:type="pct"/>
                  <w:vMerge w:val="restart"/>
                  <w:tcBorders>
                    <w:tl2br w:val="nil"/>
                    <w:tr2bl w:val="nil"/>
                  </w:tcBorders>
                  <w:shd w:val="clear" w:color="auto" w:fill="auto"/>
                  <w:vAlign w:val="center"/>
                </w:tcPr>
                <w:p w14:paraId="79CCC204">
                  <w:pPr>
                    <w:pStyle w:val="26"/>
                    <w:keepNext w:val="0"/>
                    <w:keepLines w:val="0"/>
                    <w:suppressLineNumbers w:val="0"/>
                    <w:spacing w:before="0" w:beforeAutospacing="0" w:after="0" w:afterAutospacing="0"/>
                    <w:ind w:left="0" w:right="0"/>
                    <w:rPr>
                      <w:rFonts w:hint="default"/>
                    </w:rPr>
                  </w:pPr>
                  <w:r>
                    <w:rPr>
                      <w:rFonts w:hint="default"/>
                    </w:rPr>
                    <w:t>预测方位</w:t>
                  </w:r>
                </w:p>
              </w:tc>
              <w:tc>
                <w:tcPr>
                  <w:tcW w:w="906" w:type="pct"/>
                  <w:vMerge w:val="restart"/>
                  <w:tcBorders>
                    <w:tl2br w:val="nil"/>
                    <w:tr2bl w:val="nil"/>
                  </w:tcBorders>
                  <w:shd w:val="clear" w:color="auto" w:fill="auto"/>
                  <w:vAlign w:val="center"/>
                </w:tcPr>
                <w:p w14:paraId="2552A48B">
                  <w:pPr>
                    <w:pStyle w:val="26"/>
                    <w:keepNext w:val="0"/>
                    <w:keepLines w:val="0"/>
                    <w:suppressLineNumbers w:val="0"/>
                    <w:spacing w:before="0" w:beforeAutospacing="0" w:after="0" w:afterAutospacing="0"/>
                    <w:ind w:left="0" w:right="0"/>
                    <w:rPr>
                      <w:rFonts w:hint="default"/>
                    </w:rPr>
                  </w:pPr>
                  <w:r>
                    <w:rPr>
                      <w:rFonts w:hint="default"/>
                    </w:rPr>
                    <w:t>时段</w:t>
                  </w:r>
                </w:p>
              </w:tc>
              <w:tc>
                <w:tcPr>
                  <w:tcW w:w="1257" w:type="pct"/>
                  <w:vMerge w:val="restart"/>
                  <w:tcBorders>
                    <w:tl2br w:val="nil"/>
                    <w:tr2bl w:val="nil"/>
                  </w:tcBorders>
                  <w:shd w:val="clear" w:color="auto" w:fill="auto"/>
                  <w:vAlign w:val="center"/>
                </w:tcPr>
                <w:p w14:paraId="19FAB504">
                  <w:pPr>
                    <w:pStyle w:val="26"/>
                    <w:keepNext w:val="0"/>
                    <w:keepLines w:val="0"/>
                    <w:suppressLineNumbers w:val="0"/>
                    <w:spacing w:before="0" w:beforeAutospacing="0" w:after="0" w:afterAutospacing="0"/>
                    <w:ind w:left="0" w:right="0"/>
                    <w:rPr>
                      <w:rFonts w:hint="default"/>
                    </w:rPr>
                  </w:pPr>
                  <w:r>
                    <w:rPr>
                      <w:rFonts w:hint="default"/>
                    </w:rPr>
                    <w:t>贡献值（dB(A)）</w:t>
                  </w:r>
                </w:p>
              </w:tc>
              <w:tc>
                <w:tcPr>
                  <w:tcW w:w="1070" w:type="pct"/>
                  <w:vMerge w:val="restart"/>
                  <w:tcBorders>
                    <w:tl2br w:val="nil"/>
                    <w:tr2bl w:val="nil"/>
                  </w:tcBorders>
                  <w:shd w:val="clear" w:color="auto" w:fill="auto"/>
                  <w:vAlign w:val="center"/>
                </w:tcPr>
                <w:p w14:paraId="1080949D">
                  <w:pPr>
                    <w:pStyle w:val="26"/>
                    <w:keepNext w:val="0"/>
                    <w:keepLines w:val="0"/>
                    <w:suppressLineNumbers w:val="0"/>
                    <w:spacing w:before="0" w:beforeAutospacing="0" w:after="0" w:afterAutospacing="0"/>
                    <w:ind w:left="0" w:right="0"/>
                    <w:rPr>
                      <w:rFonts w:hint="default"/>
                    </w:rPr>
                  </w:pPr>
                  <w:r>
                    <w:rPr>
                      <w:rFonts w:hint="default"/>
                    </w:rPr>
                    <w:t>标准限值（dB(A)）</w:t>
                  </w:r>
                </w:p>
              </w:tc>
              <w:tc>
                <w:tcPr>
                  <w:tcW w:w="751" w:type="pct"/>
                  <w:vMerge w:val="restart"/>
                  <w:tcBorders>
                    <w:tl2br w:val="nil"/>
                    <w:tr2bl w:val="nil"/>
                  </w:tcBorders>
                  <w:shd w:val="clear" w:color="auto" w:fill="auto"/>
                  <w:vAlign w:val="center"/>
                </w:tcPr>
                <w:p w14:paraId="644B0A8D">
                  <w:pPr>
                    <w:pStyle w:val="26"/>
                    <w:keepNext w:val="0"/>
                    <w:keepLines w:val="0"/>
                    <w:suppressLineNumbers w:val="0"/>
                    <w:spacing w:before="0" w:beforeAutospacing="0" w:after="0" w:afterAutospacing="0"/>
                    <w:ind w:left="0" w:right="0"/>
                    <w:rPr>
                      <w:rFonts w:hint="default"/>
                    </w:rPr>
                  </w:pPr>
                  <w:r>
                    <w:rPr>
                      <w:rFonts w:hint="default"/>
                    </w:rPr>
                    <w:t>达标情况</w:t>
                  </w:r>
                </w:p>
              </w:tc>
            </w:tr>
            <w:tr w14:paraId="1D6B9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15" w:type="pct"/>
                  <w:vMerge w:val="continue"/>
                  <w:tcBorders>
                    <w:tl2br w:val="nil"/>
                    <w:tr2bl w:val="nil"/>
                  </w:tcBorders>
                  <w:shd w:val="clear" w:color="auto" w:fill="auto"/>
                  <w:vAlign w:val="center"/>
                </w:tcPr>
                <w:p w14:paraId="3D56CA79">
                  <w:pPr>
                    <w:pStyle w:val="26"/>
                    <w:keepNext w:val="0"/>
                    <w:keepLines w:val="0"/>
                    <w:suppressLineNumbers w:val="0"/>
                    <w:spacing w:before="0" w:beforeAutospacing="0" w:after="0" w:afterAutospacing="0"/>
                    <w:ind w:left="0" w:right="0"/>
                    <w:rPr>
                      <w:rFonts w:hint="default"/>
                    </w:rPr>
                  </w:pPr>
                </w:p>
              </w:tc>
              <w:tc>
                <w:tcPr>
                  <w:tcW w:w="906" w:type="pct"/>
                  <w:vMerge w:val="continue"/>
                  <w:tcBorders>
                    <w:tl2br w:val="nil"/>
                    <w:tr2bl w:val="nil"/>
                  </w:tcBorders>
                  <w:shd w:val="clear" w:color="auto" w:fill="auto"/>
                  <w:vAlign w:val="center"/>
                </w:tcPr>
                <w:p w14:paraId="728955B5">
                  <w:pPr>
                    <w:pStyle w:val="26"/>
                    <w:keepNext w:val="0"/>
                    <w:keepLines w:val="0"/>
                    <w:suppressLineNumbers w:val="0"/>
                    <w:spacing w:before="0" w:beforeAutospacing="0" w:after="0" w:afterAutospacing="0"/>
                    <w:ind w:left="0" w:right="0"/>
                    <w:rPr>
                      <w:rFonts w:hint="default"/>
                    </w:rPr>
                  </w:pPr>
                </w:p>
              </w:tc>
              <w:tc>
                <w:tcPr>
                  <w:tcW w:w="1257" w:type="pct"/>
                  <w:vMerge w:val="continue"/>
                  <w:tcBorders>
                    <w:tl2br w:val="nil"/>
                    <w:tr2bl w:val="nil"/>
                  </w:tcBorders>
                  <w:shd w:val="clear" w:color="auto" w:fill="auto"/>
                  <w:vAlign w:val="center"/>
                </w:tcPr>
                <w:p w14:paraId="7CA8B687">
                  <w:pPr>
                    <w:pStyle w:val="26"/>
                    <w:keepNext w:val="0"/>
                    <w:keepLines w:val="0"/>
                    <w:suppressLineNumbers w:val="0"/>
                    <w:spacing w:before="0" w:beforeAutospacing="0" w:after="0" w:afterAutospacing="0"/>
                    <w:ind w:left="0" w:right="0"/>
                    <w:rPr>
                      <w:rFonts w:hint="default"/>
                    </w:rPr>
                  </w:pPr>
                </w:p>
              </w:tc>
              <w:tc>
                <w:tcPr>
                  <w:tcW w:w="1070" w:type="pct"/>
                  <w:vMerge w:val="continue"/>
                  <w:tcBorders>
                    <w:tl2br w:val="nil"/>
                    <w:tr2bl w:val="nil"/>
                  </w:tcBorders>
                  <w:shd w:val="clear" w:color="auto" w:fill="auto"/>
                  <w:vAlign w:val="center"/>
                </w:tcPr>
                <w:p w14:paraId="0AA5E880">
                  <w:pPr>
                    <w:pStyle w:val="26"/>
                    <w:keepNext w:val="0"/>
                    <w:keepLines w:val="0"/>
                    <w:suppressLineNumbers w:val="0"/>
                    <w:spacing w:before="0" w:beforeAutospacing="0" w:after="0" w:afterAutospacing="0"/>
                    <w:ind w:left="0" w:right="0"/>
                    <w:rPr>
                      <w:rFonts w:hint="default"/>
                    </w:rPr>
                  </w:pPr>
                </w:p>
              </w:tc>
              <w:tc>
                <w:tcPr>
                  <w:tcW w:w="751" w:type="pct"/>
                  <w:vMerge w:val="continue"/>
                  <w:tcBorders>
                    <w:tl2br w:val="nil"/>
                    <w:tr2bl w:val="nil"/>
                  </w:tcBorders>
                  <w:shd w:val="clear" w:color="auto" w:fill="auto"/>
                  <w:vAlign w:val="center"/>
                </w:tcPr>
                <w:p w14:paraId="3712065F">
                  <w:pPr>
                    <w:pStyle w:val="26"/>
                    <w:keepNext w:val="0"/>
                    <w:keepLines w:val="0"/>
                    <w:suppressLineNumbers w:val="0"/>
                    <w:spacing w:before="0" w:beforeAutospacing="0" w:after="0" w:afterAutospacing="0"/>
                    <w:ind w:left="0" w:right="0"/>
                    <w:rPr>
                      <w:rFonts w:hint="default"/>
                    </w:rPr>
                  </w:pPr>
                </w:p>
              </w:tc>
            </w:tr>
            <w:tr w14:paraId="5C0C8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restart"/>
                  <w:tcBorders>
                    <w:tl2br w:val="nil"/>
                    <w:tr2bl w:val="nil"/>
                  </w:tcBorders>
                  <w:shd w:val="clear" w:color="auto" w:fill="auto"/>
                  <w:vAlign w:val="center"/>
                </w:tcPr>
                <w:p w14:paraId="0C94BFA2">
                  <w:pPr>
                    <w:pStyle w:val="26"/>
                    <w:keepNext w:val="0"/>
                    <w:keepLines w:val="0"/>
                    <w:suppressLineNumbers w:val="0"/>
                    <w:spacing w:before="0" w:beforeAutospacing="0" w:after="0" w:afterAutospacing="0"/>
                    <w:ind w:left="0" w:right="0"/>
                    <w:rPr>
                      <w:rFonts w:hint="default"/>
                    </w:rPr>
                  </w:pPr>
                  <w:r>
                    <w:rPr>
                      <w:rFonts w:hint="default"/>
                    </w:rPr>
                    <w:t>东侧</w:t>
                  </w:r>
                </w:p>
              </w:tc>
              <w:tc>
                <w:tcPr>
                  <w:tcW w:w="906" w:type="pct"/>
                  <w:tcBorders>
                    <w:tl2br w:val="nil"/>
                    <w:tr2bl w:val="nil"/>
                  </w:tcBorders>
                  <w:shd w:val="clear" w:color="auto" w:fill="auto"/>
                  <w:vAlign w:val="center"/>
                </w:tcPr>
                <w:p w14:paraId="4B538997">
                  <w:pPr>
                    <w:pStyle w:val="26"/>
                    <w:keepNext w:val="0"/>
                    <w:keepLines w:val="0"/>
                    <w:suppressLineNumbers w:val="0"/>
                    <w:spacing w:before="0" w:beforeAutospacing="0" w:after="0" w:afterAutospacing="0"/>
                    <w:ind w:left="0" w:right="0"/>
                    <w:rPr>
                      <w:rFonts w:hint="default"/>
                    </w:rPr>
                  </w:pPr>
                  <w:r>
                    <w:rPr>
                      <w:rFonts w:hint="default"/>
                    </w:rPr>
                    <w:t>昼间</w:t>
                  </w:r>
                </w:p>
              </w:tc>
              <w:tc>
                <w:tcPr>
                  <w:tcW w:w="1257" w:type="pct"/>
                  <w:tcBorders>
                    <w:tl2br w:val="nil"/>
                    <w:tr2bl w:val="nil"/>
                  </w:tcBorders>
                  <w:shd w:val="clear" w:color="auto" w:fill="auto"/>
                  <w:vAlign w:val="center"/>
                </w:tcPr>
                <w:p w14:paraId="7EFBB499">
                  <w:pPr>
                    <w:pStyle w:val="26"/>
                    <w:keepNext w:val="0"/>
                    <w:keepLines w:val="0"/>
                    <w:suppressLineNumbers w:val="0"/>
                    <w:spacing w:before="0" w:beforeAutospacing="0" w:after="0" w:afterAutospacing="0"/>
                    <w:ind w:left="0" w:right="0"/>
                    <w:rPr>
                      <w:rFonts w:hint="default"/>
                    </w:rPr>
                  </w:pPr>
                  <w:r>
                    <w:rPr>
                      <w:rFonts w:hint="default"/>
                    </w:rPr>
                    <w:t>45.6</w:t>
                  </w:r>
                </w:p>
              </w:tc>
              <w:tc>
                <w:tcPr>
                  <w:tcW w:w="1070" w:type="pct"/>
                  <w:tcBorders>
                    <w:tl2br w:val="nil"/>
                    <w:tr2bl w:val="nil"/>
                  </w:tcBorders>
                  <w:shd w:val="clear" w:color="auto" w:fill="auto"/>
                  <w:vAlign w:val="center"/>
                </w:tcPr>
                <w:p w14:paraId="187401E0">
                  <w:pPr>
                    <w:pStyle w:val="26"/>
                    <w:keepNext w:val="0"/>
                    <w:keepLines w:val="0"/>
                    <w:suppressLineNumbers w:val="0"/>
                    <w:spacing w:before="0" w:beforeAutospacing="0" w:after="0" w:afterAutospacing="0"/>
                    <w:ind w:left="0" w:right="0"/>
                    <w:rPr>
                      <w:rFonts w:hint="default"/>
                    </w:rPr>
                  </w:pPr>
                  <w:r>
                    <w:rPr>
                      <w:rFonts w:hint="default"/>
                    </w:rPr>
                    <w:t>65</w:t>
                  </w:r>
                </w:p>
              </w:tc>
              <w:tc>
                <w:tcPr>
                  <w:tcW w:w="751" w:type="pct"/>
                  <w:tcBorders>
                    <w:tl2br w:val="nil"/>
                    <w:tr2bl w:val="nil"/>
                  </w:tcBorders>
                  <w:shd w:val="clear" w:color="auto" w:fill="auto"/>
                  <w:vAlign w:val="center"/>
                </w:tcPr>
                <w:p w14:paraId="7066E654">
                  <w:pPr>
                    <w:pStyle w:val="26"/>
                    <w:keepNext w:val="0"/>
                    <w:keepLines w:val="0"/>
                    <w:suppressLineNumbers w:val="0"/>
                    <w:spacing w:before="0" w:beforeAutospacing="0" w:after="0" w:afterAutospacing="0"/>
                    <w:ind w:left="0" w:right="0"/>
                    <w:rPr>
                      <w:rFonts w:hint="default"/>
                    </w:rPr>
                  </w:pPr>
                  <w:r>
                    <w:rPr>
                      <w:rFonts w:hint="default"/>
                    </w:rPr>
                    <w:t>达标</w:t>
                  </w:r>
                </w:p>
              </w:tc>
            </w:tr>
            <w:tr w14:paraId="1018D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continue"/>
                  <w:tcBorders>
                    <w:tl2br w:val="nil"/>
                    <w:tr2bl w:val="nil"/>
                  </w:tcBorders>
                  <w:shd w:val="clear" w:color="auto" w:fill="auto"/>
                  <w:vAlign w:val="center"/>
                </w:tcPr>
                <w:p w14:paraId="7717CD79">
                  <w:pPr>
                    <w:pStyle w:val="26"/>
                    <w:keepNext w:val="0"/>
                    <w:keepLines w:val="0"/>
                    <w:suppressLineNumbers w:val="0"/>
                    <w:spacing w:before="0" w:beforeAutospacing="0" w:after="0" w:afterAutospacing="0"/>
                    <w:ind w:left="0" w:right="0"/>
                    <w:rPr>
                      <w:rFonts w:hint="default"/>
                    </w:rPr>
                  </w:pPr>
                </w:p>
              </w:tc>
              <w:tc>
                <w:tcPr>
                  <w:tcW w:w="906" w:type="pct"/>
                  <w:tcBorders>
                    <w:tl2br w:val="nil"/>
                    <w:tr2bl w:val="nil"/>
                  </w:tcBorders>
                  <w:shd w:val="clear" w:color="auto" w:fill="auto"/>
                  <w:vAlign w:val="center"/>
                </w:tcPr>
                <w:p w14:paraId="1DE05104">
                  <w:pPr>
                    <w:pStyle w:val="26"/>
                    <w:keepNext w:val="0"/>
                    <w:keepLines w:val="0"/>
                    <w:suppressLineNumbers w:val="0"/>
                    <w:spacing w:before="0" w:beforeAutospacing="0" w:after="0" w:afterAutospacing="0"/>
                    <w:ind w:left="0" w:right="0"/>
                    <w:rPr>
                      <w:rFonts w:hint="default"/>
                    </w:rPr>
                  </w:pPr>
                  <w:r>
                    <w:rPr>
                      <w:rFonts w:hint="default"/>
                    </w:rPr>
                    <w:t>夜间</w:t>
                  </w:r>
                </w:p>
              </w:tc>
              <w:tc>
                <w:tcPr>
                  <w:tcW w:w="1257" w:type="pct"/>
                  <w:tcBorders>
                    <w:tl2br w:val="nil"/>
                    <w:tr2bl w:val="nil"/>
                  </w:tcBorders>
                  <w:shd w:val="clear" w:color="auto" w:fill="auto"/>
                  <w:vAlign w:val="center"/>
                </w:tcPr>
                <w:p w14:paraId="1FBC202C">
                  <w:pPr>
                    <w:pStyle w:val="26"/>
                    <w:keepNext w:val="0"/>
                    <w:keepLines w:val="0"/>
                    <w:suppressLineNumbers w:val="0"/>
                    <w:spacing w:before="0" w:beforeAutospacing="0" w:after="0" w:afterAutospacing="0"/>
                    <w:ind w:left="0" w:right="0"/>
                    <w:rPr>
                      <w:rFonts w:hint="default"/>
                    </w:rPr>
                  </w:pPr>
                  <w:r>
                    <w:rPr>
                      <w:rFonts w:hint="default"/>
                    </w:rPr>
                    <w:t>45.6</w:t>
                  </w:r>
                </w:p>
              </w:tc>
              <w:tc>
                <w:tcPr>
                  <w:tcW w:w="1070" w:type="pct"/>
                  <w:tcBorders>
                    <w:tl2br w:val="nil"/>
                    <w:tr2bl w:val="nil"/>
                  </w:tcBorders>
                  <w:shd w:val="clear" w:color="auto" w:fill="auto"/>
                  <w:vAlign w:val="center"/>
                </w:tcPr>
                <w:p w14:paraId="7D32A249">
                  <w:pPr>
                    <w:pStyle w:val="26"/>
                    <w:keepNext w:val="0"/>
                    <w:keepLines w:val="0"/>
                    <w:suppressLineNumbers w:val="0"/>
                    <w:spacing w:before="0" w:beforeAutospacing="0" w:after="0" w:afterAutospacing="0"/>
                    <w:ind w:left="0" w:right="0"/>
                    <w:rPr>
                      <w:rFonts w:hint="default"/>
                    </w:rPr>
                  </w:pPr>
                  <w:r>
                    <w:rPr>
                      <w:rFonts w:hint="default"/>
                    </w:rPr>
                    <w:t>55</w:t>
                  </w:r>
                </w:p>
              </w:tc>
              <w:tc>
                <w:tcPr>
                  <w:tcW w:w="751" w:type="pct"/>
                  <w:tcBorders>
                    <w:tl2br w:val="nil"/>
                    <w:tr2bl w:val="nil"/>
                  </w:tcBorders>
                  <w:shd w:val="clear" w:color="auto" w:fill="auto"/>
                  <w:vAlign w:val="center"/>
                </w:tcPr>
                <w:p w14:paraId="1369B7A3">
                  <w:pPr>
                    <w:pStyle w:val="26"/>
                    <w:keepNext w:val="0"/>
                    <w:keepLines w:val="0"/>
                    <w:suppressLineNumbers w:val="0"/>
                    <w:spacing w:before="0" w:beforeAutospacing="0" w:after="0" w:afterAutospacing="0"/>
                    <w:ind w:left="0" w:right="0"/>
                    <w:rPr>
                      <w:rFonts w:hint="default"/>
                    </w:rPr>
                  </w:pPr>
                  <w:r>
                    <w:rPr>
                      <w:rFonts w:hint="default"/>
                    </w:rPr>
                    <w:t>达标</w:t>
                  </w:r>
                </w:p>
              </w:tc>
            </w:tr>
            <w:tr w14:paraId="02ED6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restart"/>
                  <w:tcBorders>
                    <w:tl2br w:val="nil"/>
                    <w:tr2bl w:val="nil"/>
                  </w:tcBorders>
                  <w:shd w:val="clear" w:color="auto" w:fill="auto"/>
                  <w:vAlign w:val="center"/>
                </w:tcPr>
                <w:p w14:paraId="7DDF4FFC">
                  <w:pPr>
                    <w:pStyle w:val="26"/>
                    <w:keepNext w:val="0"/>
                    <w:keepLines w:val="0"/>
                    <w:suppressLineNumbers w:val="0"/>
                    <w:spacing w:before="0" w:beforeAutospacing="0" w:after="0" w:afterAutospacing="0"/>
                    <w:ind w:left="0" w:right="0"/>
                    <w:rPr>
                      <w:rFonts w:hint="default"/>
                    </w:rPr>
                  </w:pPr>
                  <w:r>
                    <w:rPr>
                      <w:rFonts w:hint="default"/>
                    </w:rPr>
                    <w:t>南侧</w:t>
                  </w:r>
                </w:p>
              </w:tc>
              <w:tc>
                <w:tcPr>
                  <w:tcW w:w="906" w:type="pct"/>
                  <w:tcBorders>
                    <w:tl2br w:val="nil"/>
                    <w:tr2bl w:val="nil"/>
                  </w:tcBorders>
                  <w:shd w:val="clear" w:color="auto" w:fill="auto"/>
                  <w:vAlign w:val="center"/>
                </w:tcPr>
                <w:p w14:paraId="4B900AE1">
                  <w:pPr>
                    <w:pStyle w:val="26"/>
                    <w:keepNext w:val="0"/>
                    <w:keepLines w:val="0"/>
                    <w:suppressLineNumbers w:val="0"/>
                    <w:spacing w:before="0" w:beforeAutospacing="0" w:after="0" w:afterAutospacing="0"/>
                    <w:ind w:left="0" w:right="0"/>
                    <w:rPr>
                      <w:rFonts w:hint="default"/>
                    </w:rPr>
                  </w:pPr>
                  <w:r>
                    <w:rPr>
                      <w:rFonts w:hint="default"/>
                    </w:rPr>
                    <w:t>昼间</w:t>
                  </w:r>
                </w:p>
              </w:tc>
              <w:tc>
                <w:tcPr>
                  <w:tcW w:w="1257" w:type="pct"/>
                  <w:tcBorders>
                    <w:tl2br w:val="nil"/>
                    <w:tr2bl w:val="nil"/>
                  </w:tcBorders>
                  <w:shd w:val="clear" w:color="auto" w:fill="auto"/>
                  <w:vAlign w:val="center"/>
                </w:tcPr>
                <w:p w14:paraId="3335DA02">
                  <w:pPr>
                    <w:pStyle w:val="26"/>
                    <w:keepNext w:val="0"/>
                    <w:keepLines w:val="0"/>
                    <w:suppressLineNumbers w:val="0"/>
                    <w:spacing w:before="0" w:beforeAutospacing="0" w:after="0" w:afterAutospacing="0"/>
                    <w:ind w:left="0" w:right="0"/>
                    <w:rPr>
                      <w:rFonts w:hint="default"/>
                    </w:rPr>
                  </w:pPr>
                  <w:r>
                    <w:rPr>
                      <w:rFonts w:hint="default"/>
                    </w:rPr>
                    <w:t>31.8</w:t>
                  </w:r>
                </w:p>
              </w:tc>
              <w:tc>
                <w:tcPr>
                  <w:tcW w:w="1070" w:type="pct"/>
                  <w:tcBorders>
                    <w:tl2br w:val="nil"/>
                    <w:tr2bl w:val="nil"/>
                  </w:tcBorders>
                  <w:shd w:val="clear" w:color="auto" w:fill="auto"/>
                  <w:vAlign w:val="center"/>
                </w:tcPr>
                <w:p w14:paraId="36A2B054">
                  <w:pPr>
                    <w:pStyle w:val="26"/>
                    <w:keepNext w:val="0"/>
                    <w:keepLines w:val="0"/>
                    <w:suppressLineNumbers w:val="0"/>
                    <w:spacing w:before="0" w:beforeAutospacing="0" w:after="0" w:afterAutospacing="0"/>
                    <w:ind w:left="0" w:right="0"/>
                    <w:rPr>
                      <w:rFonts w:hint="default"/>
                    </w:rPr>
                  </w:pPr>
                  <w:r>
                    <w:rPr>
                      <w:rFonts w:hint="default"/>
                    </w:rPr>
                    <w:t>65</w:t>
                  </w:r>
                </w:p>
              </w:tc>
              <w:tc>
                <w:tcPr>
                  <w:tcW w:w="751" w:type="pct"/>
                  <w:tcBorders>
                    <w:tl2br w:val="nil"/>
                    <w:tr2bl w:val="nil"/>
                  </w:tcBorders>
                  <w:shd w:val="clear" w:color="auto" w:fill="auto"/>
                  <w:vAlign w:val="center"/>
                </w:tcPr>
                <w:p w14:paraId="4A9D3F4A">
                  <w:pPr>
                    <w:pStyle w:val="26"/>
                    <w:keepNext w:val="0"/>
                    <w:keepLines w:val="0"/>
                    <w:suppressLineNumbers w:val="0"/>
                    <w:spacing w:before="0" w:beforeAutospacing="0" w:after="0" w:afterAutospacing="0"/>
                    <w:ind w:left="0" w:right="0"/>
                    <w:rPr>
                      <w:rFonts w:hint="default"/>
                    </w:rPr>
                  </w:pPr>
                  <w:r>
                    <w:rPr>
                      <w:rFonts w:hint="default"/>
                    </w:rPr>
                    <w:t>达标</w:t>
                  </w:r>
                </w:p>
              </w:tc>
            </w:tr>
            <w:tr w14:paraId="3E937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continue"/>
                  <w:tcBorders>
                    <w:tl2br w:val="nil"/>
                    <w:tr2bl w:val="nil"/>
                  </w:tcBorders>
                  <w:shd w:val="clear" w:color="auto" w:fill="auto"/>
                  <w:vAlign w:val="center"/>
                </w:tcPr>
                <w:p w14:paraId="1BD9FCE6">
                  <w:pPr>
                    <w:pStyle w:val="26"/>
                    <w:keepNext w:val="0"/>
                    <w:keepLines w:val="0"/>
                    <w:suppressLineNumbers w:val="0"/>
                    <w:spacing w:before="0" w:beforeAutospacing="0" w:after="0" w:afterAutospacing="0"/>
                    <w:ind w:left="0" w:right="0"/>
                    <w:rPr>
                      <w:rFonts w:hint="default"/>
                    </w:rPr>
                  </w:pPr>
                </w:p>
              </w:tc>
              <w:tc>
                <w:tcPr>
                  <w:tcW w:w="906" w:type="pct"/>
                  <w:tcBorders>
                    <w:tl2br w:val="nil"/>
                    <w:tr2bl w:val="nil"/>
                  </w:tcBorders>
                  <w:shd w:val="clear" w:color="auto" w:fill="auto"/>
                  <w:vAlign w:val="center"/>
                </w:tcPr>
                <w:p w14:paraId="5E0783B4">
                  <w:pPr>
                    <w:pStyle w:val="26"/>
                    <w:keepNext w:val="0"/>
                    <w:keepLines w:val="0"/>
                    <w:suppressLineNumbers w:val="0"/>
                    <w:spacing w:before="0" w:beforeAutospacing="0" w:after="0" w:afterAutospacing="0"/>
                    <w:ind w:left="0" w:right="0"/>
                    <w:rPr>
                      <w:rFonts w:hint="default"/>
                    </w:rPr>
                  </w:pPr>
                  <w:r>
                    <w:rPr>
                      <w:rFonts w:hint="default"/>
                    </w:rPr>
                    <w:t>夜间</w:t>
                  </w:r>
                </w:p>
              </w:tc>
              <w:tc>
                <w:tcPr>
                  <w:tcW w:w="1257" w:type="pct"/>
                  <w:tcBorders>
                    <w:tl2br w:val="nil"/>
                    <w:tr2bl w:val="nil"/>
                  </w:tcBorders>
                  <w:shd w:val="clear" w:color="auto" w:fill="auto"/>
                  <w:vAlign w:val="center"/>
                </w:tcPr>
                <w:p w14:paraId="6C7D3B90">
                  <w:pPr>
                    <w:pStyle w:val="26"/>
                    <w:keepNext w:val="0"/>
                    <w:keepLines w:val="0"/>
                    <w:suppressLineNumbers w:val="0"/>
                    <w:spacing w:before="0" w:beforeAutospacing="0" w:after="0" w:afterAutospacing="0"/>
                    <w:ind w:left="0" w:right="0"/>
                    <w:rPr>
                      <w:rFonts w:hint="default"/>
                    </w:rPr>
                  </w:pPr>
                  <w:r>
                    <w:rPr>
                      <w:rFonts w:hint="default"/>
                    </w:rPr>
                    <w:t>31.8</w:t>
                  </w:r>
                </w:p>
              </w:tc>
              <w:tc>
                <w:tcPr>
                  <w:tcW w:w="1070" w:type="pct"/>
                  <w:tcBorders>
                    <w:tl2br w:val="nil"/>
                    <w:tr2bl w:val="nil"/>
                  </w:tcBorders>
                  <w:shd w:val="clear" w:color="auto" w:fill="auto"/>
                  <w:vAlign w:val="center"/>
                </w:tcPr>
                <w:p w14:paraId="1DD8F0D0">
                  <w:pPr>
                    <w:pStyle w:val="26"/>
                    <w:keepNext w:val="0"/>
                    <w:keepLines w:val="0"/>
                    <w:suppressLineNumbers w:val="0"/>
                    <w:spacing w:before="0" w:beforeAutospacing="0" w:after="0" w:afterAutospacing="0"/>
                    <w:ind w:left="0" w:right="0"/>
                    <w:rPr>
                      <w:rFonts w:hint="default"/>
                    </w:rPr>
                  </w:pPr>
                  <w:r>
                    <w:rPr>
                      <w:rFonts w:hint="default"/>
                    </w:rPr>
                    <w:t>55</w:t>
                  </w:r>
                </w:p>
              </w:tc>
              <w:tc>
                <w:tcPr>
                  <w:tcW w:w="751" w:type="pct"/>
                  <w:tcBorders>
                    <w:tl2br w:val="nil"/>
                    <w:tr2bl w:val="nil"/>
                  </w:tcBorders>
                  <w:shd w:val="clear" w:color="auto" w:fill="auto"/>
                  <w:vAlign w:val="center"/>
                </w:tcPr>
                <w:p w14:paraId="338DDF61">
                  <w:pPr>
                    <w:pStyle w:val="26"/>
                    <w:keepNext w:val="0"/>
                    <w:keepLines w:val="0"/>
                    <w:suppressLineNumbers w:val="0"/>
                    <w:spacing w:before="0" w:beforeAutospacing="0" w:after="0" w:afterAutospacing="0"/>
                    <w:ind w:left="0" w:right="0"/>
                    <w:rPr>
                      <w:rFonts w:hint="default"/>
                    </w:rPr>
                  </w:pPr>
                  <w:r>
                    <w:rPr>
                      <w:rFonts w:hint="default"/>
                    </w:rPr>
                    <w:t>达标</w:t>
                  </w:r>
                </w:p>
              </w:tc>
            </w:tr>
            <w:tr w14:paraId="6B169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restart"/>
                  <w:tcBorders>
                    <w:tl2br w:val="nil"/>
                    <w:tr2bl w:val="nil"/>
                  </w:tcBorders>
                  <w:shd w:val="clear" w:color="auto" w:fill="auto"/>
                  <w:vAlign w:val="center"/>
                </w:tcPr>
                <w:p w14:paraId="352B6E82">
                  <w:pPr>
                    <w:pStyle w:val="26"/>
                    <w:keepNext w:val="0"/>
                    <w:keepLines w:val="0"/>
                    <w:suppressLineNumbers w:val="0"/>
                    <w:spacing w:before="0" w:beforeAutospacing="0" w:after="0" w:afterAutospacing="0"/>
                    <w:ind w:left="0" w:right="0"/>
                    <w:rPr>
                      <w:rFonts w:hint="default"/>
                    </w:rPr>
                  </w:pPr>
                  <w:r>
                    <w:rPr>
                      <w:rFonts w:hint="default"/>
                    </w:rPr>
                    <w:t>西侧</w:t>
                  </w:r>
                </w:p>
              </w:tc>
              <w:tc>
                <w:tcPr>
                  <w:tcW w:w="906" w:type="pct"/>
                  <w:tcBorders>
                    <w:tl2br w:val="nil"/>
                    <w:tr2bl w:val="nil"/>
                  </w:tcBorders>
                  <w:shd w:val="clear" w:color="auto" w:fill="auto"/>
                  <w:vAlign w:val="center"/>
                </w:tcPr>
                <w:p w14:paraId="28CC42BD">
                  <w:pPr>
                    <w:pStyle w:val="26"/>
                    <w:keepNext w:val="0"/>
                    <w:keepLines w:val="0"/>
                    <w:suppressLineNumbers w:val="0"/>
                    <w:spacing w:before="0" w:beforeAutospacing="0" w:after="0" w:afterAutospacing="0"/>
                    <w:ind w:left="0" w:right="0"/>
                    <w:rPr>
                      <w:rFonts w:hint="default"/>
                    </w:rPr>
                  </w:pPr>
                  <w:r>
                    <w:rPr>
                      <w:rFonts w:hint="default"/>
                    </w:rPr>
                    <w:t>昼间</w:t>
                  </w:r>
                </w:p>
              </w:tc>
              <w:tc>
                <w:tcPr>
                  <w:tcW w:w="1257" w:type="pct"/>
                  <w:tcBorders>
                    <w:tl2br w:val="nil"/>
                    <w:tr2bl w:val="nil"/>
                  </w:tcBorders>
                  <w:shd w:val="clear" w:color="auto" w:fill="auto"/>
                  <w:vAlign w:val="center"/>
                </w:tcPr>
                <w:p w14:paraId="0A7E09AE">
                  <w:pPr>
                    <w:pStyle w:val="26"/>
                    <w:keepNext w:val="0"/>
                    <w:keepLines w:val="0"/>
                    <w:suppressLineNumbers w:val="0"/>
                    <w:spacing w:before="0" w:beforeAutospacing="0" w:after="0" w:afterAutospacing="0"/>
                    <w:ind w:left="0" w:right="0"/>
                    <w:rPr>
                      <w:rFonts w:hint="default"/>
                    </w:rPr>
                  </w:pPr>
                  <w:r>
                    <w:rPr>
                      <w:rFonts w:hint="default"/>
                    </w:rPr>
                    <w:t>38.8</w:t>
                  </w:r>
                </w:p>
              </w:tc>
              <w:tc>
                <w:tcPr>
                  <w:tcW w:w="1070" w:type="pct"/>
                  <w:tcBorders>
                    <w:tl2br w:val="nil"/>
                    <w:tr2bl w:val="nil"/>
                  </w:tcBorders>
                  <w:shd w:val="clear" w:color="auto" w:fill="auto"/>
                  <w:vAlign w:val="center"/>
                </w:tcPr>
                <w:p w14:paraId="3DD2E300">
                  <w:pPr>
                    <w:pStyle w:val="26"/>
                    <w:keepNext w:val="0"/>
                    <w:keepLines w:val="0"/>
                    <w:suppressLineNumbers w:val="0"/>
                    <w:spacing w:before="0" w:beforeAutospacing="0" w:after="0" w:afterAutospacing="0"/>
                    <w:ind w:left="0" w:right="0"/>
                    <w:rPr>
                      <w:rFonts w:hint="default"/>
                    </w:rPr>
                  </w:pPr>
                  <w:r>
                    <w:rPr>
                      <w:rFonts w:hint="default"/>
                    </w:rPr>
                    <w:t>65</w:t>
                  </w:r>
                </w:p>
              </w:tc>
              <w:tc>
                <w:tcPr>
                  <w:tcW w:w="751" w:type="pct"/>
                  <w:tcBorders>
                    <w:tl2br w:val="nil"/>
                    <w:tr2bl w:val="nil"/>
                  </w:tcBorders>
                  <w:shd w:val="clear" w:color="auto" w:fill="auto"/>
                  <w:vAlign w:val="center"/>
                </w:tcPr>
                <w:p w14:paraId="24938F7A">
                  <w:pPr>
                    <w:pStyle w:val="26"/>
                    <w:keepNext w:val="0"/>
                    <w:keepLines w:val="0"/>
                    <w:suppressLineNumbers w:val="0"/>
                    <w:spacing w:before="0" w:beforeAutospacing="0" w:after="0" w:afterAutospacing="0"/>
                    <w:ind w:left="0" w:right="0"/>
                    <w:rPr>
                      <w:rFonts w:hint="default"/>
                    </w:rPr>
                  </w:pPr>
                  <w:r>
                    <w:rPr>
                      <w:rFonts w:hint="default"/>
                    </w:rPr>
                    <w:t>达标</w:t>
                  </w:r>
                </w:p>
              </w:tc>
            </w:tr>
            <w:tr w14:paraId="3E7DC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continue"/>
                  <w:tcBorders>
                    <w:tl2br w:val="nil"/>
                    <w:tr2bl w:val="nil"/>
                  </w:tcBorders>
                  <w:shd w:val="clear" w:color="auto" w:fill="auto"/>
                  <w:vAlign w:val="center"/>
                </w:tcPr>
                <w:p w14:paraId="428BD74A">
                  <w:pPr>
                    <w:pStyle w:val="26"/>
                    <w:keepNext w:val="0"/>
                    <w:keepLines w:val="0"/>
                    <w:suppressLineNumbers w:val="0"/>
                    <w:spacing w:before="0" w:beforeAutospacing="0" w:after="0" w:afterAutospacing="0"/>
                    <w:ind w:left="0" w:right="0"/>
                    <w:rPr>
                      <w:rFonts w:hint="default"/>
                    </w:rPr>
                  </w:pPr>
                </w:p>
              </w:tc>
              <w:tc>
                <w:tcPr>
                  <w:tcW w:w="906" w:type="pct"/>
                  <w:tcBorders>
                    <w:tl2br w:val="nil"/>
                    <w:tr2bl w:val="nil"/>
                  </w:tcBorders>
                  <w:shd w:val="clear" w:color="auto" w:fill="auto"/>
                  <w:vAlign w:val="center"/>
                </w:tcPr>
                <w:p w14:paraId="43DE50AF">
                  <w:pPr>
                    <w:pStyle w:val="26"/>
                    <w:keepNext w:val="0"/>
                    <w:keepLines w:val="0"/>
                    <w:suppressLineNumbers w:val="0"/>
                    <w:spacing w:before="0" w:beforeAutospacing="0" w:after="0" w:afterAutospacing="0"/>
                    <w:ind w:left="0" w:right="0"/>
                    <w:rPr>
                      <w:rFonts w:hint="default"/>
                    </w:rPr>
                  </w:pPr>
                  <w:r>
                    <w:rPr>
                      <w:rFonts w:hint="default"/>
                    </w:rPr>
                    <w:t>夜间</w:t>
                  </w:r>
                </w:p>
              </w:tc>
              <w:tc>
                <w:tcPr>
                  <w:tcW w:w="1257" w:type="pct"/>
                  <w:tcBorders>
                    <w:tl2br w:val="nil"/>
                    <w:tr2bl w:val="nil"/>
                  </w:tcBorders>
                  <w:shd w:val="clear" w:color="auto" w:fill="auto"/>
                  <w:vAlign w:val="center"/>
                </w:tcPr>
                <w:p w14:paraId="2B4D80B0">
                  <w:pPr>
                    <w:pStyle w:val="26"/>
                    <w:keepNext w:val="0"/>
                    <w:keepLines w:val="0"/>
                    <w:suppressLineNumbers w:val="0"/>
                    <w:spacing w:before="0" w:beforeAutospacing="0" w:after="0" w:afterAutospacing="0"/>
                    <w:ind w:left="0" w:right="0"/>
                    <w:rPr>
                      <w:rFonts w:hint="default"/>
                    </w:rPr>
                  </w:pPr>
                  <w:r>
                    <w:rPr>
                      <w:rFonts w:hint="default"/>
                    </w:rPr>
                    <w:t>38.8</w:t>
                  </w:r>
                </w:p>
              </w:tc>
              <w:tc>
                <w:tcPr>
                  <w:tcW w:w="1070" w:type="pct"/>
                  <w:tcBorders>
                    <w:tl2br w:val="nil"/>
                    <w:tr2bl w:val="nil"/>
                  </w:tcBorders>
                  <w:shd w:val="clear" w:color="auto" w:fill="auto"/>
                  <w:vAlign w:val="center"/>
                </w:tcPr>
                <w:p w14:paraId="2FFAEC39">
                  <w:pPr>
                    <w:pStyle w:val="26"/>
                    <w:keepNext w:val="0"/>
                    <w:keepLines w:val="0"/>
                    <w:suppressLineNumbers w:val="0"/>
                    <w:spacing w:before="0" w:beforeAutospacing="0" w:after="0" w:afterAutospacing="0"/>
                    <w:ind w:left="0" w:right="0"/>
                    <w:rPr>
                      <w:rFonts w:hint="default"/>
                    </w:rPr>
                  </w:pPr>
                  <w:r>
                    <w:rPr>
                      <w:rFonts w:hint="default"/>
                    </w:rPr>
                    <w:t>55</w:t>
                  </w:r>
                </w:p>
              </w:tc>
              <w:tc>
                <w:tcPr>
                  <w:tcW w:w="751" w:type="pct"/>
                  <w:tcBorders>
                    <w:tl2br w:val="nil"/>
                    <w:tr2bl w:val="nil"/>
                  </w:tcBorders>
                  <w:shd w:val="clear" w:color="auto" w:fill="auto"/>
                  <w:vAlign w:val="center"/>
                </w:tcPr>
                <w:p w14:paraId="427344A0">
                  <w:pPr>
                    <w:pStyle w:val="26"/>
                    <w:keepNext w:val="0"/>
                    <w:keepLines w:val="0"/>
                    <w:suppressLineNumbers w:val="0"/>
                    <w:spacing w:before="0" w:beforeAutospacing="0" w:after="0" w:afterAutospacing="0"/>
                    <w:ind w:left="0" w:right="0"/>
                    <w:rPr>
                      <w:rFonts w:hint="default"/>
                    </w:rPr>
                  </w:pPr>
                  <w:r>
                    <w:rPr>
                      <w:rFonts w:hint="default"/>
                    </w:rPr>
                    <w:t>达标</w:t>
                  </w:r>
                </w:p>
              </w:tc>
            </w:tr>
            <w:tr w14:paraId="32EF1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restart"/>
                  <w:tcBorders>
                    <w:tl2br w:val="nil"/>
                    <w:tr2bl w:val="nil"/>
                  </w:tcBorders>
                  <w:shd w:val="clear" w:color="auto" w:fill="auto"/>
                  <w:vAlign w:val="center"/>
                </w:tcPr>
                <w:p w14:paraId="4EAA4900">
                  <w:pPr>
                    <w:pStyle w:val="26"/>
                    <w:keepNext w:val="0"/>
                    <w:keepLines w:val="0"/>
                    <w:suppressLineNumbers w:val="0"/>
                    <w:spacing w:before="0" w:beforeAutospacing="0" w:after="0" w:afterAutospacing="0"/>
                    <w:ind w:left="0" w:right="0"/>
                    <w:rPr>
                      <w:rFonts w:hint="default"/>
                    </w:rPr>
                  </w:pPr>
                  <w:r>
                    <w:rPr>
                      <w:rFonts w:hint="default"/>
                    </w:rPr>
                    <w:t>北侧</w:t>
                  </w:r>
                </w:p>
              </w:tc>
              <w:tc>
                <w:tcPr>
                  <w:tcW w:w="906" w:type="pct"/>
                  <w:tcBorders>
                    <w:tl2br w:val="nil"/>
                    <w:tr2bl w:val="nil"/>
                  </w:tcBorders>
                  <w:shd w:val="clear" w:color="auto" w:fill="auto"/>
                  <w:vAlign w:val="center"/>
                </w:tcPr>
                <w:p w14:paraId="4BD16023">
                  <w:pPr>
                    <w:pStyle w:val="26"/>
                    <w:keepNext w:val="0"/>
                    <w:keepLines w:val="0"/>
                    <w:suppressLineNumbers w:val="0"/>
                    <w:spacing w:before="0" w:beforeAutospacing="0" w:after="0" w:afterAutospacing="0"/>
                    <w:ind w:left="0" w:right="0"/>
                    <w:rPr>
                      <w:rFonts w:hint="default"/>
                    </w:rPr>
                  </w:pPr>
                  <w:r>
                    <w:rPr>
                      <w:rFonts w:hint="default"/>
                    </w:rPr>
                    <w:t>昼间</w:t>
                  </w:r>
                </w:p>
              </w:tc>
              <w:tc>
                <w:tcPr>
                  <w:tcW w:w="1257" w:type="pct"/>
                  <w:tcBorders>
                    <w:tl2br w:val="nil"/>
                    <w:tr2bl w:val="nil"/>
                  </w:tcBorders>
                  <w:shd w:val="clear" w:color="auto" w:fill="auto"/>
                  <w:vAlign w:val="center"/>
                </w:tcPr>
                <w:p w14:paraId="0A592894">
                  <w:pPr>
                    <w:pStyle w:val="26"/>
                    <w:keepNext w:val="0"/>
                    <w:keepLines w:val="0"/>
                    <w:suppressLineNumbers w:val="0"/>
                    <w:spacing w:before="0" w:beforeAutospacing="0" w:after="0" w:afterAutospacing="0"/>
                    <w:ind w:left="0" w:right="0"/>
                    <w:rPr>
                      <w:rFonts w:hint="default"/>
                    </w:rPr>
                  </w:pPr>
                  <w:r>
                    <w:rPr>
                      <w:rFonts w:hint="default"/>
                    </w:rPr>
                    <w:t>43.3</w:t>
                  </w:r>
                </w:p>
              </w:tc>
              <w:tc>
                <w:tcPr>
                  <w:tcW w:w="1070" w:type="pct"/>
                  <w:tcBorders>
                    <w:tl2br w:val="nil"/>
                    <w:tr2bl w:val="nil"/>
                  </w:tcBorders>
                  <w:shd w:val="clear" w:color="auto" w:fill="auto"/>
                  <w:vAlign w:val="center"/>
                </w:tcPr>
                <w:p w14:paraId="5B8A4E41">
                  <w:pPr>
                    <w:pStyle w:val="26"/>
                    <w:keepNext w:val="0"/>
                    <w:keepLines w:val="0"/>
                    <w:suppressLineNumbers w:val="0"/>
                    <w:spacing w:before="0" w:beforeAutospacing="0" w:after="0" w:afterAutospacing="0"/>
                    <w:ind w:left="0" w:right="0"/>
                    <w:rPr>
                      <w:rFonts w:hint="default"/>
                    </w:rPr>
                  </w:pPr>
                  <w:r>
                    <w:rPr>
                      <w:rFonts w:hint="default"/>
                    </w:rPr>
                    <w:t>65</w:t>
                  </w:r>
                </w:p>
              </w:tc>
              <w:tc>
                <w:tcPr>
                  <w:tcW w:w="751" w:type="pct"/>
                  <w:tcBorders>
                    <w:tl2br w:val="nil"/>
                    <w:tr2bl w:val="nil"/>
                  </w:tcBorders>
                  <w:shd w:val="clear" w:color="auto" w:fill="auto"/>
                  <w:vAlign w:val="center"/>
                </w:tcPr>
                <w:p w14:paraId="7CDF96B6">
                  <w:pPr>
                    <w:pStyle w:val="26"/>
                    <w:keepNext w:val="0"/>
                    <w:keepLines w:val="0"/>
                    <w:suppressLineNumbers w:val="0"/>
                    <w:spacing w:before="0" w:beforeAutospacing="0" w:after="0" w:afterAutospacing="0"/>
                    <w:ind w:left="0" w:right="0"/>
                    <w:rPr>
                      <w:rFonts w:hint="default"/>
                    </w:rPr>
                  </w:pPr>
                  <w:r>
                    <w:rPr>
                      <w:rFonts w:hint="default"/>
                    </w:rPr>
                    <w:t>达标</w:t>
                  </w:r>
                </w:p>
              </w:tc>
            </w:tr>
            <w:tr w14:paraId="2D935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5" w:type="pct"/>
                  <w:vMerge w:val="continue"/>
                  <w:tcBorders>
                    <w:tl2br w:val="nil"/>
                    <w:tr2bl w:val="nil"/>
                  </w:tcBorders>
                  <w:shd w:val="clear" w:color="auto" w:fill="auto"/>
                  <w:vAlign w:val="center"/>
                </w:tcPr>
                <w:p w14:paraId="3AA85185">
                  <w:pPr>
                    <w:pStyle w:val="26"/>
                    <w:keepNext w:val="0"/>
                    <w:keepLines w:val="0"/>
                    <w:suppressLineNumbers w:val="0"/>
                    <w:spacing w:before="0" w:beforeAutospacing="0" w:after="0" w:afterAutospacing="0"/>
                    <w:ind w:left="0" w:right="0"/>
                    <w:rPr>
                      <w:rFonts w:hint="default"/>
                    </w:rPr>
                  </w:pPr>
                </w:p>
              </w:tc>
              <w:tc>
                <w:tcPr>
                  <w:tcW w:w="906" w:type="pct"/>
                  <w:tcBorders>
                    <w:tl2br w:val="nil"/>
                    <w:tr2bl w:val="nil"/>
                  </w:tcBorders>
                  <w:shd w:val="clear" w:color="auto" w:fill="auto"/>
                  <w:vAlign w:val="center"/>
                </w:tcPr>
                <w:p w14:paraId="67199984">
                  <w:pPr>
                    <w:pStyle w:val="26"/>
                    <w:keepNext w:val="0"/>
                    <w:keepLines w:val="0"/>
                    <w:suppressLineNumbers w:val="0"/>
                    <w:spacing w:before="0" w:beforeAutospacing="0" w:after="0" w:afterAutospacing="0"/>
                    <w:ind w:left="0" w:right="0"/>
                    <w:rPr>
                      <w:rFonts w:hint="default"/>
                    </w:rPr>
                  </w:pPr>
                  <w:r>
                    <w:rPr>
                      <w:rFonts w:hint="default"/>
                    </w:rPr>
                    <w:t>夜间</w:t>
                  </w:r>
                </w:p>
              </w:tc>
              <w:tc>
                <w:tcPr>
                  <w:tcW w:w="1257" w:type="pct"/>
                  <w:tcBorders>
                    <w:tl2br w:val="nil"/>
                    <w:tr2bl w:val="nil"/>
                  </w:tcBorders>
                  <w:shd w:val="clear" w:color="auto" w:fill="auto"/>
                  <w:vAlign w:val="center"/>
                </w:tcPr>
                <w:p w14:paraId="157F256E">
                  <w:pPr>
                    <w:pStyle w:val="26"/>
                    <w:keepNext w:val="0"/>
                    <w:keepLines w:val="0"/>
                    <w:suppressLineNumbers w:val="0"/>
                    <w:spacing w:before="0" w:beforeAutospacing="0" w:after="0" w:afterAutospacing="0"/>
                    <w:ind w:left="0" w:right="0"/>
                    <w:rPr>
                      <w:rFonts w:hint="default"/>
                    </w:rPr>
                  </w:pPr>
                  <w:r>
                    <w:rPr>
                      <w:rFonts w:hint="default"/>
                    </w:rPr>
                    <w:t>43.3</w:t>
                  </w:r>
                </w:p>
              </w:tc>
              <w:tc>
                <w:tcPr>
                  <w:tcW w:w="1070" w:type="pct"/>
                  <w:tcBorders>
                    <w:tl2br w:val="nil"/>
                    <w:tr2bl w:val="nil"/>
                  </w:tcBorders>
                  <w:shd w:val="clear" w:color="auto" w:fill="auto"/>
                  <w:vAlign w:val="center"/>
                </w:tcPr>
                <w:p w14:paraId="3A757F45">
                  <w:pPr>
                    <w:pStyle w:val="26"/>
                    <w:keepNext w:val="0"/>
                    <w:keepLines w:val="0"/>
                    <w:suppressLineNumbers w:val="0"/>
                    <w:spacing w:before="0" w:beforeAutospacing="0" w:after="0" w:afterAutospacing="0"/>
                    <w:ind w:left="0" w:right="0"/>
                    <w:rPr>
                      <w:rFonts w:hint="default"/>
                    </w:rPr>
                  </w:pPr>
                  <w:r>
                    <w:rPr>
                      <w:rFonts w:hint="default"/>
                    </w:rPr>
                    <w:t>55</w:t>
                  </w:r>
                </w:p>
              </w:tc>
              <w:tc>
                <w:tcPr>
                  <w:tcW w:w="751" w:type="pct"/>
                  <w:tcBorders>
                    <w:tl2br w:val="nil"/>
                    <w:tr2bl w:val="nil"/>
                  </w:tcBorders>
                  <w:shd w:val="clear" w:color="auto" w:fill="auto"/>
                  <w:vAlign w:val="center"/>
                </w:tcPr>
                <w:p w14:paraId="54369829">
                  <w:pPr>
                    <w:pStyle w:val="26"/>
                    <w:keepNext w:val="0"/>
                    <w:keepLines w:val="0"/>
                    <w:suppressLineNumbers w:val="0"/>
                    <w:spacing w:before="0" w:beforeAutospacing="0" w:after="0" w:afterAutospacing="0"/>
                    <w:ind w:left="0" w:right="0"/>
                    <w:rPr>
                      <w:rFonts w:hint="default"/>
                    </w:rPr>
                  </w:pPr>
                  <w:r>
                    <w:rPr>
                      <w:rFonts w:hint="default"/>
                    </w:rPr>
                    <w:t>达标</w:t>
                  </w:r>
                </w:p>
              </w:tc>
            </w:tr>
          </w:tbl>
          <w:p w14:paraId="158228D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由上表可知，正常工况下，项目厂界贡献值能够满足《工业企业厂界环境噪声排放标准》（GB12348-2008）中3类排放标准限值要求。</w:t>
            </w:r>
          </w:p>
          <w:p w14:paraId="51F9164D">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5、监测要求</w:t>
            </w:r>
          </w:p>
          <w:p w14:paraId="32F2835B">
            <w:pPr>
              <w:keepNext w:val="0"/>
              <w:keepLines w:val="0"/>
              <w:suppressLineNumbers w:val="0"/>
              <w:kinsoku w:val="0"/>
              <w:autoSpaceDE w:val="0"/>
              <w:autoSpaceDN w:val="0"/>
              <w:adjustRightInd w:val="0"/>
              <w:snapToGrid w:val="0"/>
              <w:spacing w:before="0" w:beforeAutospacing="0" w:after="0" w:afterAutospacing="0"/>
              <w:ind w:left="0" w:right="0" w:firstLine="480"/>
              <w:textAlignment w:val="baseline"/>
              <w:rPr>
                <w:rFonts w:hint="default" w:cs="Times New Roman"/>
                <w:snapToGrid w:val="0"/>
                <w:color w:val="auto"/>
              </w:rPr>
            </w:pPr>
            <w:r>
              <w:rPr>
                <w:rFonts w:hint="default" w:cs="Times New Roman"/>
                <w:snapToGrid w:val="0"/>
                <w:color w:val="auto"/>
              </w:rPr>
              <w:t>根据《排污许可证申请与核发技术规范 工业噪声》（HJ1301-2023）相关要求，本项目噪声监测要求如下表所示：</w:t>
            </w:r>
          </w:p>
          <w:p w14:paraId="58964201">
            <w:pPr>
              <w:pStyle w:val="33"/>
              <w:keepNext w:val="0"/>
              <w:keepLines w:val="0"/>
              <w:suppressLineNumbers w:val="0"/>
              <w:spacing w:before="0" w:beforeAutospacing="0" w:after="0" w:afterAutospacing="0"/>
              <w:ind w:left="0" w:right="0"/>
              <w:rPr>
                <w:rFonts w:hint="default" w:cs="Times New Roman"/>
              </w:rPr>
            </w:pPr>
            <w:r>
              <w:rPr>
                <w:rFonts w:hint="default" w:cs="Times New Roman"/>
              </w:rPr>
              <w:t>噪声监测内容</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1915"/>
              <w:gridCol w:w="1668"/>
              <w:gridCol w:w="2161"/>
            </w:tblGrid>
            <w:tr w14:paraId="2DC3E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5E61CD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监测点位</w:t>
                  </w:r>
                </w:p>
              </w:tc>
              <w:tc>
                <w:tcPr>
                  <w:tcW w:w="1250" w:type="pct"/>
                  <w:vAlign w:val="center"/>
                </w:tcPr>
                <w:p w14:paraId="67AECA2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监测内容</w:t>
                  </w:r>
                </w:p>
              </w:tc>
              <w:tc>
                <w:tcPr>
                  <w:tcW w:w="1089" w:type="pct"/>
                  <w:vAlign w:val="center"/>
                </w:tcPr>
                <w:p w14:paraId="19D977E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监测频次</w:t>
                  </w:r>
                </w:p>
              </w:tc>
              <w:tc>
                <w:tcPr>
                  <w:tcW w:w="1412" w:type="pct"/>
                  <w:vAlign w:val="center"/>
                </w:tcPr>
                <w:p w14:paraId="19FC4CBD">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执行标准</w:t>
                  </w:r>
                </w:p>
              </w:tc>
            </w:tr>
            <w:tr w14:paraId="1E583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256799D">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企业厂界四周</w:t>
                  </w:r>
                </w:p>
              </w:tc>
              <w:tc>
                <w:tcPr>
                  <w:tcW w:w="1250" w:type="pct"/>
                  <w:vAlign w:val="center"/>
                </w:tcPr>
                <w:p w14:paraId="4C8D62C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kern w:val="0"/>
                      <w:sz w:val="18"/>
                      <w:szCs w:val="18"/>
                      <w:lang w:bidi="ar"/>
                    </w:rPr>
                    <w:t>等效连续A声级</w:t>
                  </w:r>
                </w:p>
              </w:tc>
              <w:tc>
                <w:tcPr>
                  <w:tcW w:w="1089" w:type="pct"/>
                  <w:vAlign w:val="center"/>
                </w:tcPr>
                <w:p w14:paraId="4AC6E7F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1次/季度</w:t>
                  </w:r>
                </w:p>
              </w:tc>
              <w:tc>
                <w:tcPr>
                  <w:tcW w:w="1412" w:type="pct"/>
                  <w:vAlign w:val="center"/>
                </w:tcPr>
                <w:p w14:paraId="3F0CD8AA">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GB12348-2008中3类</w:t>
                  </w:r>
                </w:p>
              </w:tc>
            </w:tr>
          </w:tbl>
          <w:p w14:paraId="3B59F184">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四、固体废物产生及治理措施</w:t>
            </w:r>
          </w:p>
          <w:p w14:paraId="364554B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项目营运期产生的固体废物主要包括生活垃圾、一般固废及危险废物。</w:t>
            </w:r>
          </w:p>
          <w:p w14:paraId="1D0B5136">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1、产生量及处置方式</w:t>
            </w:r>
          </w:p>
          <w:p w14:paraId="5C4237B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（1）生活垃圾</w:t>
            </w:r>
          </w:p>
          <w:p w14:paraId="665F4B4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员工人数为30人，生活垃圾产生量按0.5kg/人·d计算，其产生量为15kg/d，5.01t/a，经收集后由当地环卫部门统一清运。建设单位已在厂区内设置生活垃圾收集桶，员工产生的生活垃圾经收集后暂存于收集桶内，定期安排专人清运至市政垃圾清运点。</w:t>
            </w:r>
          </w:p>
          <w:p w14:paraId="7D0D678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厨余垃圾及隔油池油脂：本项目食堂会产生厨余垃圾、隔油池会产生油脂，产生量共约0.6t/a，交由有餐厨垃圾处置资质的单位回收处置。</w:t>
            </w:r>
          </w:p>
          <w:p w14:paraId="0E772DB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（2）一般固废</w:t>
            </w:r>
          </w:p>
          <w:p w14:paraId="7EECBF1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拟建项目一般固废包括液硫池沉淀渣、2#循环水池及水膜循环池沉淀渣，提纯塔过滤废滤芯，废离子交换树脂。</w:t>
            </w:r>
          </w:p>
          <w:p w14:paraId="55D7B2FC">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液硫池沉淀渣、2#循环水池及水膜循环池沉淀渣</w:t>
            </w:r>
          </w:p>
          <w:p w14:paraId="0FB704A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拟建项目液硫池沉淀主要为铁和砷的硫化物颗粒，根据原料铁和砷的含量计算（砷≤0.001%，铁（≤0.005%），沉淀渣产生量约为6t/a。</w:t>
            </w:r>
          </w:p>
          <w:p w14:paraId="65DD054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拟建项目粉尘采用旋风水膜除尘器处理，水膜配套了循环池，定期将产生沉淀渣，主要成分为硫磺、含硫物质等，按去除效率90%计，产生量约为13.6t/a。</w:t>
            </w:r>
          </w:p>
          <w:p w14:paraId="6BF00DC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拟建项目湿法造粒工序配套的2#循环水池，循环使用水池底部产生沉淀渣，主要成分为硫磺、含硫物质等，产生量按产品的0.01%计，约5t/a。</w:t>
            </w:r>
          </w:p>
          <w:p w14:paraId="3912538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综上，沉淀渣合计24.6t/a，</w:t>
            </w:r>
            <w:bookmarkStart w:id="118" w:name="OLE_LINK2"/>
            <w:bookmarkStart w:id="119" w:name="OLE_LINK3"/>
            <w:r>
              <w:rPr>
                <w:rFonts w:hint="default" w:cs="Times New Roman"/>
                <w:color w:val="auto"/>
              </w:rPr>
              <w:t>根据《固体废物分类与代码目录》（公告2024年第4号），属于SW16化工废物，废物代码为261-002-S16</w:t>
            </w:r>
            <w:bookmarkEnd w:id="118"/>
            <w:bookmarkEnd w:id="119"/>
            <w:r>
              <w:rPr>
                <w:rFonts w:hint="default" w:cs="Times New Roman"/>
                <w:color w:val="auto"/>
              </w:rPr>
              <w:t>，定期捞出送有资质的固废处理公司或销售给使用次品工业硫磺的工厂使用。</w:t>
            </w:r>
          </w:p>
          <w:p w14:paraId="611BEF59">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提纯塔过滤废滤芯</w:t>
            </w:r>
          </w:p>
          <w:p w14:paraId="3DF2DD5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拟建项目提纯塔采用精密滤芯，该过程滤芯在长期使用后会定期报废，一般五年更换一次，产生量约为3t/次。根据《固体废物分类与代码目录》（公告2024年第4号），属于SW16化工废物，废物代码为261-002-S16，由生产厂家回收利用。</w:t>
            </w:r>
          </w:p>
          <w:p w14:paraId="2D392B0B">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废离子交换树脂：项目软水制备采用离子交换树脂进行制备，该树脂使用时间太久会发生堵塞，根据核算，废离子交换树脂产生量约为0.1t/a，企业收集后交由设备厂商回收再生，废离子交换树脂属于SW59其他工业固体废物，废物代码为900-009-S59。</w:t>
            </w:r>
          </w:p>
          <w:p w14:paraId="52B492AD">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④</w:t>
            </w:r>
            <w:r>
              <w:rPr>
                <w:rFonts w:hint="default" w:cs="Times New Roman"/>
                <w:color w:val="auto"/>
              </w:rPr>
              <w:t>初期雨水沉渣</w:t>
            </w:r>
          </w:p>
          <w:p w14:paraId="74E1E72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初期雨水池沉渣产生量约为0.3t/a，经打捞收集后交由环卫部门清运处理。</w:t>
            </w:r>
          </w:p>
          <w:p w14:paraId="6CF30FD6">
            <w:pPr>
              <w:pStyle w:val="33"/>
              <w:keepNext w:val="0"/>
              <w:keepLines w:val="0"/>
              <w:suppressLineNumbers w:val="0"/>
              <w:spacing w:before="0" w:beforeAutospacing="0" w:after="0" w:afterAutospacing="0"/>
              <w:ind w:left="0" w:right="0"/>
              <w:rPr>
                <w:rFonts w:hint="default" w:cs="Times New Roman"/>
              </w:rPr>
            </w:pPr>
            <w:r>
              <w:rPr>
                <w:rFonts w:hint="default" w:cs="Times New Roman"/>
              </w:rPr>
              <w:t>项目一般固废产生及处置方式</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270"/>
              <w:gridCol w:w="1255"/>
              <w:gridCol w:w="1072"/>
              <w:gridCol w:w="2540"/>
            </w:tblGrid>
            <w:tr w14:paraId="5517A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341" w:type="pct"/>
                  <w:vAlign w:val="center"/>
                </w:tcPr>
                <w:p w14:paraId="3832A9A5">
                  <w:pPr>
                    <w:pStyle w:val="26"/>
                    <w:keepNext w:val="0"/>
                    <w:keepLines w:val="0"/>
                    <w:suppressLineNumbers w:val="0"/>
                    <w:spacing w:before="0" w:beforeAutospacing="0" w:after="0" w:afterAutospacing="0"/>
                    <w:ind w:left="0" w:right="0"/>
                    <w:rPr>
                      <w:rFonts w:hint="default"/>
                    </w:rPr>
                  </w:pPr>
                  <w:r>
                    <w:rPr>
                      <w:rFonts w:hint="default"/>
                    </w:rPr>
                    <w:t>序号</w:t>
                  </w:r>
                </w:p>
              </w:tc>
              <w:tc>
                <w:tcPr>
                  <w:tcW w:w="1482" w:type="pct"/>
                  <w:vAlign w:val="center"/>
                </w:tcPr>
                <w:p w14:paraId="2E93D093">
                  <w:pPr>
                    <w:pStyle w:val="26"/>
                    <w:keepNext w:val="0"/>
                    <w:keepLines w:val="0"/>
                    <w:suppressLineNumbers w:val="0"/>
                    <w:spacing w:before="0" w:beforeAutospacing="0" w:after="0" w:afterAutospacing="0"/>
                    <w:ind w:left="0" w:right="0"/>
                    <w:rPr>
                      <w:rFonts w:hint="default"/>
                    </w:rPr>
                  </w:pPr>
                  <w:r>
                    <w:rPr>
                      <w:rFonts w:hint="default"/>
                    </w:rPr>
                    <w:t>固废名称</w:t>
                  </w:r>
                </w:p>
              </w:tc>
              <w:tc>
                <w:tcPr>
                  <w:tcW w:w="819" w:type="pct"/>
                  <w:vAlign w:val="center"/>
                </w:tcPr>
                <w:p w14:paraId="0C870762">
                  <w:pPr>
                    <w:pStyle w:val="26"/>
                    <w:keepNext w:val="0"/>
                    <w:keepLines w:val="0"/>
                    <w:suppressLineNumbers w:val="0"/>
                    <w:spacing w:before="0" w:beforeAutospacing="0" w:after="0" w:afterAutospacing="0"/>
                    <w:ind w:left="0" w:right="0"/>
                    <w:rPr>
                      <w:rFonts w:hint="default"/>
                    </w:rPr>
                  </w:pPr>
                  <w:r>
                    <w:rPr>
                      <w:rFonts w:hint="default"/>
                    </w:rPr>
                    <w:t>产生量（t/a）</w:t>
                  </w:r>
                </w:p>
              </w:tc>
              <w:tc>
                <w:tcPr>
                  <w:tcW w:w="700" w:type="pct"/>
                  <w:vAlign w:val="center"/>
                </w:tcPr>
                <w:p w14:paraId="76BBACAF">
                  <w:pPr>
                    <w:pStyle w:val="26"/>
                    <w:keepNext w:val="0"/>
                    <w:keepLines w:val="0"/>
                    <w:suppressLineNumbers w:val="0"/>
                    <w:spacing w:before="0" w:beforeAutospacing="0" w:after="0" w:afterAutospacing="0"/>
                    <w:ind w:left="0" w:right="0"/>
                    <w:rPr>
                      <w:rFonts w:hint="default"/>
                    </w:rPr>
                  </w:pPr>
                  <w:r>
                    <w:rPr>
                      <w:rFonts w:hint="default"/>
                    </w:rPr>
                    <w:t>类别</w:t>
                  </w:r>
                </w:p>
              </w:tc>
              <w:tc>
                <w:tcPr>
                  <w:tcW w:w="1658" w:type="pct"/>
                  <w:vAlign w:val="center"/>
                </w:tcPr>
                <w:p w14:paraId="1129F5C4">
                  <w:pPr>
                    <w:pStyle w:val="26"/>
                    <w:keepNext w:val="0"/>
                    <w:keepLines w:val="0"/>
                    <w:suppressLineNumbers w:val="0"/>
                    <w:spacing w:before="0" w:beforeAutospacing="0" w:after="0" w:afterAutospacing="0"/>
                    <w:ind w:left="0" w:right="0"/>
                    <w:rPr>
                      <w:rFonts w:hint="default"/>
                    </w:rPr>
                  </w:pPr>
                  <w:r>
                    <w:rPr>
                      <w:rFonts w:hint="default"/>
                    </w:rPr>
                    <w:t>处置方式</w:t>
                  </w:r>
                </w:p>
              </w:tc>
            </w:tr>
            <w:tr w14:paraId="1CBE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Align w:val="center"/>
                </w:tcPr>
                <w:p w14:paraId="1ADAB714">
                  <w:pPr>
                    <w:pStyle w:val="26"/>
                    <w:keepNext w:val="0"/>
                    <w:keepLines w:val="0"/>
                    <w:suppressLineNumbers w:val="0"/>
                    <w:spacing w:before="0" w:beforeAutospacing="0" w:after="0" w:afterAutospacing="0"/>
                    <w:ind w:left="0" w:right="0"/>
                    <w:rPr>
                      <w:rFonts w:hint="default"/>
                    </w:rPr>
                  </w:pPr>
                  <w:r>
                    <w:rPr>
                      <w:rFonts w:hint="default"/>
                    </w:rPr>
                    <w:t>1</w:t>
                  </w:r>
                </w:p>
              </w:tc>
              <w:tc>
                <w:tcPr>
                  <w:tcW w:w="1482" w:type="pct"/>
                  <w:vAlign w:val="center"/>
                </w:tcPr>
                <w:p w14:paraId="23496AC3">
                  <w:pPr>
                    <w:pStyle w:val="26"/>
                    <w:keepNext w:val="0"/>
                    <w:keepLines w:val="0"/>
                    <w:suppressLineNumbers w:val="0"/>
                    <w:spacing w:before="0" w:beforeAutospacing="0" w:after="0" w:afterAutospacing="0"/>
                    <w:ind w:left="0" w:right="0"/>
                    <w:rPr>
                      <w:rFonts w:hint="default"/>
                    </w:rPr>
                  </w:pPr>
                  <w:r>
                    <w:rPr>
                      <w:rFonts w:hint="default"/>
                    </w:rPr>
                    <w:t>生活垃圾</w:t>
                  </w:r>
                </w:p>
              </w:tc>
              <w:tc>
                <w:tcPr>
                  <w:tcW w:w="819" w:type="pct"/>
                  <w:vAlign w:val="center"/>
                </w:tcPr>
                <w:p w14:paraId="2D36737E">
                  <w:pPr>
                    <w:pStyle w:val="26"/>
                    <w:keepNext w:val="0"/>
                    <w:keepLines w:val="0"/>
                    <w:suppressLineNumbers w:val="0"/>
                    <w:spacing w:before="0" w:beforeAutospacing="0" w:after="0" w:afterAutospacing="0"/>
                    <w:ind w:left="0" w:right="0"/>
                    <w:rPr>
                      <w:rFonts w:hint="default"/>
                    </w:rPr>
                  </w:pPr>
                  <w:r>
                    <w:rPr>
                      <w:rFonts w:hint="default"/>
                    </w:rPr>
                    <w:t>5.01</w:t>
                  </w:r>
                </w:p>
              </w:tc>
              <w:tc>
                <w:tcPr>
                  <w:tcW w:w="700" w:type="pct"/>
                  <w:vAlign w:val="center"/>
                </w:tcPr>
                <w:p w14:paraId="4498A6DF">
                  <w:pPr>
                    <w:pStyle w:val="26"/>
                    <w:keepNext w:val="0"/>
                    <w:keepLines w:val="0"/>
                    <w:suppressLineNumbers w:val="0"/>
                    <w:spacing w:before="0" w:beforeAutospacing="0" w:after="0" w:afterAutospacing="0"/>
                    <w:ind w:left="0" w:right="0"/>
                    <w:rPr>
                      <w:rFonts w:hint="default"/>
                    </w:rPr>
                  </w:pPr>
                  <w:r>
                    <w:rPr>
                      <w:rFonts w:hint="default"/>
                    </w:rPr>
                    <w:t>生活垃圾</w:t>
                  </w:r>
                </w:p>
              </w:tc>
              <w:tc>
                <w:tcPr>
                  <w:tcW w:w="1658" w:type="pct"/>
                  <w:vAlign w:val="center"/>
                </w:tcPr>
                <w:p w14:paraId="46BEC50F">
                  <w:pPr>
                    <w:pStyle w:val="26"/>
                    <w:keepNext w:val="0"/>
                    <w:keepLines w:val="0"/>
                    <w:suppressLineNumbers w:val="0"/>
                    <w:spacing w:before="0" w:beforeAutospacing="0" w:after="0" w:afterAutospacing="0"/>
                    <w:ind w:left="0" w:right="0"/>
                    <w:rPr>
                      <w:rFonts w:hint="default"/>
                    </w:rPr>
                  </w:pPr>
                  <w:r>
                    <w:rPr>
                      <w:rFonts w:hint="default"/>
                    </w:rPr>
                    <w:t>当地环卫部门统一清运</w:t>
                  </w:r>
                </w:p>
              </w:tc>
            </w:tr>
            <w:tr w14:paraId="7CADB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Align w:val="center"/>
                </w:tcPr>
                <w:p w14:paraId="593600C4">
                  <w:pPr>
                    <w:pStyle w:val="26"/>
                    <w:keepNext w:val="0"/>
                    <w:keepLines w:val="0"/>
                    <w:suppressLineNumbers w:val="0"/>
                    <w:spacing w:before="0" w:beforeAutospacing="0" w:after="0" w:afterAutospacing="0"/>
                    <w:ind w:left="0" w:right="0"/>
                    <w:rPr>
                      <w:rFonts w:hint="default"/>
                    </w:rPr>
                  </w:pPr>
                  <w:r>
                    <w:rPr>
                      <w:rFonts w:hint="default"/>
                    </w:rPr>
                    <w:t>2</w:t>
                  </w:r>
                </w:p>
              </w:tc>
              <w:tc>
                <w:tcPr>
                  <w:tcW w:w="1482" w:type="pct"/>
                  <w:vAlign w:val="center"/>
                </w:tcPr>
                <w:p w14:paraId="199AC31B">
                  <w:pPr>
                    <w:pStyle w:val="26"/>
                    <w:keepNext w:val="0"/>
                    <w:keepLines w:val="0"/>
                    <w:suppressLineNumbers w:val="0"/>
                    <w:spacing w:before="0" w:beforeAutospacing="0" w:after="0" w:afterAutospacing="0"/>
                    <w:ind w:left="0" w:right="0"/>
                    <w:rPr>
                      <w:rFonts w:hint="default"/>
                    </w:rPr>
                  </w:pPr>
                  <w:r>
                    <w:rPr>
                      <w:rFonts w:hint="default"/>
                    </w:rPr>
                    <w:t>厨余垃圾及隔油池油脂</w:t>
                  </w:r>
                </w:p>
              </w:tc>
              <w:tc>
                <w:tcPr>
                  <w:tcW w:w="819" w:type="pct"/>
                  <w:vAlign w:val="center"/>
                </w:tcPr>
                <w:p w14:paraId="08AC2A7F">
                  <w:pPr>
                    <w:pStyle w:val="26"/>
                    <w:keepNext w:val="0"/>
                    <w:keepLines w:val="0"/>
                    <w:suppressLineNumbers w:val="0"/>
                    <w:spacing w:before="0" w:beforeAutospacing="0" w:after="0" w:afterAutospacing="0"/>
                    <w:ind w:left="0" w:right="0"/>
                    <w:rPr>
                      <w:rFonts w:hint="default"/>
                    </w:rPr>
                  </w:pPr>
                  <w:r>
                    <w:rPr>
                      <w:rFonts w:hint="default"/>
                    </w:rPr>
                    <w:t>0.6</w:t>
                  </w:r>
                </w:p>
              </w:tc>
              <w:tc>
                <w:tcPr>
                  <w:tcW w:w="700" w:type="pct"/>
                  <w:vAlign w:val="center"/>
                </w:tcPr>
                <w:p w14:paraId="2E71B2EB">
                  <w:pPr>
                    <w:pStyle w:val="26"/>
                    <w:keepNext w:val="0"/>
                    <w:keepLines w:val="0"/>
                    <w:suppressLineNumbers w:val="0"/>
                    <w:spacing w:before="0" w:beforeAutospacing="0" w:after="0" w:afterAutospacing="0"/>
                    <w:ind w:left="0" w:right="0"/>
                    <w:rPr>
                      <w:rFonts w:hint="default"/>
                    </w:rPr>
                  </w:pPr>
                  <w:r>
                    <w:rPr>
                      <w:rFonts w:hint="default"/>
                    </w:rPr>
                    <w:t>餐厨垃圾</w:t>
                  </w:r>
                </w:p>
              </w:tc>
              <w:tc>
                <w:tcPr>
                  <w:tcW w:w="1658" w:type="pct"/>
                  <w:vAlign w:val="center"/>
                </w:tcPr>
                <w:p w14:paraId="29233AAF">
                  <w:pPr>
                    <w:pStyle w:val="26"/>
                    <w:keepNext w:val="0"/>
                    <w:keepLines w:val="0"/>
                    <w:suppressLineNumbers w:val="0"/>
                    <w:spacing w:before="0" w:beforeAutospacing="0" w:after="0" w:afterAutospacing="0"/>
                    <w:ind w:left="0" w:right="0"/>
                    <w:rPr>
                      <w:rFonts w:hint="default"/>
                    </w:rPr>
                  </w:pPr>
                  <w:r>
                    <w:rPr>
                      <w:rFonts w:hint="default"/>
                    </w:rPr>
                    <w:t>交由有餐厨垃圾处置资质的单位回收处置</w:t>
                  </w:r>
                </w:p>
              </w:tc>
            </w:tr>
            <w:tr w14:paraId="5CFF8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Align w:val="center"/>
                </w:tcPr>
                <w:p w14:paraId="7F95B399">
                  <w:pPr>
                    <w:pStyle w:val="26"/>
                    <w:keepNext w:val="0"/>
                    <w:keepLines w:val="0"/>
                    <w:suppressLineNumbers w:val="0"/>
                    <w:spacing w:before="0" w:beforeAutospacing="0" w:after="0" w:afterAutospacing="0"/>
                    <w:ind w:left="0" w:right="0"/>
                    <w:rPr>
                      <w:rFonts w:hint="default"/>
                    </w:rPr>
                  </w:pPr>
                  <w:r>
                    <w:rPr>
                      <w:rFonts w:hint="default"/>
                    </w:rPr>
                    <w:t>3</w:t>
                  </w:r>
                </w:p>
              </w:tc>
              <w:tc>
                <w:tcPr>
                  <w:tcW w:w="1482" w:type="pct"/>
                  <w:vAlign w:val="center"/>
                </w:tcPr>
                <w:p w14:paraId="01C2899B">
                  <w:pPr>
                    <w:pStyle w:val="26"/>
                    <w:keepNext w:val="0"/>
                    <w:keepLines w:val="0"/>
                    <w:suppressLineNumbers w:val="0"/>
                    <w:spacing w:before="0" w:beforeAutospacing="0" w:after="0" w:afterAutospacing="0"/>
                    <w:ind w:left="0" w:right="0"/>
                    <w:rPr>
                      <w:rFonts w:hint="default"/>
                    </w:rPr>
                  </w:pPr>
                  <w:r>
                    <w:rPr>
                      <w:rFonts w:hint="default"/>
                    </w:rPr>
                    <w:t>液硫池、2#循环水池及水膜循环池沉淀渣</w:t>
                  </w:r>
                </w:p>
              </w:tc>
              <w:tc>
                <w:tcPr>
                  <w:tcW w:w="819" w:type="pct"/>
                  <w:vAlign w:val="center"/>
                </w:tcPr>
                <w:p w14:paraId="73E6D3AB">
                  <w:pPr>
                    <w:pStyle w:val="26"/>
                    <w:keepNext w:val="0"/>
                    <w:keepLines w:val="0"/>
                    <w:suppressLineNumbers w:val="0"/>
                    <w:spacing w:before="0" w:beforeAutospacing="0" w:after="0" w:afterAutospacing="0"/>
                    <w:ind w:left="0" w:right="0"/>
                    <w:rPr>
                      <w:rFonts w:hint="default"/>
                    </w:rPr>
                  </w:pPr>
                  <w:r>
                    <w:rPr>
                      <w:rFonts w:hint="default"/>
                    </w:rPr>
                    <w:t>24.6</w:t>
                  </w:r>
                </w:p>
              </w:tc>
              <w:tc>
                <w:tcPr>
                  <w:tcW w:w="700" w:type="pct"/>
                  <w:vAlign w:val="center"/>
                </w:tcPr>
                <w:p w14:paraId="30A90257">
                  <w:pPr>
                    <w:pStyle w:val="26"/>
                    <w:keepNext w:val="0"/>
                    <w:keepLines w:val="0"/>
                    <w:suppressLineNumbers w:val="0"/>
                    <w:spacing w:before="0" w:beforeAutospacing="0" w:after="0" w:afterAutospacing="0"/>
                    <w:ind w:left="0" w:right="0"/>
                    <w:rPr>
                      <w:rFonts w:hint="default"/>
                    </w:rPr>
                  </w:pPr>
                  <w:r>
                    <w:rPr>
                      <w:rFonts w:hint="default"/>
                    </w:rPr>
                    <w:t>一般固废</w:t>
                  </w:r>
                </w:p>
              </w:tc>
              <w:tc>
                <w:tcPr>
                  <w:tcW w:w="1658" w:type="pct"/>
                  <w:vAlign w:val="center"/>
                </w:tcPr>
                <w:p w14:paraId="4310A68B">
                  <w:pPr>
                    <w:pStyle w:val="26"/>
                    <w:keepNext w:val="0"/>
                    <w:keepLines w:val="0"/>
                    <w:suppressLineNumbers w:val="0"/>
                    <w:spacing w:before="0" w:beforeAutospacing="0" w:after="0" w:afterAutospacing="0"/>
                    <w:ind w:left="0" w:right="0"/>
                    <w:rPr>
                      <w:rFonts w:hint="default"/>
                    </w:rPr>
                  </w:pPr>
                  <w:r>
                    <w:rPr>
                      <w:rFonts w:hint="default"/>
                    </w:rPr>
                    <w:t>定期捞出送有资质的固废处理公司或销售给使用次品工业硫磺的工厂使用</w:t>
                  </w:r>
                </w:p>
              </w:tc>
            </w:tr>
            <w:tr w14:paraId="2B45C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Align w:val="center"/>
                </w:tcPr>
                <w:p w14:paraId="61ED4ED0">
                  <w:pPr>
                    <w:pStyle w:val="26"/>
                    <w:keepNext w:val="0"/>
                    <w:keepLines w:val="0"/>
                    <w:suppressLineNumbers w:val="0"/>
                    <w:spacing w:before="0" w:beforeAutospacing="0" w:after="0" w:afterAutospacing="0"/>
                    <w:ind w:left="0" w:right="0"/>
                    <w:rPr>
                      <w:rFonts w:hint="default"/>
                    </w:rPr>
                  </w:pPr>
                  <w:r>
                    <w:rPr>
                      <w:rFonts w:hint="default"/>
                    </w:rPr>
                    <w:t>4</w:t>
                  </w:r>
                </w:p>
              </w:tc>
              <w:tc>
                <w:tcPr>
                  <w:tcW w:w="1482" w:type="pct"/>
                  <w:vAlign w:val="center"/>
                </w:tcPr>
                <w:p w14:paraId="7E5A7121">
                  <w:pPr>
                    <w:pStyle w:val="26"/>
                    <w:keepNext w:val="0"/>
                    <w:keepLines w:val="0"/>
                    <w:suppressLineNumbers w:val="0"/>
                    <w:spacing w:before="0" w:beforeAutospacing="0" w:after="0" w:afterAutospacing="0"/>
                    <w:ind w:left="0" w:right="0"/>
                    <w:rPr>
                      <w:rFonts w:hint="default"/>
                    </w:rPr>
                  </w:pPr>
                  <w:r>
                    <w:rPr>
                      <w:rFonts w:hint="default"/>
                    </w:rPr>
                    <w:t>提纯塔过滤废滤芯</w:t>
                  </w:r>
                </w:p>
              </w:tc>
              <w:tc>
                <w:tcPr>
                  <w:tcW w:w="819" w:type="pct"/>
                  <w:vAlign w:val="center"/>
                </w:tcPr>
                <w:p w14:paraId="79A241F9">
                  <w:pPr>
                    <w:pStyle w:val="26"/>
                    <w:keepNext w:val="0"/>
                    <w:keepLines w:val="0"/>
                    <w:suppressLineNumbers w:val="0"/>
                    <w:spacing w:before="0" w:beforeAutospacing="0" w:after="0" w:afterAutospacing="0"/>
                    <w:ind w:left="0" w:right="0"/>
                    <w:rPr>
                      <w:rFonts w:hint="default"/>
                    </w:rPr>
                  </w:pPr>
                  <w:r>
                    <w:rPr>
                      <w:rFonts w:hint="default"/>
                    </w:rPr>
                    <w:t>3t/次</w:t>
                  </w:r>
                </w:p>
              </w:tc>
              <w:tc>
                <w:tcPr>
                  <w:tcW w:w="700" w:type="pct"/>
                  <w:vAlign w:val="center"/>
                </w:tcPr>
                <w:p w14:paraId="14CE1C80">
                  <w:pPr>
                    <w:pStyle w:val="26"/>
                    <w:keepNext w:val="0"/>
                    <w:keepLines w:val="0"/>
                    <w:suppressLineNumbers w:val="0"/>
                    <w:spacing w:before="0" w:beforeAutospacing="0" w:after="0" w:afterAutospacing="0"/>
                    <w:ind w:left="0" w:right="0"/>
                    <w:rPr>
                      <w:rFonts w:hint="default"/>
                    </w:rPr>
                  </w:pPr>
                  <w:r>
                    <w:rPr>
                      <w:rFonts w:hint="default"/>
                    </w:rPr>
                    <w:t>一般固废</w:t>
                  </w:r>
                </w:p>
              </w:tc>
              <w:tc>
                <w:tcPr>
                  <w:tcW w:w="1658" w:type="pct"/>
                  <w:vAlign w:val="center"/>
                </w:tcPr>
                <w:p w14:paraId="634BF9FC">
                  <w:pPr>
                    <w:pStyle w:val="26"/>
                    <w:keepNext w:val="0"/>
                    <w:keepLines w:val="0"/>
                    <w:suppressLineNumbers w:val="0"/>
                    <w:spacing w:before="0" w:beforeAutospacing="0" w:after="0" w:afterAutospacing="0"/>
                    <w:ind w:left="0" w:right="0"/>
                    <w:rPr>
                      <w:rFonts w:hint="default"/>
                    </w:rPr>
                  </w:pPr>
                  <w:r>
                    <w:rPr>
                      <w:rFonts w:hint="default"/>
                    </w:rPr>
                    <w:t>由生产厂家回收利用</w:t>
                  </w:r>
                </w:p>
              </w:tc>
            </w:tr>
            <w:tr w14:paraId="2CC25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41" w:type="pct"/>
                  <w:vAlign w:val="center"/>
                </w:tcPr>
                <w:p w14:paraId="5DF0C869">
                  <w:pPr>
                    <w:pStyle w:val="26"/>
                    <w:keepNext w:val="0"/>
                    <w:keepLines w:val="0"/>
                    <w:suppressLineNumbers w:val="0"/>
                    <w:spacing w:before="0" w:beforeAutospacing="0" w:after="0" w:afterAutospacing="0"/>
                    <w:ind w:left="0" w:right="0"/>
                    <w:rPr>
                      <w:rFonts w:hint="default"/>
                    </w:rPr>
                  </w:pPr>
                  <w:r>
                    <w:rPr>
                      <w:rFonts w:hint="default"/>
                    </w:rPr>
                    <w:t>5</w:t>
                  </w:r>
                </w:p>
              </w:tc>
              <w:tc>
                <w:tcPr>
                  <w:tcW w:w="1482" w:type="pct"/>
                  <w:vAlign w:val="center"/>
                </w:tcPr>
                <w:p w14:paraId="6A69D203">
                  <w:pPr>
                    <w:pStyle w:val="26"/>
                    <w:keepNext w:val="0"/>
                    <w:keepLines w:val="0"/>
                    <w:suppressLineNumbers w:val="0"/>
                    <w:spacing w:before="0" w:beforeAutospacing="0" w:after="0" w:afterAutospacing="0"/>
                    <w:ind w:left="0" w:right="0"/>
                    <w:rPr>
                      <w:rFonts w:hint="default"/>
                    </w:rPr>
                  </w:pPr>
                  <w:r>
                    <w:rPr>
                      <w:rFonts w:hint="default"/>
                    </w:rPr>
                    <w:t>废离子交换树脂</w:t>
                  </w:r>
                </w:p>
              </w:tc>
              <w:tc>
                <w:tcPr>
                  <w:tcW w:w="819" w:type="pct"/>
                  <w:vAlign w:val="center"/>
                </w:tcPr>
                <w:p w14:paraId="075A9B70">
                  <w:pPr>
                    <w:pStyle w:val="26"/>
                    <w:keepNext w:val="0"/>
                    <w:keepLines w:val="0"/>
                    <w:suppressLineNumbers w:val="0"/>
                    <w:spacing w:before="0" w:beforeAutospacing="0" w:after="0" w:afterAutospacing="0"/>
                    <w:ind w:left="0" w:right="0"/>
                    <w:rPr>
                      <w:rFonts w:hint="default"/>
                    </w:rPr>
                  </w:pPr>
                  <w:r>
                    <w:rPr>
                      <w:rFonts w:hint="default"/>
                    </w:rPr>
                    <w:t>0.1</w:t>
                  </w:r>
                </w:p>
              </w:tc>
              <w:tc>
                <w:tcPr>
                  <w:tcW w:w="700" w:type="pct"/>
                  <w:vAlign w:val="center"/>
                </w:tcPr>
                <w:p w14:paraId="19492344">
                  <w:pPr>
                    <w:pStyle w:val="26"/>
                    <w:keepNext w:val="0"/>
                    <w:keepLines w:val="0"/>
                    <w:suppressLineNumbers w:val="0"/>
                    <w:spacing w:before="0" w:beforeAutospacing="0" w:after="0" w:afterAutospacing="0"/>
                    <w:ind w:left="0" w:right="0"/>
                    <w:rPr>
                      <w:rFonts w:hint="default"/>
                    </w:rPr>
                  </w:pPr>
                  <w:r>
                    <w:rPr>
                      <w:rFonts w:hint="default"/>
                    </w:rPr>
                    <w:t>一般固废</w:t>
                  </w:r>
                </w:p>
              </w:tc>
              <w:tc>
                <w:tcPr>
                  <w:tcW w:w="1658" w:type="pct"/>
                  <w:vAlign w:val="center"/>
                </w:tcPr>
                <w:p w14:paraId="51C267F6">
                  <w:pPr>
                    <w:pStyle w:val="26"/>
                    <w:keepNext w:val="0"/>
                    <w:keepLines w:val="0"/>
                    <w:suppressLineNumbers w:val="0"/>
                    <w:spacing w:before="0" w:beforeAutospacing="0" w:after="0" w:afterAutospacing="0"/>
                    <w:ind w:left="0" w:right="0"/>
                    <w:rPr>
                      <w:rFonts w:hint="default"/>
                    </w:rPr>
                  </w:pPr>
                  <w:r>
                    <w:rPr>
                      <w:rFonts w:hint="default"/>
                    </w:rPr>
                    <w:t>由设备厂商回收再生</w:t>
                  </w:r>
                </w:p>
              </w:tc>
            </w:tr>
            <w:tr w14:paraId="4A54F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Align w:val="center"/>
                </w:tcPr>
                <w:p w14:paraId="5D9DD126">
                  <w:pPr>
                    <w:pStyle w:val="26"/>
                    <w:keepNext w:val="0"/>
                    <w:keepLines w:val="0"/>
                    <w:suppressLineNumbers w:val="0"/>
                    <w:spacing w:before="0" w:beforeAutospacing="0" w:after="0" w:afterAutospacing="0"/>
                    <w:ind w:left="0" w:right="0"/>
                    <w:rPr>
                      <w:rFonts w:hint="default"/>
                    </w:rPr>
                  </w:pPr>
                </w:p>
              </w:tc>
              <w:tc>
                <w:tcPr>
                  <w:tcW w:w="1482" w:type="pct"/>
                  <w:vAlign w:val="center"/>
                </w:tcPr>
                <w:p w14:paraId="1C80F6AA">
                  <w:pPr>
                    <w:pStyle w:val="26"/>
                    <w:keepNext w:val="0"/>
                    <w:keepLines w:val="0"/>
                    <w:suppressLineNumbers w:val="0"/>
                    <w:spacing w:before="0" w:beforeAutospacing="0" w:after="0" w:afterAutospacing="0"/>
                    <w:ind w:left="0" w:right="0"/>
                    <w:rPr>
                      <w:rFonts w:hint="default"/>
                    </w:rPr>
                  </w:pPr>
                  <w:r>
                    <w:rPr>
                      <w:rFonts w:hint="default"/>
                    </w:rPr>
                    <w:t>初期雨水沉渣</w:t>
                  </w:r>
                </w:p>
              </w:tc>
              <w:tc>
                <w:tcPr>
                  <w:tcW w:w="819" w:type="pct"/>
                  <w:vAlign w:val="center"/>
                </w:tcPr>
                <w:p w14:paraId="662C97FC">
                  <w:pPr>
                    <w:pStyle w:val="26"/>
                    <w:keepNext w:val="0"/>
                    <w:keepLines w:val="0"/>
                    <w:suppressLineNumbers w:val="0"/>
                    <w:spacing w:before="0" w:beforeAutospacing="0" w:after="0" w:afterAutospacing="0"/>
                    <w:ind w:left="0" w:right="0"/>
                    <w:rPr>
                      <w:rFonts w:hint="default"/>
                    </w:rPr>
                  </w:pPr>
                  <w:r>
                    <w:rPr>
                      <w:rFonts w:hint="default"/>
                    </w:rPr>
                    <w:t>0.3</w:t>
                  </w:r>
                </w:p>
              </w:tc>
              <w:tc>
                <w:tcPr>
                  <w:tcW w:w="700" w:type="pct"/>
                  <w:vAlign w:val="center"/>
                </w:tcPr>
                <w:p w14:paraId="749F1AAF">
                  <w:pPr>
                    <w:pStyle w:val="26"/>
                    <w:keepNext w:val="0"/>
                    <w:keepLines w:val="0"/>
                    <w:suppressLineNumbers w:val="0"/>
                    <w:spacing w:before="0" w:beforeAutospacing="0" w:after="0" w:afterAutospacing="0"/>
                    <w:ind w:left="0" w:right="0"/>
                    <w:rPr>
                      <w:rFonts w:hint="default"/>
                    </w:rPr>
                  </w:pPr>
                  <w:r>
                    <w:rPr>
                      <w:rFonts w:hint="default"/>
                    </w:rPr>
                    <w:t>一般固废</w:t>
                  </w:r>
                </w:p>
              </w:tc>
              <w:tc>
                <w:tcPr>
                  <w:tcW w:w="1658" w:type="pct"/>
                  <w:vAlign w:val="center"/>
                </w:tcPr>
                <w:p w14:paraId="2FAF8E35">
                  <w:pPr>
                    <w:pStyle w:val="26"/>
                    <w:keepNext w:val="0"/>
                    <w:keepLines w:val="0"/>
                    <w:suppressLineNumbers w:val="0"/>
                    <w:spacing w:before="0" w:beforeAutospacing="0" w:after="0" w:afterAutospacing="0"/>
                    <w:ind w:left="0" w:right="0"/>
                    <w:rPr>
                      <w:rFonts w:hint="default"/>
                    </w:rPr>
                  </w:pPr>
                  <w:r>
                    <w:rPr>
                      <w:rFonts w:hint="default"/>
                    </w:rPr>
                    <w:t>收集后交由环卫部门清运处理。</w:t>
                  </w:r>
                </w:p>
              </w:tc>
            </w:tr>
          </w:tbl>
          <w:p w14:paraId="508CE71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（3）危险废物</w:t>
            </w:r>
          </w:p>
          <w:p w14:paraId="733246A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本项目产生的危险废物主要为废气治理水膜除尘液、设备维修产生的废润滑油、废油桶、废含油手套及抹布、清罐废物。</w:t>
            </w:r>
          </w:p>
          <w:p w14:paraId="1249B4C4">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①</w:t>
            </w:r>
            <w:r>
              <w:rPr>
                <w:rFonts w:hint="default" w:cs="Times New Roman"/>
                <w:color w:val="auto"/>
              </w:rPr>
              <w:t>废气治理水膜除尘液</w:t>
            </w:r>
          </w:p>
          <w:p w14:paraId="39DD2AB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废气采用旋风水膜除尘进行处理，每天进行补充碱液以维持水膜箱内的碱液pH值，每2月彻底更换1次水膜箱。本项目水膜箱有效容积6m</w:t>
            </w:r>
            <w:r>
              <w:rPr>
                <w:rFonts w:hint="default" w:cs="Times New Roman"/>
                <w:color w:val="auto"/>
                <w:vertAlign w:val="superscript"/>
              </w:rPr>
              <w:t>3</w:t>
            </w:r>
            <w:r>
              <w:rPr>
                <w:rFonts w:hint="default" w:cs="Times New Roman"/>
                <w:color w:val="auto"/>
              </w:rPr>
              <w:t>，则水膜箱定期更换废液为6t/次（36t/a）。根据《国家危险废物名录》（2025年），水膜除尘液属于“使用碱进行清洗产生的废碱液”，废物类别为HW35，危险废物代码900-399-35。</w:t>
            </w:r>
          </w:p>
          <w:p w14:paraId="6AEF38A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处置措施：更换的废液作为危险废物随即直接交由具有资质的单位收集和处理，不在项目处暂存。</w:t>
            </w:r>
          </w:p>
          <w:p w14:paraId="754E8CF6">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②</w:t>
            </w:r>
            <w:r>
              <w:rPr>
                <w:rFonts w:hint="default" w:cs="Times New Roman"/>
                <w:color w:val="auto"/>
              </w:rPr>
              <w:t>废润滑油：项目运行过程中各风机及设备会产生一定量的废润滑油，产生量约为0.1t/a，依据《国家危险废物名录》（2025版）属于危险废物，类别为HW08废矿物油与含矿物油废物，危废代码为900-218-08，危险特性：毒性、易燃性。收集后暂存于危废暂存间，定期交由有资质的单位处置。废机油属于《国家危险废物名录》（2025年版）HW08废矿物油与含矿物油废物/非特定行业/900-214-08，交由有资质单位处理。</w:t>
            </w:r>
          </w:p>
          <w:p w14:paraId="574A2B67">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③</w:t>
            </w:r>
            <w:r>
              <w:rPr>
                <w:rFonts w:hint="default" w:cs="Times New Roman"/>
                <w:color w:val="auto"/>
              </w:rPr>
              <w:t>废油桶：项目液压油和润滑油消耗会产生一定量的废油桶，产生量分别为0.02t/a。依据《国家危险废物名录》（2025版）属于危险废物，其中废油桶类别为HW49其他废物，危废代码为900-041-49，集中收集后交由有资质单位处置。</w:t>
            </w:r>
          </w:p>
          <w:p w14:paraId="21762ACA">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④</w:t>
            </w:r>
            <w:r>
              <w:rPr>
                <w:rFonts w:hint="default" w:cs="Times New Roman"/>
                <w:color w:val="auto"/>
              </w:rPr>
              <w:t>废含油手套及抹布：项目因设备维修保养产生的含油手套、抹布等产生量约为0.05t/a，属于《国家危险废物名录》（2025年版）中HW49其他废物，危废代码为900-041-49。经收集后交由有资质单位处理。</w:t>
            </w:r>
          </w:p>
          <w:p w14:paraId="4821B065">
            <w:pPr>
              <w:keepNext w:val="0"/>
              <w:keepLines w:val="0"/>
              <w:suppressLineNumbers w:val="0"/>
              <w:spacing w:before="0" w:beforeAutospacing="0" w:after="0" w:afterAutospacing="0"/>
              <w:ind w:left="0" w:right="0" w:firstLine="480"/>
              <w:rPr>
                <w:rFonts w:hint="default" w:cs="Times New Roman"/>
                <w:color w:val="auto"/>
              </w:rPr>
            </w:pPr>
            <w:r>
              <w:rPr>
                <w:rFonts w:hint="eastAsia" w:ascii="宋体" w:hAnsi="宋体" w:cs="宋体"/>
                <w:color w:val="auto"/>
              </w:rPr>
              <w:t>⑤</w:t>
            </w:r>
            <w:r>
              <w:rPr>
                <w:rFonts w:hint="default" w:cs="Times New Roman"/>
                <w:color w:val="auto"/>
              </w:rPr>
              <w:t>清罐废物：本项目自建柴油撬装站设有柴油储罐1个（60m</w:t>
            </w:r>
            <w:r>
              <w:rPr>
                <w:rFonts w:hint="default" w:cs="Times New Roman"/>
                <w:color w:val="auto"/>
                <w:vertAlign w:val="superscript"/>
              </w:rPr>
              <w:t>3</w:t>
            </w:r>
            <w:r>
              <w:rPr>
                <w:rFonts w:hint="default" w:cs="Times New Roman"/>
                <w:color w:val="auto"/>
              </w:rPr>
              <w:t>），储罐经过长期储存，在罐底积累的底泥需定时清除，约每3年对储罐进行一次清洁，清理过程中清罐废物产生量约0.05t/次，0.016t/a。清罐废物属于《国家危险废物名录》（2025版）属于HW08废矿物油与含矿物油废物，危废代码为900-221-08。储罐由专业清理公司清理，清罐废物由其直接运走，不在项目区暂存。</w:t>
            </w:r>
          </w:p>
          <w:p w14:paraId="22262EE4">
            <w:pPr>
              <w:keepNext w:val="0"/>
              <w:keepLines w:val="0"/>
              <w:suppressLineNumbers w:val="0"/>
              <w:spacing w:before="0" w:beforeAutospacing="0" w:after="0" w:afterAutospacing="0"/>
              <w:ind w:left="0" w:right="0" w:firstLine="480"/>
              <w:rPr>
                <w:rFonts w:hint="default" w:cs="Times New Roman"/>
                <w:b/>
                <w:bCs/>
                <w:color w:val="auto"/>
                <w:sz w:val="21"/>
                <w:szCs w:val="20"/>
              </w:rPr>
            </w:pPr>
            <w:r>
              <w:rPr>
                <w:rFonts w:hint="default" w:cs="Times New Roman"/>
                <w:color w:val="auto"/>
              </w:rPr>
              <w:t>治理措施：在厂区内设置一间危废暂存间，面积约为20m</w:t>
            </w:r>
            <w:r>
              <w:rPr>
                <w:rFonts w:hint="default" w:cs="Times New Roman"/>
                <w:color w:val="auto"/>
                <w:vertAlign w:val="superscript"/>
              </w:rPr>
              <w:t>2</w:t>
            </w:r>
            <w:r>
              <w:rPr>
                <w:rFonts w:hint="default" w:cs="Times New Roman"/>
                <w:color w:val="auto"/>
              </w:rPr>
              <w:t>，地面重点防渗处理，同时设置规范的标识标牌。</w:t>
            </w:r>
          </w:p>
          <w:p w14:paraId="3285933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根据《建设项目危险废物环境影响评价指南》危险废物污染防治措施情况汇总，详见下表：</w:t>
            </w:r>
          </w:p>
          <w:p w14:paraId="39D9D770">
            <w:pPr>
              <w:pStyle w:val="33"/>
              <w:keepNext w:val="0"/>
              <w:keepLines w:val="0"/>
              <w:suppressLineNumbers w:val="0"/>
              <w:spacing w:before="0" w:beforeAutospacing="0" w:after="0" w:afterAutospacing="0"/>
              <w:ind w:left="0" w:right="0"/>
              <w:rPr>
                <w:rFonts w:hint="default" w:cs="Times New Roman"/>
              </w:rPr>
            </w:pPr>
            <w:r>
              <w:rPr>
                <w:rFonts w:hint="default" w:cs="Times New Roman"/>
              </w:rPr>
              <w:t>危险废物汇总表</w:t>
            </w:r>
          </w:p>
          <w:tbl>
            <w:tblPr>
              <w:tblStyle w:val="18"/>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1"/>
              <w:gridCol w:w="748"/>
              <w:gridCol w:w="1142"/>
              <w:gridCol w:w="651"/>
              <w:gridCol w:w="748"/>
              <w:gridCol w:w="416"/>
              <w:gridCol w:w="675"/>
              <w:gridCol w:w="641"/>
              <w:gridCol w:w="643"/>
              <w:gridCol w:w="583"/>
              <w:gridCol w:w="755"/>
            </w:tblGrid>
            <w:tr w14:paraId="4CF0D2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25" w:type="pct"/>
                  <w:tcBorders>
                    <w:tl2br w:val="nil"/>
                    <w:tr2bl w:val="nil"/>
                  </w:tcBorders>
                  <w:shd w:val="clear" w:color="auto" w:fill="auto"/>
                  <w:vAlign w:val="center"/>
                </w:tcPr>
                <w:p w14:paraId="7DF795B4">
                  <w:pPr>
                    <w:pStyle w:val="26"/>
                    <w:keepNext w:val="0"/>
                    <w:keepLines w:val="0"/>
                    <w:suppressLineNumbers w:val="0"/>
                    <w:spacing w:before="0" w:beforeAutospacing="0" w:after="0" w:afterAutospacing="0"/>
                    <w:ind w:left="0" w:right="0"/>
                    <w:rPr>
                      <w:rFonts w:hint="default"/>
                    </w:rPr>
                  </w:pPr>
                  <w:r>
                    <w:rPr>
                      <w:rFonts w:hint="default"/>
                    </w:rPr>
                    <w:t>名称</w:t>
                  </w:r>
                </w:p>
              </w:tc>
              <w:tc>
                <w:tcPr>
                  <w:tcW w:w="489" w:type="pct"/>
                  <w:tcBorders>
                    <w:tl2br w:val="nil"/>
                    <w:tr2bl w:val="nil"/>
                  </w:tcBorders>
                  <w:shd w:val="clear" w:color="auto" w:fill="auto"/>
                  <w:vAlign w:val="center"/>
                </w:tcPr>
                <w:p w14:paraId="11635483">
                  <w:pPr>
                    <w:pStyle w:val="26"/>
                    <w:keepNext w:val="0"/>
                    <w:keepLines w:val="0"/>
                    <w:suppressLineNumbers w:val="0"/>
                    <w:spacing w:before="0" w:beforeAutospacing="0" w:after="0" w:afterAutospacing="0"/>
                    <w:ind w:left="0" w:right="0"/>
                    <w:rPr>
                      <w:rFonts w:hint="default"/>
                    </w:rPr>
                  </w:pPr>
                  <w:r>
                    <w:rPr>
                      <w:rFonts w:hint="default"/>
                    </w:rPr>
                    <w:t>危废类别</w:t>
                  </w:r>
                </w:p>
              </w:tc>
              <w:tc>
                <w:tcPr>
                  <w:tcW w:w="746" w:type="pct"/>
                  <w:tcBorders>
                    <w:tl2br w:val="nil"/>
                    <w:tr2bl w:val="nil"/>
                  </w:tcBorders>
                  <w:shd w:val="clear" w:color="auto" w:fill="auto"/>
                  <w:vAlign w:val="center"/>
                </w:tcPr>
                <w:p w14:paraId="1D33C98D">
                  <w:pPr>
                    <w:pStyle w:val="26"/>
                    <w:keepNext w:val="0"/>
                    <w:keepLines w:val="0"/>
                    <w:suppressLineNumbers w:val="0"/>
                    <w:spacing w:before="0" w:beforeAutospacing="0" w:after="0" w:afterAutospacing="0"/>
                    <w:ind w:left="0" w:right="0"/>
                    <w:rPr>
                      <w:rFonts w:hint="default"/>
                    </w:rPr>
                  </w:pPr>
                  <w:r>
                    <w:rPr>
                      <w:rFonts w:hint="default"/>
                    </w:rPr>
                    <w:t>危废代码</w:t>
                  </w:r>
                </w:p>
              </w:tc>
              <w:tc>
                <w:tcPr>
                  <w:tcW w:w="425" w:type="pct"/>
                  <w:tcBorders>
                    <w:tl2br w:val="nil"/>
                    <w:tr2bl w:val="nil"/>
                  </w:tcBorders>
                  <w:shd w:val="clear" w:color="auto" w:fill="auto"/>
                  <w:vAlign w:val="center"/>
                </w:tcPr>
                <w:p w14:paraId="6B8646BD">
                  <w:pPr>
                    <w:pStyle w:val="26"/>
                    <w:keepNext w:val="0"/>
                    <w:keepLines w:val="0"/>
                    <w:suppressLineNumbers w:val="0"/>
                    <w:spacing w:before="0" w:beforeAutospacing="0" w:after="0" w:afterAutospacing="0"/>
                    <w:ind w:left="0" w:right="0"/>
                    <w:rPr>
                      <w:rFonts w:hint="default"/>
                    </w:rPr>
                  </w:pPr>
                  <w:r>
                    <w:rPr>
                      <w:rFonts w:hint="default"/>
                    </w:rPr>
                    <w:t>年产量t/a</w:t>
                  </w:r>
                </w:p>
              </w:tc>
              <w:tc>
                <w:tcPr>
                  <w:tcW w:w="489" w:type="pct"/>
                  <w:tcBorders>
                    <w:tl2br w:val="nil"/>
                    <w:tr2bl w:val="nil"/>
                  </w:tcBorders>
                  <w:shd w:val="clear" w:color="auto" w:fill="auto"/>
                  <w:vAlign w:val="center"/>
                </w:tcPr>
                <w:p w14:paraId="173F7FE2">
                  <w:pPr>
                    <w:pStyle w:val="26"/>
                    <w:keepNext w:val="0"/>
                    <w:keepLines w:val="0"/>
                    <w:suppressLineNumbers w:val="0"/>
                    <w:spacing w:before="0" w:beforeAutospacing="0" w:after="0" w:afterAutospacing="0"/>
                    <w:ind w:left="0" w:right="0"/>
                    <w:rPr>
                      <w:rFonts w:hint="default"/>
                    </w:rPr>
                  </w:pPr>
                  <w:r>
                    <w:rPr>
                      <w:rFonts w:hint="default"/>
                    </w:rPr>
                    <w:t>生产工序</w:t>
                  </w:r>
                </w:p>
              </w:tc>
              <w:tc>
                <w:tcPr>
                  <w:tcW w:w="272" w:type="pct"/>
                  <w:tcBorders>
                    <w:tl2br w:val="nil"/>
                    <w:tr2bl w:val="nil"/>
                  </w:tcBorders>
                  <w:shd w:val="clear" w:color="auto" w:fill="auto"/>
                  <w:vAlign w:val="center"/>
                </w:tcPr>
                <w:p w14:paraId="792ECE2E">
                  <w:pPr>
                    <w:pStyle w:val="26"/>
                    <w:keepNext w:val="0"/>
                    <w:keepLines w:val="0"/>
                    <w:suppressLineNumbers w:val="0"/>
                    <w:spacing w:before="0" w:beforeAutospacing="0" w:after="0" w:afterAutospacing="0"/>
                    <w:ind w:left="0" w:right="0"/>
                    <w:rPr>
                      <w:rFonts w:hint="default"/>
                    </w:rPr>
                  </w:pPr>
                  <w:r>
                    <w:rPr>
                      <w:rFonts w:hint="default"/>
                    </w:rPr>
                    <w:t>形态</w:t>
                  </w:r>
                </w:p>
              </w:tc>
              <w:tc>
                <w:tcPr>
                  <w:tcW w:w="441" w:type="pct"/>
                  <w:tcBorders>
                    <w:tl2br w:val="nil"/>
                    <w:tr2bl w:val="nil"/>
                  </w:tcBorders>
                  <w:shd w:val="clear" w:color="auto" w:fill="auto"/>
                  <w:vAlign w:val="center"/>
                </w:tcPr>
                <w:p w14:paraId="59308FBD">
                  <w:pPr>
                    <w:pStyle w:val="26"/>
                    <w:keepNext w:val="0"/>
                    <w:keepLines w:val="0"/>
                    <w:suppressLineNumbers w:val="0"/>
                    <w:spacing w:before="0" w:beforeAutospacing="0" w:after="0" w:afterAutospacing="0"/>
                    <w:ind w:left="0" w:right="0"/>
                    <w:rPr>
                      <w:rFonts w:hint="default"/>
                    </w:rPr>
                  </w:pPr>
                  <w:r>
                    <w:rPr>
                      <w:rFonts w:hint="default"/>
                    </w:rPr>
                    <w:t>主要成分</w:t>
                  </w:r>
                </w:p>
              </w:tc>
              <w:tc>
                <w:tcPr>
                  <w:tcW w:w="419" w:type="pct"/>
                  <w:tcBorders>
                    <w:tl2br w:val="nil"/>
                    <w:tr2bl w:val="nil"/>
                  </w:tcBorders>
                  <w:shd w:val="clear" w:color="auto" w:fill="auto"/>
                  <w:vAlign w:val="center"/>
                </w:tcPr>
                <w:p w14:paraId="3D6954EB">
                  <w:pPr>
                    <w:pStyle w:val="26"/>
                    <w:keepNext w:val="0"/>
                    <w:keepLines w:val="0"/>
                    <w:suppressLineNumbers w:val="0"/>
                    <w:spacing w:before="0" w:beforeAutospacing="0" w:after="0" w:afterAutospacing="0"/>
                    <w:ind w:left="0" w:right="0"/>
                    <w:rPr>
                      <w:rFonts w:hint="default"/>
                    </w:rPr>
                  </w:pPr>
                  <w:r>
                    <w:rPr>
                      <w:rFonts w:hint="default"/>
                    </w:rPr>
                    <w:t>有害成分</w:t>
                  </w:r>
                </w:p>
              </w:tc>
              <w:tc>
                <w:tcPr>
                  <w:tcW w:w="420" w:type="pct"/>
                  <w:tcBorders>
                    <w:tl2br w:val="nil"/>
                    <w:tr2bl w:val="nil"/>
                  </w:tcBorders>
                  <w:shd w:val="clear" w:color="auto" w:fill="auto"/>
                  <w:vAlign w:val="center"/>
                </w:tcPr>
                <w:p w14:paraId="48E70E81">
                  <w:pPr>
                    <w:pStyle w:val="26"/>
                    <w:keepNext w:val="0"/>
                    <w:keepLines w:val="0"/>
                    <w:suppressLineNumbers w:val="0"/>
                    <w:spacing w:before="0" w:beforeAutospacing="0" w:after="0" w:afterAutospacing="0"/>
                    <w:ind w:left="0" w:right="0"/>
                    <w:rPr>
                      <w:rFonts w:hint="default"/>
                    </w:rPr>
                  </w:pPr>
                  <w:r>
                    <w:rPr>
                      <w:rFonts w:hint="default"/>
                    </w:rPr>
                    <w:t>产废周期</w:t>
                  </w:r>
                </w:p>
              </w:tc>
              <w:tc>
                <w:tcPr>
                  <w:tcW w:w="381" w:type="pct"/>
                  <w:tcBorders>
                    <w:tl2br w:val="nil"/>
                    <w:tr2bl w:val="nil"/>
                  </w:tcBorders>
                  <w:shd w:val="clear" w:color="auto" w:fill="auto"/>
                  <w:vAlign w:val="center"/>
                </w:tcPr>
                <w:p w14:paraId="7494A611">
                  <w:pPr>
                    <w:pStyle w:val="26"/>
                    <w:keepNext w:val="0"/>
                    <w:keepLines w:val="0"/>
                    <w:suppressLineNumbers w:val="0"/>
                    <w:spacing w:before="0" w:beforeAutospacing="0" w:after="0" w:afterAutospacing="0"/>
                    <w:ind w:left="0" w:right="0"/>
                    <w:rPr>
                      <w:rFonts w:hint="default"/>
                    </w:rPr>
                  </w:pPr>
                  <w:r>
                    <w:rPr>
                      <w:rFonts w:hint="default"/>
                    </w:rPr>
                    <w:t>危废特性</w:t>
                  </w:r>
                </w:p>
              </w:tc>
              <w:tc>
                <w:tcPr>
                  <w:tcW w:w="493" w:type="pct"/>
                  <w:tcBorders>
                    <w:tl2br w:val="nil"/>
                    <w:tr2bl w:val="nil"/>
                  </w:tcBorders>
                  <w:shd w:val="clear" w:color="auto" w:fill="auto"/>
                  <w:vAlign w:val="center"/>
                </w:tcPr>
                <w:p w14:paraId="782221D8">
                  <w:pPr>
                    <w:pStyle w:val="26"/>
                    <w:keepNext w:val="0"/>
                    <w:keepLines w:val="0"/>
                    <w:suppressLineNumbers w:val="0"/>
                    <w:spacing w:before="0" w:beforeAutospacing="0" w:after="0" w:afterAutospacing="0"/>
                    <w:ind w:left="0" w:right="0"/>
                    <w:rPr>
                      <w:rFonts w:hint="default"/>
                    </w:rPr>
                  </w:pPr>
                  <w:r>
                    <w:rPr>
                      <w:rFonts w:hint="default"/>
                    </w:rPr>
                    <w:t>污染防治措施</w:t>
                  </w:r>
                </w:p>
              </w:tc>
            </w:tr>
            <w:tr w14:paraId="7927CF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425" w:type="pct"/>
                  <w:tcBorders>
                    <w:tl2br w:val="nil"/>
                    <w:tr2bl w:val="nil"/>
                  </w:tcBorders>
                  <w:shd w:val="clear" w:color="auto" w:fill="auto"/>
                  <w:vAlign w:val="center"/>
                </w:tcPr>
                <w:p w14:paraId="304B0F1C">
                  <w:pPr>
                    <w:pStyle w:val="26"/>
                    <w:keepNext w:val="0"/>
                    <w:keepLines w:val="0"/>
                    <w:suppressLineNumbers w:val="0"/>
                    <w:spacing w:before="0" w:beforeAutospacing="0" w:after="0" w:afterAutospacing="0"/>
                    <w:ind w:left="0" w:right="0"/>
                    <w:rPr>
                      <w:rFonts w:hint="default"/>
                    </w:rPr>
                  </w:pPr>
                  <w:bookmarkStart w:id="120" w:name="OLE_LINK134"/>
                  <w:bookmarkStart w:id="121" w:name="OLE_LINK135"/>
                  <w:r>
                    <w:rPr>
                      <w:rFonts w:hint="default"/>
                    </w:rPr>
                    <w:t>水膜除尘液</w:t>
                  </w:r>
                  <w:bookmarkEnd w:id="120"/>
                  <w:bookmarkEnd w:id="121"/>
                </w:p>
              </w:tc>
              <w:tc>
                <w:tcPr>
                  <w:tcW w:w="489" w:type="pct"/>
                  <w:tcBorders>
                    <w:tl2br w:val="nil"/>
                    <w:tr2bl w:val="nil"/>
                  </w:tcBorders>
                  <w:shd w:val="clear" w:color="auto" w:fill="auto"/>
                  <w:vAlign w:val="center"/>
                </w:tcPr>
                <w:p w14:paraId="5B1A2D80">
                  <w:pPr>
                    <w:pStyle w:val="26"/>
                    <w:keepNext w:val="0"/>
                    <w:keepLines w:val="0"/>
                    <w:suppressLineNumbers w:val="0"/>
                    <w:spacing w:before="0" w:beforeAutospacing="0" w:after="0" w:afterAutospacing="0"/>
                    <w:ind w:left="0" w:right="0"/>
                    <w:rPr>
                      <w:rFonts w:hint="default"/>
                    </w:rPr>
                  </w:pPr>
                  <w:r>
                    <w:rPr>
                      <w:rFonts w:hint="default"/>
                    </w:rPr>
                    <w:t>HW35</w:t>
                  </w:r>
                </w:p>
              </w:tc>
              <w:tc>
                <w:tcPr>
                  <w:tcW w:w="746" w:type="pct"/>
                  <w:tcBorders>
                    <w:tl2br w:val="nil"/>
                    <w:tr2bl w:val="nil"/>
                  </w:tcBorders>
                  <w:shd w:val="clear" w:color="auto" w:fill="auto"/>
                  <w:vAlign w:val="center"/>
                </w:tcPr>
                <w:p w14:paraId="017A319D">
                  <w:pPr>
                    <w:pStyle w:val="26"/>
                    <w:keepNext w:val="0"/>
                    <w:keepLines w:val="0"/>
                    <w:suppressLineNumbers w:val="0"/>
                    <w:spacing w:before="0" w:beforeAutospacing="0" w:after="0" w:afterAutospacing="0"/>
                    <w:ind w:left="0" w:right="0"/>
                    <w:rPr>
                      <w:rFonts w:hint="default"/>
                    </w:rPr>
                  </w:pPr>
                  <w:r>
                    <w:rPr>
                      <w:rFonts w:hint="default"/>
                    </w:rPr>
                    <w:t>900-399-35</w:t>
                  </w:r>
                </w:p>
              </w:tc>
              <w:tc>
                <w:tcPr>
                  <w:tcW w:w="425" w:type="pct"/>
                  <w:tcBorders>
                    <w:tl2br w:val="nil"/>
                    <w:tr2bl w:val="nil"/>
                  </w:tcBorders>
                  <w:shd w:val="clear" w:color="auto" w:fill="auto"/>
                  <w:vAlign w:val="center"/>
                </w:tcPr>
                <w:p w14:paraId="55F7DFF6">
                  <w:pPr>
                    <w:pStyle w:val="26"/>
                    <w:keepNext w:val="0"/>
                    <w:keepLines w:val="0"/>
                    <w:suppressLineNumbers w:val="0"/>
                    <w:spacing w:before="0" w:beforeAutospacing="0" w:after="0" w:afterAutospacing="0"/>
                    <w:ind w:left="0" w:right="0"/>
                    <w:rPr>
                      <w:rFonts w:hint="default"/>
                    </w:rPr>
                  </w:pPr>
                  <w:r>
                    <w:rPr>
                      <w:rFonts w:hint="default"/>
                    </w:rPr>
                    <w:t>36</w:t>
                  </w:r>
                </w:p>
              </w:tc>
              <w:tc>
                <w:tcPr>
                  <w:tcW w:w="489" w:type="pct"/>
                  <w:tcBorders>
                    <w:tl2br w:val="nil"/>
                    <w:tr2bl w:val="nil"/>
                  </w:tcBorders>
                  <w:shd w:val="clear" w:color="auto" w:fill="auto"/>
                  <w:vAlign w:val="center"/>
                </w:tcPr>
                <w:p w14:paraId="001BFC61">
                  <w:pPr>
                    <w:pStyle w:val="26"/>
                    <w:keepNext w:val="0"/>
                    <w:keepLines w:val="0"/>
                    <w:suppressLineNumbers w:val="0"/>
                    <w:spacing w:before="0" w:beforeAutospacing="0" w:after="0" w:afterAutospacing="0"/>
                    <w:ind w:left="0" w:right="0"/>
                    <w:rPr>
                      <w:rFonts w:hint="default"/>
                    </w:rPr>
                  </w:pPr>
                  <w:r>
                    <w:rPr>
                      <w:rFonts w:hint="default"/>
                    </w:rPr>
                    <w:t>废气治理</w:t>
                  </w:r>
                </w:p>
              </w:tc>
              <w:tc>
                <w:tcPr>
                  <w:tcW w:w="272" w:type="pct"/>
                  <w:tcBorders>
                    <w:tl2br w:val="nil"/>
                    <w:tr2bl w:val="nil"/>
                  </w:tcBorders>
                  <w:shd w:val="clear" w:color="auto" w:fill="auto"/>
                  <w:vAlign w:val="center"/>
                </w:tcPr>
                <w:p w14:paraId="58D0AD2C">
                  <w:pPr>
                    <w:pStyle w:val="26"/>
                    <w:keepNext w:val="0"/>
                    <w:keepLines w:val="0"/>
                    <w:suppressLineNumbers w:val="0"/>
                    <w:spacing w:before="0" w:beforeAutospacing="0" w:after="0" w:afterAutospacing="0"/>
                    <w:ind w:left="0" w:right="0"/>
                    <w:rPr>
                      <w:rFonts w:hint="default"/>
                    </w:rPr>
                  </w:pPr>
                  <w:r>
                    <w:rPr>
                      <w:rFonts w:hint="default"/>
                    </w:rPr>
                    <w:t>液态</w:t>
                  </w:r>
                </w:p>
              </w:tc>
              <w:tc>
                <w:tcPr>
                  <w:tcW w:w="441" w:type="pct"/>
                  <w:tcBorders>
                    <w:tl2br w:val="nil"/>
                    <w:tr2bl w:val="nil"/>
                  </w:tcBorders>
                  <w:shd w:val="clear" w:color="auto" w:fill="auto"/>
                  <w:vAlign w:val="center"/>
                </w:tcPr>
                <w:p w14:paraId="00F1F0EA">
                  <w:pPr>
                    <w:pStyle w:val="26"/>
                    <w:keepNext w:val="0"/>
                    <w:keepLines w:val="0"/>
                    <w:suppressLineNumbers w:val="0"/>
                    <w:spacing w:before="0" w:beforeAutospacing="0" w:after="0" w:afterAutospacing="0"/>
                    <w:ind w:left="0" w:right="0"/>
                    <w:rPr>
                      <w:rFonts w:hint="default"/>
                    </w:rPr>
                  </w:pPr>
                  <w:r>
                    <w:rPr>
                      <w:rFonts w:hint="default"/>
                    </w:rPr>
                    <w:t>碱液</w:t>
                  </w:r>
                </w:p>
              </w:tc>
              <w:tc>
                <w:tcPr>
                  <w:tcW w:w="419" w:type="pct"/>
                  <w:tcBorders>
                    <w:tl2br w:val="nil"/>
                    <w:tr2bl w:val="nil"/>
                  </w:tcBorders>
                  <w:shd w:val="clear" w:color="auto" w:fill="auto"/>
                  <w:vAlign w:val="center"/>
                </w:tcPr>
                <w:p w14:paraId="26A26CC3">
                  <w:pPr>
                    <w:pStyle w:val="26"/>
                    <w:keepNext w:val="0"/>
                    <w:keepLines w:val="0"/>
                    <w:suppressLineNumbers w:val="0"/>
                    <w:spacing w:before="0" w:beforeAutospacing="0" w:after="0" w:afterAutospacing="0"/>
                    <w:ind w:left="0" w:right="0"/>
                    <w:rPr>
                      <w:rFonts w:hint="default"/>
                    </w:rPr>
                  </w:pPr>
                  <w:r>
                    <w:rPr>
                      <w:rFonts w:hint="default"/>
                    </w:rPr>
                    <w:t>碱液、含硫物质</w:t>
                  </w:r>
                </w:p>
              </w:tc>
              <w:tc>
                <w:tcPr>
                  <w:tcW w:w="420" w:type="pct"/>
                  <w:tcBorders>
                    <w:tl2br w:val="nil"/>
                    <w:tr2bl w:val="nil"/>
                  </w:tcBorders>
                  <w:shd w:val="clear" w:color="auto" w:fill="auto"/>
                  <w:vAlign w:val="center"/>
                </w:tcPr>
                <w:p w14:paraId="3D6218A3">
                  <w:pPr>
                    <w:pStyle w:val="26"/>
                    <w:keepNext w:val="0"/>
                    <w:keepLines w:val="0"/>
                    <w:suppressLineNumbers w:val="0"/>
                    <w:spacing w:before="0" w:beforeAutospacing="0" w:after="0" w:afterAutospacing="0"/>
                    <w:ind w:left="0" w:right="0"/>
                    <w:rPr>
                      <w:rFonts w:hint="default"/>
                    </w:rPr>
                  </w:pPr>
                  <w:r>
                    <w:rPr>
                      <w:rFonts w:hint="default"/>
                    </w:rPr>
                    <w:t>2个月</w:t>
                  </w:r>
                </w:p>
              </w:tc>
              <w:tc>
                <w:tcPr>
                  <w:tcW w:w="381" w:type="pct"/>
                  <w:tcBorders>
                    <w:tl2br w:val="nil"/>
                    <w:tr2bl w:val="nil"/>
                  </w:tcBorders>
                  <w:shd w:val="clear" w:color="auto" w:fill="auto"/>
                  <w:vAlign w:val="center"/>
                </w:tcPr>
                <w:p w14:paraId="798A9AC5">
                  <w:pPr>
                    <w:pStyle w:val="26"/>
                    <w:keepNext w:val="0"/>
                    <w:keepLines w:val="0"/>
                    <w:suppressLineNumbers w:val="0"/>
                    <w:spacing w:before="0" w:beforeAutospacing="0" w:after="0" w:afterAutospacing="0"/>
                    <w:ind w:left="0" w:right="0"/>
                    <w:rPr>
                      <w:rFonts w:hint="default"/>
                    </w:rPr>
                  </w:pPr>
                  <w:r>
                    <w:rPr>
                      <w:rFonts w:hint="default"/>
                    </w:rPr>
                    <w:t>C</w:t>
                  </w:r>
                  <w:r>
                    <w:rPr>
                      <w:rFonts w:hint="eastAsia"/>
                      <w:lang w:eastAsia="zh-CN"/>
                    </w:rPr>
                    <w:t xml:space="preserve">, </w:t>
                  </w:r>
                  <w:r>
                    <w:rPr>
                      <w:rFonts w:hint="default"/>
                    </w:rPr>
                    <w:t>T</w:t>
                  </w:r>
                </w:p>
              </w:tc>
              <w:tc>
                <w:tcPr>
                  <w:tcW w:w="493" w:type="pct"/>
                  <w:vMerge w:val="restart"/>
                  <w:tcBorders>
                    <w:tl2br w:val="nil"/>
                    <w:tr2bl w:val="nil"/>
                  </w:tcBorders>
                  <w:shd w:val="clear" w:color="auto" w:fill="auto"/>
                  <w:vAlign w:val="center"/>
                </w:tcPr>
                <w:p w14:paraId="5F0E4797">
                  <w:pPr>
                    <w:pStyle w:val="26"/>
                    <w:keepNext w:val="0"/>
                    <w:keepLines w:val="0"/>
                    <w:suppressLineNumbers w:val="0"/>
                    <w:spacing w:before="0" w:beforeAutospacing="0" w:after="0" w:afterAutospacing="0"/>
                    <w:ind w:left="0" w:right="0"/>
                    <w:rPr>
                      <w:rFonts w:hint="default"/>
                    </w:rPr>
                  </w:pPr>
                  <w:r>
                    <w:rPr>
                      <w:rFonts w:hint="default"/>
                    </w:rPr>
                    <w:t>交资质单位处置</w:t>
                  </w:r>
                </w:p>
              </w:tc>
            </w:tr>
            <w:tr w14:paraId="50F906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5" w:type="pct"/>
                  <w:tcBorders>
                    <w:tl2br w:val="nil"/>
                    <w:tr2bl w:val="nil"/>
                  </w:tcBorders>
                  <w:shd w:val="clear" w:color="auto" w:fill="auto"/>
                  <w:vAlign w:val="center"/>
                </w:tcPr>
                <w:p w14:paraId="036EFDBC">
                  <w:pPr>
                    <w:pStyle w:val="26"/>
                    <w:keepNext w:val="0"/>
                    <w:keepLines w:val="0"/>
                    <w:suppressLineNumbers w:val="0"/>
                    <w:spacing w:before="0" w:beforeAutospacing="0" w:after="0" w:afterAutospacing="0"/>
                    <w:ind w:left="0" w:right="0"/>
                    <w:rPr>
                      <w:rFonts w:hint="default"/>
                    </w:rPr>
                  </w:pPr>
                  <w:r>
                    <w:rPr>
                      <w:rFonts w:hint="default"/>
                    </w:rPr>
                    <w:t>废润滑油</w:t>
                  </w:r>
                </w:p>
              </w:tc>
              <w:tc>
                <w:tcPr>
                  <w:tcW w:w="489" w:type="pct"/>
                  <w:tcBorders>
                    <w:tl2br w:val="nil"/>
                    <w:tr2bl w:val="nil"/>
                  </w:tcBorders>
                  <w:shd w:val="clear" w:color="auto" w:fill="auto"/>
                  <w:vAlign w:val="center"/>
                </w:tcPr>
                <w:p w14:paraId="4CFA67E4">
                  <w:pPr>
                    <w:pStyle w:val="26"/>
                    <w:keepNext w:val="0"/>
                    <w:keepLines w:val="0"/>
                    <w:suppressLineNumbers w:val="0"/>
                    <w:spacing w:before="0" w:beforeAutospacing="0" w:after="0" w:afterAutospacing="0"/>
                    <w:ind w:left="0" w:right="0"/>
                    <w:rPr>
                      <w:rFonts w:hint="default"/>
                    </w:rPr>
                  </w:pPr>
                  <w:r>
                    <w:rPr>
                      <w:rFonts w:hint="default"/>
                    </w:rPr>
                    <w:t>HW08</w:t>
                  </w:r>
                </w:p>
              </w:tc>
              <w:tc>
                <w:tcPr>
                  <w:tcW w:w="746" w:type="pct"/>
                  <w:tcBorders>
                    <w:tl2br w:val="nil"/>
                    <w:tr2bl w:val="nil"/>
                  </w:tcBorders>
                  <w:shd w:val="clear" w:color="auto" w:fill="auto"/>
                  <w:vAlign w:val="center"/>
                </w:tcPr>
                <w:p w14:paraId="68F990FE">
                  <w:pPr>
                    <w:pStyle w:val="26"/>
                    <w:keepNext w:val="0"/>
                    <w:keepLines w:val="0"/>
                    <w:suppressLineNumbers w:val="0"/>
                    <w:spacing w:before="0" w:beforeAutospacing="0" w:after="0" w:afterAutospacing="0"/>
                    <w:ind w:left="0" w:right="0"/>
                    <w:rPr>
                      <w:rFonts w:hint="default"/>
                    </w:rPr>
                  </w:pPr>
                  <w:r>
                    <w:rPr>
                      <w:rFonts w:hint="default"/>
                    </w:rPr>
                    <w:t>900-218-08</w:t>
                  </w:r>
                </w:p>
              </w:tc>
              <w:tc>
                <w:tcPr>
                  <w:tcW w:w="425" w:type="pct"/>
                  <w:tcBorders>
                    <w:tl2br w:val="nil"/>
                    <w:tr2bl w:val="nil"/>
                  </w:tcBorders>
                  <w:shd w:val="clear" w:color="auto" w:fill="auto"/>
                  <w:vAlign w:val="center"/>
                </w:tcPr>
                <w:p w14:paraId="64C16774">
                  <w:pPr>
                    <w:pStyle w:val="26"/>
                    <w:keepNext w:val="0"/>
                    <w:keepLines w:val="0"/>
                    <w:suppressLineNumbers w:val="0"/>
                    <w:spacing w:before="0" w:beforeAutospacing="0" w:after="0" w:afterAutospacing="0"/>
                    <w:ind w:left="0" w:right="0"/>
                    <w:rPr>
                      <w:rFonts w:hint="default"/>
                    </w:rPr>
                  </w:pPr>
                  <w:r>
                    <w:rPr>
                      <w:rFonts w:hint="default"/>
                    </w:rPr>
                    <w:t>0.1</w:t>
                  </w:r>
                </w:p>
              </w:tc>
              <w:tc>
                <w:tcPr>
                  <w:tcW w:w="489" w:type="pct"/>
                  <w:tcBorders>
                    <w:tl2br w:val="nil"/>
                    <w:tr2bl w:val="nil"/>
                  </w:tcBorders>
                  <w:shd w:val="clear" w:color="auto" w:fill="auto"/>
                  <w:vAlign w:val="center"/>
                </w:tcPr>
                <w:p w14:paraId="3D51A14F">
                  <w:pPr>
                    <w:pStyle w:val="26"/>
                    <w:keepNext w:val="0"/>
                    <w:keepLines w:val="0"/>
                    <w:suppressLineNumbers w:val="0"/>
                    <w:spacing w:before="0" w:beforeAutospacing="0" w:after="0" w:afterAutospacing="0"/>
                    <w:ind w:left="0" w:right="0"/>
                    <w:rPr>
                      <w:rFonts w:hint="default"/>
                    </w:rPr>
                  </w:pPr>
                  <w:r>
                    <w:rPr>
                      <w:rFonts w:hint="default"/>
                    </w:rPr>
                    <w:t>设备维修</w:t>
                  </w:r>
                </w:p>
              </w:tc>
              <w:tc>
                <w:tcPr>
                  <w:tcW w:w="272" w:type="pct"/>
                  <w:tcBorders>
                    <w:tl2br w:val="nil"/>
                    <w:tr2bl w:val="nil"/>
                  </w:tcBorders>
                  <w:shd w:val="clear" w:color="auto" w:fill="auto"/>
                  <w:vAlign w:val="center"/>
                </w:tcPr>
                <w:p w14:paraId="476FFDF7">
                  <w:pPr>
                    <w:pStyle w:val="26"/>
                    <w:keepNext w:val="0"/>
                    <w:keepLines w:val="0"/>
                    <w:suppressLineNumbers w:val="0"/>
                    <w:spacing w:before="0" w:beforeAutospacing="0" w:after="0" w:afterAutospacing="0"/>
                    <w:ind w:left="0" w:right="0"/>
                    <w:rPr>
                      <w:rFonts w:hint="default"/>
                    </w:rPr>
                  </w:pPr>
                  <w:r>
                    <w:rPr>
                      <w:rFonts w:hint="default"/>
                    </w:rPr>
                    <w:t>液态</w:t>
                  </w:r>
                </w:p>
              </w:tc>
              <w:tc>
                <w:tcPr>
                  <w:tcW w:w="441" w:type="pct"/>
                  <w:vMerge w:val="restart"/>
                  <w:tcBorders>
                    <w:tl2br w:val="nil"/>
                    <w:tr2bl w:val="nil"/>
                  </w:tcBorders>
                  <w:shd w:val="clear" w:color="auto" w:fill="auto"/>
                  <w:vAlign w:val="center"/>
                </w:tcPr>
                <w:p w14:paraId="07907D57">
                  <w:pPr>
                    <w:pStyle w:val="26"/>
                    <w:keepNext w:val="0"/>
                    <w:keepLines w:val="0"/>
                    <w:suppressLineNumbers w:val="0"/>
                    <w:spacing w:before="0" w:beforeAutospacing="0" w:after="0" w:afterAutospacing="0"/>
                    <w:ind w:left="0" w:right="0"/>
                    <w:rPr>
                      <w:rFonts w:hint="default"/>
                    </w:rPr>
                  </w:pPr>
                  <w:r>
                    <w:rPr>
                      <w:rFonts w:hint="default"/>
                    </w:rPr>
                    <w:t>矿物油</w:t>
                  </w:r>
                </w:p>
              </w:tc>
              <w:tc>
                <w:tcPr>
                  <w:tcW w:w="419" w:type="pct"/>
                  <w:vMerge w:val="restart"/>
                  <w:tcBorders>
                    <w:tl2br w:val="nil"/>
                    <w:tr2bl w:val="nil"/>
                  </w:tcBorders>
                  <w:shd w:val="clear" w:color="auto" w:fill="auto"/>
                  <w:vAlign w:val="center"/>
                </w:tcPr>
                <w:p w14:paraId="51A59785">
                  <w:pPr>
                    <w:pStyle w:val="26"/>
                    <w:keepNext w:val="0"/>
                    <w:keepLines w:val="0"/>
                    <w:suppressLineNumbers w:val="0"/>
                    <w:spacing w:before="0" w:beforeAutospacing="0" w:after="0" w:afterAutospacing="0"/>
                    <w:ind w:left="0" w:right="0"/>
                    <w:rPr>
                      <w:rFonts w:hint="default"/>
                    </w:rPr>
                  </w:pPr>
                  <w:r>
                    <w:rPr>
                      <w:rFonts w:hint="default"/>
                    </w:rPr>
                    <w:t>矿物油</w:t>
                  </w:r>
                </w:p>
              </w:tc>
              <w:tc>
                <w:tcPr>
                  <w:tcW w:w="420" w:type="pct"/>
                  <w:tcBorders>
                    <w:tl2br w:val="nil"/>
                    <w:tr2bl w:val="nil"/>
                  </w:tcBorders>
                  <w:shd w:val="clear" w:color="auto" w:fill="auto"/>
                  <w:vAlign w:val="center"/>
                </w:tcPr>
                <w:p w14:paraId="05D96758">
                  <w:pPr>
                    <w:pStyle w:val="26"/>
                    <w:keepNext w:val="0"/>
                    <w:keepLines w:val="0"/>
                    <w:suppressLineNumbers w:val="0"/>
                    <w:spacing w:before="0" w:beforeAutospacing="0" w:after="0" w:afterAutospacing="0"/>
                    <w:ind w:left="0" w:right="0"/>
                    <w:rPr>
                      <w:rFonts w:hint="default"/>
                    </w:rPr>
                  </w:pPr>
                  <w:r>
                    <w:rPr>
                      <w:rFonts w:hint="default"/>
                    </w:rPr>
                    <w:t>季度</w:t>
                  </w:r>
                </w:p>
              </w:tc>
              <w:tc>
                <w:tcPr>
                  <w:tcW w:w="381" w:type="pct"/>
                  <w:tcBorders>
                    <w:tl2br w:val="nil"/>
                    <w:tr2bl w:val="nil"/>
                  </w:tcBorders>
                  <w:shd w:val="clear" w:color="auto" w:fill="auto"/>
                  <w:vAlign w:val="center"/>
                </w:tcPr>
                <w:p w14:paraId="35343C7E">
                  <w:pPr>
                    <w:pStyle w:val="26"/>
                    <w:keepNext w:val="0"/>
                    <w:keepLines w:val="0"/>
                    <w:suppressLineNumbers w:val="0"/>
                    <w:spacing w:before="0" w:beforeAutospacing="0" w:after="0" w:afterAutospacing="0"/>
                    <w:ind w:left="0" w:right="0"/>
                    <w:rPr>
                      <w:rFonts w:hint="default"/>
                    </w:rPr>
                  </w:pPr>
                  <w:r>
                    <w:rPr>
                      <w:rFonts w:hint="default"/>
                    </w:rPr>
                    <w:t>T</w:t>
                  </w:r>
                  <w:r>
                    <w:rPr>
                      <w:rFonts w:hint="eastAsia"/>
                      <w:lang w:eastAsia="zh-CN"/>
                    </w:rPr>
                    <w:t xml:space="preserve">, </w:t>
                  </w:r>
                  <w:r>
                    <w:rPr>
                      <w:rFonts w:hint="default"/>
                    </w:rPr>
                    <w:t>I</w:t>
                  </w:r>
                </w:p>
              </w:tc>
              <w:tc>
                <w:tcPr>
                  <w:tcW w:w="493" w:type="pct"/>
                  <w:vMerge w:val="continue"/>
                  <w:tcBorders>
                    <w:tl2br w:val="nil"/>
                    <w:tr2bl w:val="nil"/>
                  </w:tcBorders>
                  <w:shd w:val="clear" w:color="auto" w:fill="auto"/>
                  <w:vAlign w:val="center"/>
                </w:tcPr>
                <w:p w14:paraId="4AFCCBAE">
                  <w:pPr>
                    <w:pStyle w:val="26"/>
                    <w:keepNext w:val="0"/>
                    <w:keepLines w:val="0"/>
                    <w:suppressLineNumbers w:val="0"/>
                    <w:spacing w:before="0" w:beforeAutospacing="0" w:after="0" w:afterAutospacing="0"/>
                    <w:ind w:left="0" w:right="0"/>
                    <w:rPr>
                      <w:rFonts w:hint="default"/>
                    </w:rPr>
                  </w:pPr>
                </w:p>
              </w:tc>
            </w:tr>
            <w:tr w14:paraId="7C1E4A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5" w:type="pct"/>
                  <w:tcBorders>
                    <w:tl2br w:val="nil"/>
                    <w:tr2bl w:val="nil"/>
                  </w:tcBorders>
                  <w:shd w:val="clear" w:color="auto" w:fill="auto"/>
                  <w:vAlign w:val="center"/>
                </w:tcPr>
                <w:p w14:paraId="5ED7203B">
                  <w:pPr>
                    <w:pStyle w:val="26"/>
                    <w:keepNext w:val="0"/>
                    <w:keepLines w:val="0"/>
                    <w:suppressLineNumbers w:val="0"/>
                    <w:spacing w:before="0" w:beforeAutospacing="0" w:after="0" w:afterAutospacing="0"/>
                    <w:ind w:left="0" w:right="0"/>
                    <w:rPr>
                      <w:rFonts w:hint="default"/>
                    </w:rPr>
                  </w:pPr>
                  <w:r>
                    <w:rPr>
                      <w:rFonts w:hint="default"/>
                    </w:rPr>
                    <w:t>废机油桶</w:t>
                  </w:r>
                </w:p>
              </w:tc>
              <w:tc>
                <w:tcPr>
                  <w:tcW w:w="489" w:type="pct"/>
                  <w:tcBorders>
                    <w:tl2br w:val="nil"/>
                    <w:tr2bl w:val="nil"/>
                  </w:tcBorders>
                  <w:shd w:val="clear" w:color="auto" w:fill="auto"/>
                  <w:vAlign w:val="center"/>
                </w:tcPr>
                <w:p w14:paraId="7B5FA15E">
                  <w:pPr>
                    <w:pStyle w:val="26"/>
                    <w:keepNext w:val="0"/>
                    <w:keepLines w:val="0"/>
                    <w:suppressLineNumbers w:val="0"/>
                    <w:spacing w:before="0" w:beforeAutospacing="0" w:after="0" w:afterAutospacing="0"/>
                    <w:ind w:left="0" w:right="0"/>
                    <w:rPr>
                      <w:rFonts w:hint="default"/>
                    </w:rPr>
                  </w:pPr>
                  <w:r>
                    <w:rPr>
                      <w:rFonts w:hint="default"/>
                    </w:rPr>
                    <w:t>HW49</w:t>
                  </w:r>
                </w:p>
              </w:tc>
              <w:tc>
                <w:tcPr>
                  <w:tcW w:w="746" w:type="pct"/>
                  <w:tcBorders>
                    <w:tl2br w:val="nil"/>
                    <w:tr2bl w:val="nil"/>
                  </w:tcBorders>
                  <w:shd w:val="clear" w:color="auto" w:fill="auto"/>
                  <w:vAlign w:val="center"/>
                </w:tcPr>
                <w:p w14:paraId="363116EC">
                  <w:pPr>
                    <w:pStyle w:val="26"/>
                    <w:keepNext w:val="0"/>
                    <w:keepLines w:val="0"/>
                    <w:suppressLineNumbers w:val="0"/>
                    <w:spacing w:before="0" w:beforeAutospacing="0" w:after="0" w:afterAutospacing="0"/>
                    <w:ind w:left="0" w:right="0"/>
                    <w:rPr>
                      <w:rFonts w:hint="default"/>
                    </w:rPr>
                  </w:pPr>
                  <w:r>
                    <w:rPr>
                      <w:rFonts w:hint="default"/>
                    </w:rPr>
                    <w:t>900-041-49</w:t>
                  </w:r>
                </w:p>
              </w:tc>
              <w:tc>
                <w:tcPr>
                  <w:tcW w:w="425" w:type="pct"/>
                  <w:tcBorders>
                    <w:tl2br w:val="nil"/>
                    <w:tr2bl w:val="nil"/>
                  </w:tcBorders>
                  <w:shd w:val="clear" w:color="auto" w:fill="auto"/>
                  <w:vAlign w:val="center"/>
                </w:tcPr>
                <w:p w14:paraId="1E4BD330">
                  <w:pPr>
                    <w:pStyle w:val="26"/>
                    <w:keepNext w:val="0"/>
                    <w:keepLines w:val="0"/>
                    <w:suppressLineNumbers w:val="0"/>
                    <w:spacing w:before="0" w:beforeAutospacing="0" w:after="0" w:afterAutospacing="0"/>
                    <w:ind w:left="0" w:right="0"/>
                    <w:rPr>
                      <w:rFonts w:hint="default"/>
                    </w:rPr>
                  </w:pPr>
                  <w:r>
                    <w:rPr>
                      <w:rFonts w:hint="default"/>
                    </w:rPr>
                    <w:t>0.02</w:t>
                  </w:r>
                </w:p>
              </w:tc>
              <w:tc>
                <w:tcPr>
                  <w:tcW w:w="489" w:type="pct"/>
                  <w:tcBorders>
                    <w:tl2br w:val="nil"/>
                    <w:tr2bl w:val="nil"/>
                  </w:tcBorders>
                  <w:shd w:val="clear" w:color="auto" w:fill="auto"/>
                  <w:vAlign w:val="center"/>
                </w:tcPr>
                <w:p w14:paraId="74FE07D4">
                  <w:pPr>
                    <w:pStyle w:val="26"/>
                    <w:keepNext w:val="0"/>
                    <w:keepLines w:val="0"/>
                    <w:suppressLineNumbers w:val="0"/>
                    <w:spacing w:before="0" w:beforeAutospacing="0" w:after="0" w:afterAutospacing="0"/>
                    <w:ind w:left="0" w:right="0"/>
                    <w:rPr>
                      <w:rFonts w:hint="default"/>
                    </w:rPr>
                  </w:pPr>
                  <w:r>
                    <w:rPr>
                      <w:rFonts w:hint="default"/>
                    </w:rPr>
                    <w:t>原料包装</w:t>
                  </w:r>
                </w:p>
              </w:tc>
              <w:tc>
                <w:tcPr>
                  <w:tcW w:w="272" w:type="pct"/>
                  <w:tcBorders>
                    <w:tl2br w:val="nil"/>
                    <w:tr2bl w:val="nil"/>
                  </w:tcBorders>
                  <w:shd w:val="clear" w:color="auto" w:fill="auto"/>
                  <w:vAlign w:val="center"/>
                </w:tcPr>
                <w:p w14:paraId="5D462D6A">
                  <w:pPr>
                    <w:pStyle w:val="26"/>
                    <w:keepNext w:val="0"/>
                    <w:keepLines w:val="0"/>
                    <w:suppressLineNumbers w:val="0"/>
                    <w:spacing w:before="0" w:beforeAutospacing="0" w:after="0" w:afterAutospacing="0"/>
                    <w:ind w:left="0" w:right="0"/>
                    <w:rPr>
                      <w:rFonts w:hint="default"/>
                    </w:rPr>
                  </w:pPr>
                  <w:r>
                    <w:rPr>
                      <w:rFonts w:hint="default"/>
                    </w:rPr>
                    <w:t>固态</w:t>
                  </w:r>
                </w:p>
              </w:tc>
              <w:tc>
                <w:tcPr>
                  <w:tcW w:w="441" w:type="pct"/>
                  <w:vMerge w:val="continue"/>
                  <w:tcBorders>
                    <w:tl2br w:val="nil"/>
                    <w:tr2bl w:val="nil"/>
                  </w:tcBorders>
                  <w:shd w:val="clear" w:color="auto" w:fill="auto"/>
                  <w:vAlign w:val="center"/>
                </w:tcPr>
                <w:p w14:paraId="46EEFAD4">
                  <w:pPr>
                    <w:pStyle w:val="26"/>
                    <w:keepNext w:val="0"/>
                    <w:keepLines w:val="0"/>
                    <w:suppressLineNumbers w:val="0"/>
                    <w:spacing w:before="0" w:beforeAutospacing="0" w:after="0" w:afterAutospacing="0"/>
                    <w:ind w:left="0" w:right="0"/>
                    <w:rPr>
                      <w:rFonts w:hint="default"/>
                    </w:rPr>
                  </w:pPr>
                </w:p>
              </w:tc>
              <w:tc>
                <w:tcPr>
                  <w:tcW w:w="419" w:type="pct"/>
                  <w:vMerge w:val="continue"/>
                  <w:tcBorders>
                    <w:tl2br w:val="nil"/>
                    <w:tr2bl w:val="nil"/>
                  </w:tcBorders>
                  <w:shd w:val="clear" w:color="auto" w:fill="auto"/>
                  <w:vAlign w:val="center"/>
                </w:tcPr>
                <w:p w14:paraId="42FEB3E5">
                  <w:pPr>
                    <w:pStyle w:val="26"/>
                    <w:keepNext w:val="0"/>
                    <w:keepLines w:val="0"/>
                    <w:suppressLineNumbers w:val="0"/>
                    <w:spacing w:before="0" w:beforeAutospacing="0" w:after="0" w:afterAutospacing="0"/>
                    <w:ind w:left="0" w:right="0"/>
                    <w:rPr>
                      <w:rFonts w:hint="default"/>
                    </w:rPr>
                  </w:pPr>
                </w:p>
              </w:tc>
              <w:tc>
                <w:tcPr>
                  <w:tcW w:w="420" w:type="pct"/>
                  <w:tcBorders>
                    <w:tl2br w:val="nil"/>
                    <w:tr2bl w:val="nil"/>
                  </w:tcBorders>
                  <w:shd w:val="clear" w:color="auto" w:fill="auto"/>
                  <w:vAlign w:val="center"/>
                </w:tcPr>
                <w:p w14:paraId="733EEBB3">
                  <w:pPr>
                    <w:pStyle w:val="26"/>
                    <w:keepNext w:val="0"/>
                    <w:keepLines w:val="0"/>
                    <w:suppressLineNumbers w:val="0"/>
                    <w:spacing w:before="0" w:beforeAutospacing="0" w:after="0" w:afterAutospacing="0"/>
                    <w:ind w:left="0" w:right="0"/>
                    <w:rPr>
                      <w:rFonts w:hint="default"/>
                    </w:rPr>
                  </w:pPr>
                  <w:r>
                    <w:rPr>
                      <w:rFonts w:hint="default"/>
                    </w:rPr>
                    <w:t>季度</w:t>
                  </w:r>
                </w:p>
              </w:tc>
              <w:tc>
                <w:tcPr>
                  <w:tcW w:w="381" w:type="pct"/>
                  <w:tcBorders>
                    <w:tl2br w:val="nil"/>
                    <w:tr2bl w:val="nil"/>
                  </w:tcBorders>
                  <w:shd w:val="clear" w:color="auto" w:fill="auto"/>
                  <w:vAlign w:val="center"/>
                </w:tcPr>
                <w:p w14:paraId="21A9B2E4">
                  <w:pPr>
                    <w:pStyle w:val="26"/>
                    <w:keepNext w:val="0"/>
                    <w:keepLines w:val="0"/>
                    <w:suppressLineNumbers w:val="0"/>
                    <w:spacing w:before="0" w:beforeAutospacing="0" w:after="0" w:afterAutospacing="0"/>
                    <w:ind w:left="0" w:right="0"/>
                    <w:rPr>
                      <w:rFonts w:hint="default"/>
                    </w:rPr>
                  </w:pPr>
                  <w:r>
                    <w:rPr>
                      <w:rFonts w:hint="default"/>
                    </w:rPr>
                    <w:t>T/In</w:t>
                  </w:r>
                </w:p>
              </w:tc>
              <w:tc>
                <w:tcPr>
                  <w:tcW w:w="493" w:type="pct"/>
                  <w:vMerge w:val="continue"/>
                  <w:tcBorders>
                    <w:tl2br w:val="nil"/>
                    <w:tr2bl w:val="nil"/>
                  </w:tcBorders>
                  <w:shd w:val="clear" w:color="auto" w:fill="auto"/>
                  <w:vAlign w:val="center"/>
                </w:tcPr>
                <w:p w14:paraId="4DB009A3">
                  <w:pPr>
                    <w:pStyle w:val="26"/>
                    <w:keepNext w:val="0"/>
                    <w:keepLines w:val="0"/>
                    <w:suppressLineNumbers w:val="0"/>
                    <w:spacing w:before="0" w:beforeAutospacing="0" w:after="0" w:afterAutospacing="0"/>
                    <w:ind w:left="0" w:right="0"/>
                    <w:rPr>
                      <w:rFonts w:hint="default"/>
                    </w:rPr>
                  </w:pPr>
                </w:p>
              </w:tc>
            </w:tr>
            <w:tr w14:paraId="32DC4A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425" w:type="pct"/>
                  <w:tcBorders>
                    <w:tl2br w:val="nil"/>
                    <w:tr2bl w:val="nil"/>
                  </w:tcBorders>
                  <w:shd w:val="clear" w:color="auto" w:fill="auto"/>
                  <w:vAlign w:val="center"/>
                </w:tcPr>
                <w:p w14:paraId="6E252BAF">
                  <w:pPr>
                    <w:pStyle w:val="26"/>
                    <w:keepNext w:val="0"/>
                    <w:keepLines w:val="0"/>
                    <w:suppressLineNumbers w:val="0"/>
                    <w:spacing w:before="0" w:beforeAutospacing="0" w:after="0" w:afterAutospacing="0"/>
                    <w:ind w:left="0" w:right="0"/>
                    <w:rPr>
                      <w:rFonts w:hint="default"/>
                    </w:rPr>
                  </w:pPr>
                  <w:r>
                    <w:rPr>
                      <w:rFonts w:hint="default"/>
                    </w:rPr>
                    <w:t>废含油手套、抹布</w:t>
                  </w:r>
                </w:p>
              </w:tc>
              <w:tc>
                <w:tcPr>
                  <w:tcW w:w="489" w:type="pct"/>
                  <w:tcBorders>
                    <w:tl2br w:val="nil"/>
                    <w:tr2bl w:val="nil"/>
                  </w:tcBorders>
                  <w:shd w:val="clear" w:color="auto" w:fill="auto"/>
                  <w:vAlign w:val="center"/>
                </w:tcPr>
                <w:p w14:paraId="323B5F1E">
                  <w:pPr>
                    <w:pStyle w:val="26"/>
                    <w:keepNext w:val="0"/>
                    <w:keepLines w:val="0"/>
                    <w:suppressLineNumbers w:val="0"/>
                    <w:spacing w:before="0" w:beforeAutospacing="0" w:after="0" w:afterAutospacing="0"/>
                    <w:ind w:left="0" w:right="0"/>
                    <w:rPr>
                      <w:rFonts w:hint="default"/>
                    </w:rPr>
                  </w:pPr>
                  <w:r>
                    <w:rPr>
                      <w:rFonts w:hint="default"/>
                    </w:rPr>
                    <w:t>HW49</w:t>
                  </w:r>
                </w:p>
              </w:tc>
              <w:tc>
                <w:tcPr>
                  <w:tcW w:w="746" w:type="pct"/>
                  <w:tcBorders>
                    <w:tl2br w:val="nil"/>
                    <w:tr2bl w:val="nil"/>
                  </w:tcBorders>
                  <w:shd w:val="clear" w:color="auto" w:fill="auto"/>
                  <w:vAlign w:val="center"/>
                </w:tcPr>
                <w:p w14:paraId="312F2874">
                  <w:pPr>
                    <w:pStyle w:val="26"/>
                    <w:keepNext w:val="0"/>
                    <w:keepLines w:val="0"/>
                    <w:suppressLineNumbers w:val="0"/>
                    <w:spacing w:before="0" w:beforeAutospacing="0" w:after="0" w:afterAutospacing="0"/>
                    <w:ind w:left="0" w:right="0"/>
                    <w:rPr>
                      <w:rFonts w:hint="default"/>
                    </w:rPr>
                  </w:pPr>
                  <w:r>
                    <w:rPr>
                      <w:rFonts w:hint="default"/>
                    </w:rPr>
                    <w:t>900-041-49</w:t>
                  </w:r>
                </w:p>
              </w:tc>
              <w:tc>
                <w:tcPr>
                  <w:tcW w:w="425" w:type="pct"/>
                  <w:tcBorders>
                    <w:tl2br w:val="nil"/>
                    <w:tr2bl w:val="nil"/>
                  </w:tcBorders>
                  <w:shd w:val="clear" w:color="auto" w:fill="auto"/>
                  <w:vAlign w:val="center"/>
                </w:tcPr>
                <w:p w14:paraId="58C17EBC">
                  <w:pPr>
                    <w:pStyle w:val="26"/>
                    <w:keepNext w:val="0"/>
                    <w:keepLines w:val="0"/>
                    <w:suppressLineNumbers w:val="0"/>
                    <w:spacing w:before="0" w:beforeAutospacing="0" w:after="0" w:afterAutospacing="0"/>
                    <w:ind w:left="0" w:right="0"/>
                    <w:rPr>
                      <w:rFonts w:hint="default"/>
                    </w:rPr>
                  </w:pPr>
                  <w:r>
                    <w:rPr>
                      <w:rFonts w:hint="default"/>
                    </w:rPr>
                    <w:t>0.05</w:t>
                  </w:r>
                </w:p>
              </w:tc>
              <w:tc>
                <w:tcPr>
                  <w:tcW w:w="489" w:type="pct"/>
                  <w:tcBorders>
                    <w:tl2br w:val="nil"/>
                    <w:tr2bl w:val="nil"/>
                  </w:tcBorders>
                  <w:shd w:val="clear" w:color="auto" w:fill="auto"/>
                  <w:vAlign w:val="center"/>
                </w:tcPr>
                <w:p w14:paraId="05012B12">
                  <w:pPr>
                    <w:pStyle w:val="26"/>
                    <w:keepNext w:val="0"/>
                    <w:keepLines w:val="0"/>
                    <w:suppressLineNumbers w:val="0"/>
                    <w:spacing w:before="0" w:beforeAutospacing="0" w:after="0" w:afterAutospacing="0"/>
                    <w:ind w:left="0" w:right="0"/>
                    <w:rPr>
                      <w:rFonts w:hint="default"/>
                    </w:rPr>
                  </w:pPr>
                  <w:r>
                    <w:rPr>
                      <w:rFonts w:hint="default"/>
                    </w:rPr>
                    <w:t>设备维修</w:t>
                  </w:r>
                </w:p>
              </w:tc>
              <w:tc>
                <w:tcPr>
                  <w:tcW w:w="272" w:type="pct"/>
                  <w:tcBorders>
                    <w:tl2br w:val="nil"/>
                    <w:tr2bl w:val="nil"/>
                  </w:tcBorders>
                  <w:shd w:val="clear" w:color="auto" w:fill="auto"/>
                  <w:vAlign w:val="center"/>
                </w:tcPr>
                <w:p w14:paraId="49C51929">
                  <w:pPr>
                    <w:pStyle w:val="26"/>
                    <w:keepNext w:val="0"/>
                    <w:keepLines w:val="0"/>
                    <w:suppressLineNumbers w:val="0"/>
                    <w:spacing w:before="0" w:beforeAutospacing="0" w:after="0" w:afterAutospacing="0"/>
                    <w:ind w:left="0" w:right="0"/>
                    <w:rPr>
                      <w:rFonts w:hint="default"/>
                    </w:rPr>
                  </w:pPr>
                  <w:r>
                    <w:rPr>
                      <w:rFonts w:hint="default"/>
                    </w:rPr>
                    <w:t>固态</w:t>
                  </w:r>
                </w:p>
              </w:tc>
              <w:tc>
                <w:tcPr>
                  <w:tcW w:w="441" w:type="pct"/>
                  <w:vMerge w:val="continue"/>
                  <w:tcBorders>
                    <w:tl2br w:val="nil"/>
                    <w:tr2bl w:val="nil"/>
                  </w:tcBorders>
                  <w:shd w:val="clear" w:color="auto" w:fill="auto"/>
                  <w:vAlign w:val="center"/>
                </w:tcPr>
                <w:p w14:paraId="2FA6B42D">
                  <w:pPr>
                    <w:pStyle w:val="26"/>
                    <w:keepNext w:val="0"/>
                    <w:keepLines w:val="0"/>
                    <w:suppressLineNumbers w:val="0"/>
                    <w:spacing w:before="0" w:beforeAutospacing="0" w:after="0" w:afterAutospacing="0"/>
                    <w:ind w:left="0" w:right="0"/>
                    <w:rPr>
                      <w:rFonts w:hint="default"/>
                    </w:rPr>
                  </w:pPr>
                </w:p>
              </w:tc>
              <w:tc>
                <w:tcPr>
                  <w:tcW w:w="419" w:type="pct"/>
                  <w:vMerge w:val="continue"/>
                  <w:tcBorders>
                    <w:tl2br w:val="nil"/>
                    <w:tr2bl w:val="nil"/>
                  </w:tcBorders>
                  <w:shd w:val="clear" w:color="auto" w:fill="auto"/>
                  <w:vAlign w:val="center"/>
                </w:tcPr>
                <w:p w14:paraId="4DF92394">
                  <w:pPr>
                    <w:pStyle w:val="26"/>
                    <w:keepNext w:val="0"/>
                    <w:keepLines w:val="0"/>
                    <w:suppressLineNumbers w:val="0"/>
                    <w:spacing w:before="0" w:beforeAutospacing="0" w:after="0" w:afterAutospacing="0"/>
                    <w:ind w:left="0" w:right="0"/>
                    <w:rPr>
                      <w:rFonts w:hint="default"/>
                    </w:rPr>
                  </w:pPr>
                </w:p>
              </w:tc>
              <w:tc>
                <w:tcPr>
                  <w:tcW w:w="420" w:type="pct"/>
                  <w:tcBorders>
                    <w:tl2br w:val="nil"/>
                    <w:tr2bl w:val="nil"/>
                  </w:tcBorders>
                  <w:shd w:val="clear" w:color="auto" w:fill="auto"/>
                  <w:vAlign w:val="center"/>
                </w:tcPr>
                <w:p w14:paraId="25E9E952">
                  <w:pPr>
                    <w:pStyle w:val="26"/>
                    <w:keepNext w:val="0"/>
                    <w:keepLines w:val="0"/>
                    <w:suppressLineNumbers w:val="0"/>
                    <w:spacing w:before="0" w:beforeAutospacing="0" w:after="0" w:afterAutospacing="0"/>
                    <w:ind w:left="0" w:right="0"/>
                    <w:rPr>
                      <w:rFonts w:hint="default"/>
                    </w:rPr>
                  </w:pPr>
                  <w:r>
                    <w:rPr>
                      <w:rFonts w:hint="default"/>
                    </w:rPr>
                    <w:t>季度</w:t>
                  </w:r>
                </w:p>
              </w:tc>
              <w:tc>
                <w:tcPr>
                  <w:tcW w:w="381" w:type="pct"/>
                  <w:tcBorders>
                    <w:tl2br w:val="nil"/>
                    <w:tr2bl w:val="nil"/>
                  </w:tcBorders>
                  <w:shd w:val="clear" w:color="auto" w:fill="auto"/>
                  <w:vAlign w:val="center"/>
                </w:tcPr>
                <w:p w14:paraId="1D02B63D">
                  <w:pPr>
                    <w:pStyle w:val="26"/>
                    <w:keepNext w:val="0"/>
                    <w:keepLines w:val="0"/>
                    <w:suppressLineNumbers w:val="0"/>
                    <w:spacing w:before="0" w:beforeAutospacing="0" w:after="0" w:afterAutospacing="0"/>
                    <w:ind w:left="0" w:right="0"/>
                    <w:rPr>
                      <w:rFonts w:hint="default"/>
                    </w:rPr>
                  </w:pPr>
                  <w:r>
                    <w:rPr>
                      <w:rFonts w:hint="default"/>
                    </w:rPr>
                    <w:t>T，I</w:t>
                  </w:r>
                </w:p>
              </w:tc>
              <w:tc>
                <w:tcPr>
                  <w:tcW w:w="493" w:type="pct"/>
                  <w:vMerge w:val="continue"/>
                  <w:tcBorders>
                    <w:tl2br w:val="nil"/>
                    <w:tr2bl w:val="nil"/>
                  </w:tcBorders>
                  <w:shd w:val="clear" w:color="auto" w:fill="auto"/>
                  <w:vAlign w:val="center"/>
                </w:tcPr>
                <w:p w14:paraId="440BD4B6">
                  <w:pPr>
                    <w:pStyle w:val="26"/>
                    <w:keepNext w:val="0"/>
                    <w:keepLines w:val="0"/>
                    <w:suppressLineNumbers w:val="0"/>
                    <w:spacing w:before="0" w:beforeAutospacing="0" w:after="0" w:afterAutospacing="0"/>
                    <w:ind w:left="0" w:right="0"/>
                    <w:rPr>
                      <w:rFonts w:hint="default"/>
                    </w:rPr>
                  </w:pPr>
                </w:p>
              </w:tc>
            </w:tr>
            <w:tr w14:paraId="4E189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5" w:type="pct"/>
                  <w:tcBorders>
                    <w:tl2br w:val="nil"/>
                    <w:tr2bl w:val="nil"/>
                  </w:tcBorders>
                  <w:shd w:val="clear" w:color="auto" w:fill="auto"/>
                  <w:vAlign w:val="center"/>
                </w:tcPr>
                <w:p w14:paraId="73C93889">
                  <w:pPr>
                    <w:pStyle w:val="26"/>
                    <w:keepNext w:val="0"/>
                    <w:keepLines w:val="0"/>
                    <w:suppressLineNumbers w:val="0"/>
                    <w:spacing w:before="0" w:beforeAutospacing="0" w:after="0" w:afterAutospacing="0"/>
                    <w:ind w:left="0" w:right="0"/>
                    <w:rPr>
                      <w:rFonts w:hint="default"/>
                    </w:rPr>
                  </w:pPr>
                  <w:r>
                    <w:rPr>
                      <w:rFonts w:hint="default"/>
                    </w:rPr>
                    <w:t>清罐废物</w:t>
                  </w:r>
                </w:p>
              </w:tc>
              <w:tc>
                <w:tcPr>
                  <w:tcW w:w="489" w:type="pct"/>
                  <w:tcBorders>
                    <w:tl2br w:val="nil"/>
                    <w:tr2bl w:val="nil"/>
                  </w:tcBorders>
                  <w:shd w:val="clear" w:color="auto" w:fill="auto"/>
                  <w:vAlign w:val="center"/>
                </w:tcPr>
                <w:p w14:paraId="358A93D1">
                  <w:pPr>
                    <w:pStyle w:val="26"/>
                    <w:keepNext w:val="0"/>
                    <w:keepLines w:val="0"/>
                    <w:suppressLineNumbers w:val="0"/>
                    <w:spacing w:before="0" w:beforeAutospacing="0" w:after="0" w:afterAutospacing="0"/>
                    <w:ind w:left="0" w:right="0"/>
                    <w:rPr>
                      <w:rFonts w:hint="default"/>
                    </w:rPr>
                  </w:pPr>
                  <w:r>
                    <w:rPr>
                      <w:rFonts w:hint="default"/>
                    </w:rPr>
                    <w:t>HW08</w:t>
                  </w:r>
                </w:p>
              </w:tc>
              <w:tc>
                <w:tcPr>
                  <w:tcW w:w="746" w:type="pct"/>
                  <w:tcBorders>
                    <w:tl2br w:val="nil"/>
                    <w:tr2bl w:val="nil"/>
                  </w:tcBorders>
                  <w:shd w:val="clear" w:color="auto" w:fill="auto"/>
                  <w:vAlign w:val="center"/>
                </w:tcPr>
                <w:p w14:paraId="67F07326">
                  <w:pPr>
                    <w:pStyle w:val="26"/>
                    <w:keepNext w:val="0"/>
                    <w:keepLines w:val="0"/>
                    <w:suppressLineNumbers w:val="0"/>
                    <w:spacing w:before="0" w:beforeAutospacing="0" w:after="0" w:afterAutospacing="0"/>
                    <w:ind w:left="0" w:right="0"/>
                    <w:rPr>
                      <w:rFonts w:hint="default"/>
                    </w:rPr>
                  </w:pPr>
                  <w:r>
                    <w:rPr>
                      <w:rFonts w:hint="default"/>
                    </w:rPr>
                    <w:t>900-221-08</w:t>
                  </w:r>
                </w:p>
              </w:tc>
              <w:tc>
                <w:tcPr>
                  <w:tcW w:w="425" w:type="pct"/>
                  <w:tcBorders>
                    <w:tl2br w:val="nil"/>
                    <w:tr2bl w:val="nil"/>
                  </w:tcBorders>
                  <w:shd w:val="clear" w:color="auto" w:fill="auto"/>
                  <w:vAlign w:val="center"/>
                </w:tcPr>
                <w:p w14:paraId="6B851C4A">
                  <w:pPr>
                    <w:pStyle w:val="26"/>
                    <w:keepNext w:val="0"/>
                    <w:keepLines w:val="0"/>
                    <w:suppressLineNumbers w:val="0"/>
                    <w:spacing w:before="0" w:beforeAutospacing="0" w:after="0" w:afterAutospacing="0"/>
                    <w:ind w:left="0" w:right="0"/>
                    <w:rPr>
                      <w:rFonts w:hint="default"/>
                    </w:rPr>
                  </w:pPr>
                  <w:r>
                    <w:rPr>
                      <w:rFonts w:hint="default"/>
                    </w:rPr>
                    <w:t>0.016</w:t>
                  </w:r>
                </w:p>
              </w:tc>
              <w:tc>
                <w:tcPr>
                  <w:tcW w:w="489" w:type="pct"/>
                  <w:tcBorders>
                    <w:tl2br w:val="nil"/>
                    <w:tr2bl w:val="nil"/>
                  </w:tcBorders>
                  <w:shd w:val="clear" w:color="auto" w:fill="auto"/>
                  <w:vAlign w:val="center"/>
                </w:tcPr>
                <w:p w14:paraId="13CDC4AA">
                  <w:pPr>
                    <w:pStyle w:val="26"/>
                    <w:keepNext w:val="0"/>
                    <w:keepLines w:val="0"/>
                    <w:suppressLineNumbers w:val="0"/>
                    <w:spacing w:before="0" w:beforeAutospacing="0" w:after="0" w:afterAutospacing="0"/>
                    <w:ind w:left="0" w:right="0"/>
                    <w:rPr>
                      <w:rFonts w:hint="default"/>
                    </w:rPr>
                  </w:pPr>
                  <w:r>
                    <w:rPr>
                      <w:rFonts w:hint="default"/>
                    </w:rPr>
                    <w:t>清罐</w:t>
                  </w:r>
                </w:p>
              </w:tc>
              <w:tc>
                <w:tcPr>
                  <w:tcW w:w="272" w:type="pct"/>
                  <w:tcBorders>
                    <w:tl2br w:val="nil"/>
                    <w:tr2bl w:val="nil"/>
                  </w:tcBorders>
                  <w:shd w:val="clear" w:color="auto" w:fill="auto"/>
                  <w:vAlign w:val="center"/>
                </w:tcPr>
                <w:p w14:paraId="619B1437">
                  <w:pPr>
                    <w:pStyle w:val="26"/>
                    <w:keepNext w:val="0"/>
                    <w:keepLines w:val="0"/>
                    <w:suppressLineNumbers w:val="0"/>
                    <w:spacing w:before="0" w:beforeAutospacing="0" w:after="0" w:afterAutospacing="0"/>
                    <w:ind w:left="0" w:right="0"/>
                    <w:rPr>
                      <w:rFonts w:hint="default"/>
                    </w:rPr>
                  </w:pPr>
                  <w:r>
                    <w:rPr>
                      <w:rFonts w:hint="default"/>
                    </w:rPr>
                    <w:t>固态</w:t>
                  </w:r>
                </w:p>
              </w:tc>
              <w:tc>
                <w:tcPr>
                  <w:tcW w:w="441" w:type="pct"/>
                  <w:tcBorders>
                    <w:tl2br w:val="nil"/>
                    <w:tr2bl w:val="nil"/>
                  </w:tcBorders>
                  <w:shd w:val="clear" w:color="auto" w:fill="auto"/>
                  <w:vAlign w:val="center"/>
                </w:tcPr>
                <w:p w14:paraId="4567BD11">
                  <w:pPr>
                    <w:pStyle w:val="26"/>
                    <w:keepNext w:val="0"/>
                    <w:keepLines w:val="0"/>
                    <w:suppressLineNumbers w:val="0"/>
                    <w:spacing w:before="0" w:beforeAutospacing="0" w:after="0" w:afterAutospacing="0"/>
                    <w:ind w:left="0" w:right="0"/>
                    <w:rPr>
                      <w:rFonts w:hint="default"/>
                    </w:rPr>
                  </w:pPr>
                  <w:r>
                    <w:rPr>
                      <w:rFonts w:hint="default"/>
                    </w:rPr>
                    <w:t>罐底污泥</w:t>
                  </w:r>
                </w:p>
              </w:tc>
              <w:tc>
                <w:tcPr>
                  <w:tcW w:w="419" w:type="pct"/>
                  <w:tcBorders>
                    <w:tl2br w:val="nil"/>
                    <w:tr2bl w:val="nil"/>
                  </w:tcBorders>
                  <w:shd w:val="clear" w:color="auto" w:fill="auto"/>
                  <w:vAlign w:val="center"/>
                </w:tcPr>
                <w:p w14:paraId="3D4B2292">
                  <w:pPr>
                    <w:pStyle w:val="26"/>
                    <w:keepNext w:val="0"/>
                    <w:keepLines w:val="0"/>
                    <w:suppressLineNumbers w:val="0"/>
                    <w:spacing w:before="0" w:beforeAutospacing="0" w:after="0" w:afterAutospacing="0"/>
                    <w:ind w:left="0" w:right="0"/>
                    <w:rPr>
                      <w:rFonts w:hint="default"/>
                    </w:rPr>
                  </w:pPr>
                  <w:r>
                    <w:rPr>
                      <w:rFonts w:hint="default"/>
                    </w:rPr>
                    <w:t>罐底污泥</w:t>
                  </w:r>
                </w:p>
              </w:tc>
              <w:tc>
                <w:tcPr>
                  <w:tcW w:w="420" w:type="pct"/>
                  <w:tcBorders>
                    <w:tl2br w:val="nil"/>
                    <w:tr2bl w:val="nil"/>
                  </w:tcBorders>
                  <w:shd w:val="clear" w:color="auto" w:fill="auto"/>
                  <w:vAlign w:val="center"/>
                </w:tcPr>
                <w:p w14:paraId="58940ABD">
                  <w:pPr>
                    <w:pStyle w:val="26"/>
                    <w:keepNext w:val="0"/>
                    <w:keepLines w:val="0"/>
                    <w:suppressLineNumbers w:val="0"/>
                    <w:spacing w:before="0" w:beforeAutospacing="0" w:after="0" w:afterAutospacing="0"/>
                    <w:ind w:left="0" w:right="0"/>
                    <w:rPr>
                      <w:rFonts w:hint="default"/>
                    </w:rPr>
                  </w:pPr>
                  <w:r>
                    <w:rPr>
                      <w:rFonts w:hint="default"/>
                    </w:rPr>
                    <w:t>季度</w:t>
                  </w:r>
                </w:p>
              </w:tc>
              <w:tc>
                <w:tcPr>
                  <w:tcW w:w="381" w:type="pct"/>
                  <w:tcBorders>
                    <w:tl2br w:val="nil"/>
                    <w:tr2bl w:val="nil"/>
                  </w:tcBorders>
                  <w:shd w:val="clear" w:color="auto" w:fill="auto"/>
                  <w:vAlign w:val="center"/>
                </w:tcPr>
                <w:p w14:paraId="3C83AD6C">
                  <w:pPr>
                    <w:pStyle w:val="26"/>
                    <w:keepNext w:val="0"/>
                    <w:keepLines w:val="0"/>
                    <w:suppressLineNumbers w:val="0"/>
                    <w:spacing w:before="0" w:beforeAutospacing="0" w:after="0" w:afterAutospacing="0"/>
                    <w:ind w:left="0" w:right="0"/>
                    <w:rPr>
                      <w:rFonts w:hint="default"/>
                    </w:rPr>
                  </w:pPr>
                  <w:r>
                    <w:rPr>
                      <w:rFonts w:hint="default"/>
                    </w:rPr>
                    <w:t>T，I</w:t>
                  </w:r>
                </w:p>
              </w:tc>
              <w:tc>
                <w:tcPr>
                  <w:tcW w:w="493" w:type="pct"/>
                  <w:vMerge w:val="continue"/>
                  <w:tcBorders>
                    <w:tl2br w:val="nil"/>
                    <w:tr2bl w:val="nil"/>
                  </w:tcBorders>
                  <w:shd w:val="clear" w:color="auto" w:fill="auto"/>
                  <w:vAlign w:val="center"/>
                </w:tcPr>
                <w:p w14:paraId="77E5FD7F">
                  <w:pPr>
                    <w:pStyle w:val="26"/>
                    <w:keepNext w:val="0"/>
                    <w:keepLines w:val="0"/>
                    <w:suppressLineNumbers w:val="0"/>
                    <w:spacing w:before="0" w:beforeAutospacing="0" w:after="0" w:afterAutospacing="0"/>
                    <w:ind w:left="0" w:right="0"/>
                    <w:rPr>
                      <w:rFonts w:hint="default"/>
                    </w:rPr>
                  </w:pPr>
                </w:p>
              </w:tc>
            </w:tr>
          </w:tbl>
          <w:p w14:paraId="18C5FBB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根据《建设项目危险废物环境影响评价指南》对危险废物贮存场所基本情况，详见下表：</w:t>
            </w:r>
          </w:p>
          <w:p w14:paraId="7A92248E">
            <w:pPr>
              <w:pStyle w:val="33"/>
              <w:keepNext w:val="0"/>
              <w:keepLines w:val="0"/>
              <w:suppressLineNumbers w:val="0"/>
              <w:spacing w:before="0" w:beforeAutospacing="0" w:after="0" w:afterAutospacing="0"/>
              <w:ind w:left="0" w:right="0"/>
              <w:rPr>
                <w:rFonts w:hint="default" w:cs="Times New Roman"/>
              </w:rPr>
            </w:pPr>
            <w:r>
              <w:rPr>
                <w:rFonts w:hint="default" w:cs="Times New Roman"/>
              </w:rPr>
              <w:t>危险废物贮存场所（设施）基本情况表</w:t>
            </w:r>
          </w:p>
          <w:tbl>
            <w:tblPr>
              <w:tblStyle w:val="18"/>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8"/>
              <w:gridCol w:w="1585"/>
              <w:gridCol w:w="975"/>
              <w:gridCol w:w="1070"/>
              <w:gridCol w:w="608"/>
              <w:gridCol w:w="883"/>
              <w:gridCol w:w="608"/>
              <w:gridCol w:w="608"/>
              <w:gridCol w:w="608"/>
            </w:tblGrid>
            <w:tr w14:paraId="0D944F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0" w:hRule="atLeast"/>
              </w:trPr>
              <w:tc>
                <w:tcPr>
                  <w:tcW w:w="463" w:type="pct"/>
                  <w:vMerge w:val="restart"/>
                  <w:tcBorders>
                    <w:tl2br w:val="nil"/>
                    <w:tr2bl w:val="nil"/>
                  </w:tcBorders>
                  <w:shd w:val="clear" w:color="auto" w:fill="auto"/>
                  <w:vAlign w:val="center"/>
                </w:tcPr>
                <w:p w14:paraId="4AD7A199">
                  <w:pPr>
                    <w:pStyle w:val="26"/>
                    <w:keepNext w:val="0"/>
                    <w:keepLines w:val="0"/>
                    <w:suppressLineNumbers w:val="0"/>
                    <w:spacing w:before="0" w:beforeAutospacing="0" w:after="0" w:afterAutospacing="0"/>
                    <w:ind w:left="0" w:right="0"/>
                    <w:rPr>
                      <w:rFonts w:hint="default"/>
                    </w:rPr>
                  </w:pPr>
                  <w:r>
                    <w:rPr>
                      <w:rFonts w:hint="default"/>
                    </w:rPr>
                    <w:t>贮存场所</w:t>
                  </w:r>
                </w:p>
              </w:tc>
              <w:tc>
                <w:tcPr>
                  <w:tcW w:w="1035" w:type="pct"/>
                  <w:vMerge w:val="restart"/>
                  <w:tcBorders>
                    <w:tl2br w:val="nil"/>
                    <w:tr2bl w:val="nil"/>
                  </w:tcBorders>
                  <w:shd w:val="clear" w:color="auto" w:fill="auto"/>
                  <w:vAlign w:val="center"/>
                </w:tcPr>
                <w:p w14:paraId="2E12AD75">
                  <w:pPr>
                    <w:pStyle w:val="26"/>
                    <w:keepNext w:val="0"/>
                    <w:keepLines w:val="0"/>
                    <w:suppressLineNumbers w:val="0"/>
                    <w:spacing w:before="0" w:beforeAutospacing="0" w:after="0" w:afterAutospacing="0"/>
                    <w:ind w:left="0" w:right="0"/>
                    <w:rPr>
                      <w:rFonts w:hint="default"/>
                    </w:rPr>
                  </w:pPr>
                  <w:r>
                    <w:rPr>
                      <w:rFonts w:hint="default"/>
                    </w:rPr>
                    <w:t>名称</w:t>
                  </w:r>
                </w:p>
              </w:tc>
              <w:tc>
                <w:tcPr>
                  <w:tcW w:w="637" w:type="pct"/>
                  <w:vMerge w:val="restart"/>
                  <w:tcBorders>
                    <w:tl2br w:val="nil"/>
                    <w:tr2bl w:val="nil"/>
                  </w:tcBorders>
                  <w:shd w:val="clear" w:color="auto" w:fill="auto"/>
                  <w:vAlign w:val="center"/>
                </w:tcPr>
                <w:p w14:paraId="3DB122FF">
                  <w:pPr>
                    <w:pStyle w:val="26"/>
                    <w:keepNext w:val="0"/>
                    <w:keepLines w:val="0"/>
                    <w:suppressLineNumbers w:val="0"/>
                    <w:spacing w:before="0" w:beforeAutospacing="0" w:after="0" w:afterAutospacing="0"/>
                    <w:ind w:left="0" w:right="0"/>
                    <w:rPr>
                      <w:rFonts w:hint="default"/>
                    </w:rPr>
                  </w:pPr>
                  <w:r>
                    <w:rPr>
                      <w:rFonts w:hint="default"/>
                    </w:rPr>
                    <w:t>危废类别</w:t>
                  </w:r>
                </w:p>
              </w:tc>
              <w:tc>
                <w:tcPr>
                  <w:tcW w:w="699" w:type="pct"/>
                  <w:vMerge w:val="restart"/>
                  <w:tcBorders>
                    <w:tl2br w:val="nil"/>
                    <w:tr2bl w:val="nil"/>
                  </w:tcBorders>
                  <w:shd w:val="clear" w:color="auto" w:fill="auto"/>
                  <w:vAlign w:val="center"/>
                </w:tcPr>
                <w:p w14:paraId="448FF469">
                  <w:pPr>
                    <w:pStyle w:val="26"/>
                    <w:keepNext w:val="0"/>
                    <w:keepLines w:val="0"/>
                    <w:suppressLineNumbers w:val="0"/>
                    <w:spacing w:before="0" w:beforeAutospacing="0" w:after="0" w:afterAutospacing="0"/>
                    <w:ind w:left="0" w:right="0"/>
                    <w:rPr>
                      <w:rFonts w:hint="default"/>
                    </w:rPr>
                  </w:pPr>
                  <w:r>
                    <w:rPr>
                      <w:rFonts w:hint="default"/>
                    </w:rPr>
                    <w:t>危废代码</w:t>
                  </w:r>
                </w:p>
              </w:tc>
              <w:tc>
                <w:tcPr>
                  <w:tcW w:w="397" w:type="pct"/>
                  <w:vMerge w:val="restart"/>
                  <w:tcBorders>
                    <w:tl2br w:val="nil"/>
                    <w:tr2bl w:val="nil"/>
                  </w:tcBorders>
                  <w:shd w:val="clear" w:color="auto" w:fill="auto"/>
                  <w:vAlign w:val="center"/>
                </w:tcPr>
                <w:p w14:paraId="0C8A48AE">
                  <w:pPr>
                    <w:pStyle w:val="26"/>
                    <w:keepNext w:val="0"/>
                    <w:keepLines w:val="0"/>
                    <w:suppressLineNumbers w:val="0"/>
                    <w:spacing w:before="0" w:beforeAutospacing="0" w:after="0" w:afterAutospacing="0"/>
                    <w:ind w:left="0" w:right="0"/>
                    <w:rPr>
                      <w:rFonts w:hint="default"/>
                    </w:rPr>
                  </w:pPr>
                  <w:r>
                    <w:rPr>
                      <w:rFonts w:hint="default"/>
                    </w:rPr>
                    <w:t>位置</w:t>
                  </w:r>
                </w:p>
              </w:tc>
              <w:tc>
                <w:tcPr>
                  <w:tcW w:w="577" w:type="pct"/>
                  <w:vMerge w:val="restart"/>
                  <w:tcBorders>
                    <w:tl2br w:val="nil"/>
                    <w:tr2bl w:val="nil"/>
                  </w:tcBorders>
                  <w:shd w:val="clear" w:color="auto" w:fill="auto"/>
                  <w:vAlign w:val="center"/>
                </w:tcPr>
                <w:p w14:paraId="1410A304">
                  <w:pPr>
                    <w:pStyle w:val="26"/>
                    <w:keepNext w:val="0"/>
                    <w:keepLines w:val="0"/>
                    <w:suppressLineNumbers w:val="0"/>
                    <w:spacing w:before="0" w:beforeAutospacing="0" w:after="0" w:afterAutospacing="0"/>
                    <w:ind w:left="0" w:right="0"/>
                    <w:rPr>
                      <w:rFonts w:hint="default"/>
                    </w:rPr>
                  </w:pPr>
                  <w:r>
                    <w:rPr>
                      <w:rFonts w:hint="default"/>
                    </w:rPr>
                    <w:t>占地面积</w:t>
                  </w:r>
                </w:p>
              </w:tc>
              <w:tc>
                <w:tcPr>
                  <w:tcW w:w="397" w:type="pct"/>
                  <w:vMerge w:val="restart"/>
                  <w:tcBorders>
                    <w:tl2br w:val="nil"/>
                    <w:tr2bl w:val="nil"/>
                  </w:tcBorders>
                  <w:shd w:val="clear" w:color="auto" w:fill="auto"/>
                  <w:vAlign w:val="center"/>
                </w:tcPr>
                <w:p w14:paraId="1401FF5E">
                  <w:pPr>
                    <w:pStyle w:val="26"/>
                    <w:keepNext w:val="0"/>
                    <w:keepLines w:val="0"/>
                    <w:suppressLineNumbers w:val="0"/>
                    <w:spacing w:before="0" w:beforeAutospacing="0" w:after="0" w:afterAutospacing="0"/>
                    <w:ind w:left="0" w:right="0"/>
                    <w:rPr>
                      <w:rFonts w:hint="default"/>
                    </w:rPr>
                  </w:pPr>
                  <w:r>
                    <w:rPr>
                      <w:rFonts w:hint="default"/>
                    </w:rPr>
                    <w:t>贮存方式</w:t>
                  </w:r>
                </w:p>
              </w:tc>
              <w:tc>
                <w:tcPr>
                  <w:tcW w:w="397" w:type="pct"/>
                  <w:vMerge w:val="restart"/>
                  <w:tcBorders>
                    <w:tl2br w:val="nil"/>
                    <w:tr2bl w:val="nil"/>
                  </w:tcBorders>
                  <w:shd w:val="clear" w:color="auto" w:fill="auto"/>
                  <w:vAlign w:val="center"/>
                </w:tcPr>
                <w:p w14:paraId="773975FB">
                  <w:pPr>
                    <w:pStyle w:val="26"/>
                    <w:keepNext w:val="0"/>
                    <w:keepLines w:val="0"/>
                    <w:suppressLineNumbers w:val="0"/>
                    <w:spacing w:before="0" w:beforeAutospacing="0" w:after="0" w:afterAutospacing="0"/>
                    <w:ind w:left="0" w:right="0"/>
                    <w:rPr>
                      <w:rFonts w:hint="default"/>
                    </w:rPr>
                  </w:pPr>
                  <w:r>
                    <w:rPr>
                      <w:rFonts w:hint="default"/>
                    </w:rPr>
                    <w:t>贮存能力</w:t>
                  </w:r>
                </w:p>
              </w:tc>
              <w:tc>
                <w:tcPr>
                  <w:tcW w:w="397" w:type="pct"/>
                  <w:vMerge w:val="restart"/>
                  <w:tcBorders>
                    <w:tl2br w:val="nil"/>
                    <w:tr2bl w:val="nil"/>
                  </w:tcBorders>
                  <w:shd w:val="clear" w:color="auto" w:fill="auto"/>
                  <w:vAlign w:val="center"/>
                </w:tcPr>
                <w:p w14:paraId="0DF7298E">
                  <w:pPr>
                    <w:pStyle w:val="26"/>
                    <w:keepNext w:val="0"/>
                    <w:keepLines w:val="0"/>
                    <w:suppressLineNumbers w:val="0"/>
                    <w:spacing w:before="0" w:beforeAutospacing="0" w:after="0" w:afterAutospacing="0"/>
                    <w:ind w:left="0" w:right="0"/>
                    <w:rPr>
                      <w:rFonts w:hint="default"/>
                    </w:rPr>
                  </w:pPr>
                  <w:r>
                    <w:rPr>
                      <w:rFonts w:hint="default"/>
                    </w:rPr>
                    <w:t>贮存周期</w:t>
                  </w:r>
                </w:p>
              </w:tc>
            </w:tr>
            <w:tr w14:paraId="092F0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463" w:type="pct"/>
                  <w:vMerge w:val="continue"/>
                  <w:tcBorders>
                    <w:tl2br w:val="nil"/>
                    <w:tr2bl w:val="nil"/>
                  </w:tcBorders>
                  <w:shd w:val="clear" w:color="auto" w:fill="auto"/>
                  <w:vAlign w:val="center"/>
                </w:tcPr>
                <w:p w14:paraId="101A4D3F">
                  <w:pPr>
                    <w:pStyle w:val="26"/>
                    <w:keepNext w:val="0"/>
                    <w:keepLines w:val="0"/>
                    <w:suppressLineNumbers w:val="0"/>
                    <w:spacing w:before="0" w:beforeAutospacing="0" w:after="0" w:afterAutospacing="0"/>
                    <w:ind w:left="0" w:right="0"/>
                    <w:rPr>
                      <w:rFonts w:hint="default"/>
                    </w:rPr>
                  </w:pPr>
                </w:p>
              </w:tc>
              <w:tc>
                <w:tcPr>
                  <w:tcW w:w="1035" w:type="pct"/>
                  <w:vMerge w:val="continue"/>
                  <w:tcBorders>
                    <w:tl2br w:val="nil"/>
                    <w:tr2bl w:val="nil"/>
                  </w:tcBorders>
                  <w:shd w:val="clear" w:color="auto" w:fill="auto"/>
                  <w:vAlign w:val="center"/>
                </w:tcPr>
                <w:p w14:paraId="15685F5E">
                  <w:pPr>
                    <w:pStyle w:val="26"/>
                    <w:keepNext w:val="0"/>
                    <w:keepLines w:val="0"/>
                    <w:suppressLineNumbers w:val="0"/>
                    <w:spacing w:before="0" w:beforeAutospacing="0" w:after="0" w:afterAutospacing="0"/>
                    <w:ind w:left="0" w:right="0"/>
                    <w:rPr>
                      <w:rFonts w:hint="default"/>
                    </w:rPr>
                  </w:pPr>
                </w:p>
              </w:tc>
              <w:tc>
                <w:tcPr>
                  <w:tcW w:w="637" w:type="pct"/>
                  <w:vMerge w:val="continue"/>
                  <w:tcBorders>
                    <w:tl2br w:val="nil"/>
                    <w:tr2bl w:val="nil"/>
                  </w:tcBorders>
                  <w:shd w:val="clear" w:color="auto" w:fill="auto"/>
                  <w:vAlign w:val="center"/>
                </w:tcPr>
                <w:p w14:paraId="72670D96">
                  <w:pPr>
                    <w:pStyle w:val="26"/>
                    <w:keepNext w:val="0"/>
                    <w:keepLines w:val="0"/>
                    <w:suppressLineNumbers w:val="0"/>
                    <w:spacing w:before="0" w:beforeAutospacing="0" w:after="0" w:afterAutospacing="0"/>
                    <w:ind w:left="0" w:right="0"/>
                    <w:rPr>
                      <w:rFonts w:hint="default"/>
                    </w:rPr>
                  </w:pPr>
                </w:p>
              </w:tc>
              <w:tc>
                <w:tcPr>
                  <w:tcW w:w="699" w:type="pct"/>
                  <w:vMerge w:val="continue"/>
                  <w:tcBorders>
                    <w:tl2br w:val="nil"/>
                    <w:tr2bl w:val="nil"/>
                  </w:tcBorders>
                  <w:shd w:val="clear" w:color="auto" w:fill="auto"/>
                  <w:vAlign w:val="center"/>
                </w:tcPr>
                <w:p w14:paraId="1888F3BB">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7FFDBC41">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5C8AEF67">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43BF7AB3">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2F09BA59">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382118BA">
                  <w:pPr>
                    <w:pStyle w:val="26"/>
                    <w:keepNext w:val="0"/>
                    <w:keepLines w:val="0"/>
                    <w:suppressLineNumbers w:val="0"/>
                    <w:spacing w:before="0" w:beforeAutospacing="0" w:after="0" w:afterAutospacing="0"/>
                    <w:ind w:left="0" w:right="0"/>
                    <w:rPr>
                      <w:rFonts w:hint="default"/>
                    </w:rPr>
                  </w:pPr>
                </w:p>
              </w:tc>
            </w:tr>
            <w:tr w14:paraId="47C698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vMerge w:val="restart"/>
                  <w:tcBorders>
                    <w:tl2br w:val="nil"/>
                    <w:tr2bl w:val="nil"/>
                  </w:tcBorders>
                  <w:shd w:val="clear" w:color="auto" w:fill="auto"/>
                  <w:vAlign w:val="center"/>
                </w:tcPr>
                <w:p w14:paraId="15FC20F1">
                  <w:pPr>
                    <w:pStyle w:val="26"/>
                    <w:keepNext w:val="0"/>
                    <w:keepLines w:val="0"/>
                    <w:suppressLineNumbers w:val="0"/>
                    <w:spacing w:before="0" w:beforeAutospacing="0" w:after="0" w:afterAutospacing="0"/>
                    <w:ind w:left="0" w:right="0"/>
                    <w:rPr>
                      <w:rFonts w:hint="default"/>
                    </w:rPr>
                  </w:pPr>
                  <w:r>
                    <w:rPr>
                      <w:rFonts w:hint="default"/>
                    </w:rPr>
                    <w:t>危废暂存间</w:t>
                  </w:r>
                </w:p>
              </w:tc>
              <w:tc>
                <w:tcPr>
                  <w:tcW w:w="1035" w:type="pct"/>
                  <w:tcBorders>
                    <w:tl2br w:val="nil"/>
                    <w:tr2bl w:val="nil"/>
                  </w:tcBorders>
                  <w:shd w:val="clear" w:color="auto" w:fill="auto"/>
                  <w:vAlign w:val="center"/>
                </w:tcPr>
                <w:p w14:paraId="3B672597">
                  <w:pPr>
                    <w:pStyle w:val="26"/>
                    <w:keepNext w:val="0"/>
                    <w:keepLines w:val="0"/>
                    <w:suppressLineNumbers w:val="0"/>
                    <w:spacing w:before="0" w:beforeAutospacing="0" w:after="0" w:afterAutospacing="0"/>
                    <w:ind w:left="0" w:right="0"/>
                    <w:rPr>
                      <w:rFonts w:hint="default"/>
                    </w:rPr>
                  </w:pPr>
                  <w:r>
                    <w:rPr>
                      <w:rFonts w:hint="default"/>
                    </w:rPr>
                    <w:t>水膜除尘液</w:t>
                  </w:r>
                </w:p>
              </w:tc>
              <w:tc>
                <w:tcPr>
                  <w:tcW w:w="637" w:type="pct"/>
                  <w:tcBorders>
                    <w:tl2br w:val="nil"/>
                    <w:tr2bl w:val="nil"/>
                  </w:tcBorders>
                  <w:shd w:val="clear" w:color="auto" w:fill="auto"/>
                  <w:vAlign w:val="center"/>
                </w:tcPr>
                <w:p w14:paraId="7DF8A8DE">
                  <w:pPr>
                    <w:pStyle w:val="26"/>
                    <w:keepNext w:val="0"/>
                    <w:keepLines w:val="0"/>
                    <w:suppressLineNumbers w:val="0"/>
                    <w:spacing w:before="0" w:beforeAutospacing="0" w:after="0" w:afterAutospacing="0"/>
                    <w:ind w:left="0" w:right="0"/>
                    <w:rPr>
                      <w:rFonts w:hint="default"/>
                    </w:rPr>
                  </w:pPr>
                  <w:r>
                    <w:rPr>
                      <w:rFonts w:hint="default"/>
                    </w:rPr>
                    <w:t>HW35</w:t>
                  </w:r>
                </w:p>
              </w:tc>
              <w:tc>
                <w:tcPr>
                  <w:tcW w:w="699" w:type="pct"/>
                  <w:tcBorders>
                    <w:tl2br w:val="nil"/>
                    <w:tr2bl w:val="nil"/>
                  </w:tcBorders>
                  <w:shd w:val="clear" w:color="auto" w:fill="auto"/>
                  <w:vAlign w:val="center"/>
                </w:tcPr>
                <w:p w14:paraId="735A59B7">
                  <w:pPr>
                    <w:pStyle w:val="26"/>
                    <w:keepNext w:val="0"/>
                    <w:keepLines w:val="0"/>
                    <w:suppressLineNumbers w:val="0"/>
                    <w:spacing w:before="0" w:beforeAutospacing="0" w:after="0" w:afterAutospacing="0"/>
                    <w:ind w:left="0" w:right="0"/>
                    <w:rPr>
                      <w:rFonts w:hint="default"/>
                    </w:rPr>
                  </w:pPr>
                  <w:r>
                    <w:rPr>
                      <w:rFonts w:hint="default"/>
                    </w:rPr>
                    <w:t>900-399-35</w:t>
                  </w:r>
                </w:p>
              </w:tc>
              <w:tc>
                <w:tcPr>
                  <w:tcW w:w="397" w:type="pct"/>
                  <w:vMerge w:val="restart"/>
                  <w:tcBorders>
                    <w:tl2br w:val="nil"/>
                    <w:tr2bl w:val="nil"/>
                  </w:tcBorders>
                  <w:shd w:val="clear" w:color="auto" w:fill="auto"/>
                  <w:vAlign w:val="center"/>
                </w:tcPr>
                <w:p w14:paraId="7592AC10">
                  <w:pPr>
                    <w:pStyle w:val="26"/>
                    <w:keepNext w:val="0"/>
                    <w:keepLines w:val="0"/>
                    <w:suppressLineNumbers w:val="0"/>
                    <w:spacing w:before="0" w:beforeAutospacing="0" w:after="0" w:afterAutospacing="0"/>
                    <w:ind w:left="0" w:right="0"/>
                    <w:rPr>
                      <w:rFonts w:hint="default"/>
                    </w:rPr>
                  </w:pPr>
                  <w:r>
                    <w:rPr>
                      <w:rFonts w:hint="default"/>
                    </w:rPr>
                    <w:t>矩形料仓东南角</w:t>
                  </w:r>
                </w:p>
              </w:tc>
              <w:tc>
                <w:tcPr>
                  <w:tcW w:w="577" w:type="pct"/>
                  <w:vMerge w:val="restart"/>
                  <w:tcBorders>
                    <w:tl2br w:val="nil"/>
                    <w:tr2bl w:val="nil"/>
                  </w:tcBorders>
                  <w:shd w:val="clear" w:color="auto" w:fill="auto"/>
                  <w:vAlign w:val="center"/>
                </w:tcPr>
                <w:p w14:paraId="295F1EA5">
                  <w:pPr>
                    <w:pStyle w:val="26"/>
                    <w:keepNext w:val="0"/>
                    <w:keepLines w:val="0"/>
                    <w:suppressLineNumbers w:val="0"/>
                    <w:spacing w:before="0" w:beforeAutospacing="0" w:after="0" w:afterAutospacing="0"/>
                    <w:ind w:left="0" w:right="0"/>
                    <w:rPr>
                      <w:rFonts w:hint="default"/>
                    </w:rPr>
                  </w:pPr>
                  <w:r>
                    <w:rPr>
                      <w:rFonts w:hint="default"/>
                    </w:rPr>
                    <w:t>30m</w:t>
                  </w:r>
                  <w:r>
                    <w:rPr>
                      <w:rFonts w:hint="default"/>
                      <w:vertAlign w:val="superscript"/>
                    </w:rPr>
                    <w:t>2</w:t>
                  </w:r>
                </w:p>
              </w:tc>
              <w:tc>
                <w:tcPr>
                  <w:tcW w:w="397" w:type="pct"/>
                  <w:vMerge w:val="restart"/>
                  <w:tcBorders>
                    <w:tl2br w:val="nil"/>
                    <w:tr2bl w:val="nil"/>
                  </w:tcBorders>
                  <w:shd w:val="clear" w:color="auto" w:fill="auto"/>
                  <w:vAlign w:val="center"/>
                </w:tcPr>
                <w:p w14:paraId="30E492F6">
                  <w:pPr>
                    <w:pStyle w:val="26"/>
                    <w:keepNext w:val="0"/>
                    <w:keepLines w:val="0"/>
                    <w:suppressLineNumbers w:val="0"/>
                    <w:spacing w:before="0" w:beforeAutospacing="0" w:after="0" w:afterAutospacing="0"/>
                    <w:ind w:left="0" w:right="0"/>
                    <w:rPr>
                      <w:rFonts w:hint="default"/>
                    </w:rPr>
                  </w:pPr>
                  <w:r>
                    <w:rPr>
                      <w:rFonts w:hint="default"/>
                    </w:rPr>
                    <w:t>桶装</w:t>
                  </w:r>
                </w:p>
              </w:tc>
              <w:tc>
                <w:tcPr>
                  <w:tcW w:w="397" w:type="pct"/>
                  <w:vMerge w:val="restart"/>
                  <w:tcBorders>
                    <w:tl2br w:val="nil"/>
                    <w:tr2bl w:val="nil"/>
                  </w:tcBorders>
                  <w:shd w:val="clear" w:color="auto" w:fill="auto"/>
                  <w:vAlign w:val="center"/>
                </w:tcPr>
                <w:p w14:paraId="43EAFE94">
                  <w:pPr>
                    <w:pStyle w:val="26"/>
                    <w:keepNext w:val="0"/>
                    <w:keepLines w:val="0"/>
                    <w:suppressLineNumbers w:val="0"/>
                    <w:spacing w:before="0" w:beforeAutospacing="0" w:after="0" w:afterAutospacing="0"/>
                    <w:ind w:left="0" w:right="0"/>
                    <w:rPr>
                      <w:rFonts w:hint="default"/>
                    </w:rPr>
                  </w:pPr>
                  <w:r>
                    <w:rPr>
                      <w:rFonts w:hint="default"/>
                    </w:rPr>
                    <w:t>10t</w:t>
                  </w:r>
                </w:p>
              </w:tc>
              <w:tc>
                <w:tcPr>
                  <w:tcW w:w="397" w:type="pct"/>
                  <w:vMerge w:val="restart"/>
                  <w:tcBorders>
                    <w:tl2br w:val="nil"/>
                    <w:tr2bl w:val="nil"/>
                  </w:tcBorders>
                  <w:shd w:val="clear" w:color="auto" w:fill="auto"/>
                  <w:vAlign w:val="center"/>
                </w:tcPr>
                <w:p w14:paraId="6ED8A43B">
                  <w:pPr>
                    <w:pStyle w:val="26"/>
                    <w:keepNext w:val="0"/>
                    <w:keepLines w:val="0"/>
                    <w:suppressLineNumbers w:val="0"/>
                    <w:spacing w:before="0" w:beforeAutospacing="0" w:after="0" w:afterAutospacing="0"/>
                    <w:ind w:left="0" w:right="0"/>
                    <w:rPr>
                      <w:rFonts w:hint="default"/>
                    </w:rPr>
                  </w:pPr>
                  <w:r>
                    <w:rPr>
                      <w:rFonts w:hint="default"/>
                    </w:rPr>
                    <w:t>一年</w:t>
                  </w:r>
                </w:p>
              </w:tc>
            </w:tr>
            <w:tr w14:paraId="00E01E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0" w:hRule="atLeast"/>
              </w:trPr>
              <w:tc>
                <w:tcPr>
                  <w:tcW w:w="463" w:type="pct"/>
                  <w:vMerge w:val="continue"/>
                  <w:tcBorders>
                    <w:tl2br w:val="nil"/>
                    <w:tr2bl w:val="nil"/>
                  </w:tcBorders>
                  <w:shd w:val="clear" w:color="auto" w:fill="auto"/>
                  <w:vAlign w:val="center"/>
                </w:tcPr>
                <w:p w14:paraId="4F7FF589">
                  <w:pPr>
                    <w:pStyle w:val="26"/>
                    <w:keepNext w:val="0"/>
                    <w:keepLines w:val="0"/>
                    <w:suppressLineNumbers w:val="0"/>
                    <w:spacing w:before="0" w:beforeAutospacing="0" w:after="0" w:afterAutospacing="0"/>
                    <w:ind w:left="0" w:right="0"/>
                    <w:rPr>
                      <w:rFonts w:hint="default"/>
                    </w:rPr>
                  </w:pPr>
                </w:p>
              </w:tc>
              <w:tc>
                <w:tcPr>
                  <w:tcW w:w="1035" w:type="pct"/>
                  <w:tcBorders>
                    <w:tl2br w:val="nil"/>
                    <w:tr2bl w:val="nil"/>
                  </w:tcBorders>
                  <w:shd w:val="clear" w:color="auto" w:fill="auto"/>
                  <w:vAlign w:val="center"/>
                </w:tcPr>
                <w:p w14:paraId="6017A185">
                  <w:pPr>
                    <w:pStyle w:val="26"/>
                    <w:keepNext w:val="0"/>
                    <w:keepLines w:val="0"/>
                    <w:suppressLineNumbers w:val="0"/>
                    <w:spacing w:before="0" w:beforeAutospacing="0" w:after="0" w:afterAutospacing="0"/>
                    <w:ind w:left="0" w:right="0"/>
                    <w:rPr>
                      <w:rFonts w:hint="default"/>
                    </w:rPr>
                  </w:pPr>
                  <w:r>
                    <w:rPr>
                      <w:rFonts w:hint="default"/>
                    </w:rPr>
                    <w:t>废润滑油</w:t>
                  </w:r>
                </w:p>
              </w:tc>
              <w:tc>
                <w:tcPr>
                  <w:tcW w:w="637" w:type="pct"/>
                  <w:tcBorders>
                    <w:tl2br w:val="nil"/>
                    <w:tr2bl w:val="nil"/>
                  </w:tcBorders>
                  <w:shd w:val="clear" w:color="auto" w:fill="auto"/>
                  <w:vAlign w:val="center"/>
                </w:tcPr>
                <w:p w14:paraId="6BFDC731">
                  <w:pPr>
                    <w:pStyle w:val="26"/>
                    <w:keepNext w:val="0"/>
                    <w:keepLines w:val="0"/>
                    <w:suppressLineNumbers w:val="0"/>
                    <w:spacing w:before="0" w:beforeAutospacing="0" w:after="0" w:afterAutospacing="0"/>
                    <w:ind w:left="0" w:right="0"/>
                    <w:rPr>
                      <w:rFonts w:hint="default"/>
                    </w:rPr>
                  </w:pPr>
                  <w:r>
                    <w:rPr>
                      <w:rFonts w:hint="default"/>
                    </w:rPr>
                    <w:t>HW08</w:t>
                  </w:r>
                </w:p>
              </w:tc>
              <w:tc>
                <w:tcPr>
                  <w:tcW w:w="699" w:type="pct"/>
                  <w:tcBorders>
                    <w:tl2br w:val="nil"/>
                    <w:tr2bl w:val="nil"/>
                  </w:tcBorders>
                  <w:shd w:val="clear" w:color="auto" w:fill="auto"/>
                  <w:vAlign w:val="center"/>
                </w:tcPr>
                <w:p w14:paraId="668C714F">
                  <w:pPr>
                    <w:pStyle w:val="26"/>
                    <w:keepNext w:val="0"/>
                    <w:keepLines w:val="0"/>
                    <w:suppressLineNumbers w:val="0"/>
                    <w:spacing w:before="0" w:beforeAutospacing="0" w:after="0" w:afterAutospacing="0"/>
                    <w:ind w:left="0" w:right="0"/>
                    <w:rPr>
                      <w:rFonts w:hint="default"/>
                    </w:rPr>
                  </w:pPr>
                  <w:r>
                    <w:rPr>
                      <w:rFonts w:hint="default"/>
                    </w:rPr>
                    <w:t>900-218-08</w:t>
                  </w:r>
                </w:p>
              </w:tc>
              <w:tc>
                <w:tcPr>
                  <w:tcW w:w="397" w:type="pct"/>
                  <w:vMerge w:val="continue"/>
                  <w:tcBorders>
                    <w:tl2br w:val="nil"/>
                    <w:tr2bl w:val="nil"/>
                  </w:tcBorders>
                  <w:shd w:val="clear" w:color="auto" w:fill="auto"/>
                  <w:vAlign w:val="center"/>
                </w:tcPr>
                <w:p w14:paraId="39C42D89">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3442E30D">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53ED16C3">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536FBF81">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078FE78D">
                  <w:pPr>
                    <w:pStyle w:val="26"/>
                    <w:keepNext w:val="0"/>
                    <w:keepLines w:val="0"/>
                    <w:suppressLineNumbers w:val="0"/>
                    <w:spacing w:before="0" w:beforeAutospacing="0" w:after="0" w:afterAutospacing="0"/>
                    <w:ind w:left="0" w:right="0"/>
                    <w:rPr>
                      <w:rFonts w:hint="default"/>
                    </w:rPr>
                  </w:pPr>
                </w:p>
              </w:tc>
            </w:tr>
            <w:tr w14:paraId="37A96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463" w:type="pct"/>
                  <w:vMerge w:val="continue"/>
                  <w:tcBorders>
                    <w:tl2br w:val="nil"/>
                    <w:tr2bl w:val="nil"/>
                  </w:tcBorders>
                  <w:shd w:val="clear" w:color="auto" w:fill="auto"/>
                  <w:vAlign w:val="center"/>
                </w:tcPr>
                <w:p w14:paraId="60F24529">
                  <w:pPr>
                    <w:pStyle w:val="26"/>
                    <w:keepNext w:val="0"/>
                    <w:keepLines w:val="0"/>
                    <w:suppressLineNumbers w:val="0"/>
                    <w:spacing w:before="0" w:beforeAutospacing="0" w:after="0" w:afterAutospacing="0"/>
                    <w:ind w:left="0" w:right="0"/>
                    <w:rPr>
                      <w:rFonts w:hint="default"/>
                    </w:rPr>
                  </w:pPr>
                </w:p>
              </w:tc>
              <w:tc>
                <w:tcPr>
                  <w:tcW w:w="1035" w:type="pct"/>
                  <w:tcBorders>
                    <w:tl2br w:val="nil"/>
                    <w:tr2bl w:val="nil"/>
                  </w:tcBorders>
                  <w:shd w:val="clear" w:color="auto" w:fill="auto"/>
                  <w:vAlign w:val="center"/>
                </w:tcPr>
                <w:p w14:paraId="3FC66449">
                  <w:pPr>
                    <w:pStyle w:val="26"/>
                    <w:keepNext w:val="0"/>
                    <w:keepLines w:val="0"/>
                    <w:suppressLineNumbers w:val="0"/>
                    <w:spacing w:before="0" w:beforeAutospacing="0" w:after="0" w:afterAutospacing="0"/>
                    <w:ind w:left="0" w:right="0"/>
                    <w:rPr>
                      <w:rFonts w:hint="default"/>
                    </w:rPr>
                  </w:pPr>
                  <w:r>
                    <w:rPr>
                      <w:rFonts w:hint="default"/>
                    </w:rPr>
                    <w:t>废含油手套、抹布</w:t>
                  </w:r>
                </w:p>
              </w:tc>
              <w:tc>
                <w:tcPr>
                  <w:tcW w:w="637" w:type="pct"/>
                  <w:tcBorders>
                    <w:tl2br w:val="nil"/>
                    <w:tr2bl w:val="nil"/>
                  </w:tcBorders>
                  <w:shd w:val="clear" w:color="auto" w:fill="auto"/>
                  <w:vAlign w:val="center"/>
                </w:tcPr>
                <w:p w14:paraId="3B26677E">
                  <w:pPr>
                    <w:pStyle w:val="26"/>
                    <w:keepNext w:val="0"/>
                    <w:keepLines w:val="0"/>
                    <w:suppressLineNumbers w:val="0"/>
                    <w:spacing w:before="0" w:beforeAutospacing="0" w:after="0" w:afterAutospacing="0"/>
                    <w:ind w:left="0" w:right="0"/>
                    <w:rPr>
                      <w:rFonts w:hint="default"/>
                    </w:rPr>
                  </w:pPr>
                  <w:r>
                    <w:rPr>
                      <w:rFonts w:hint="default"/>
                    </w:rPr>
                    <w:t>HW49</w:t>
                  </w:r>
                </w:p>
              </w:tc>
              <w:tc>
                <w:tcPr>
                  <w:tcW w:w="699" w:type="pct"/>
                  <w:tcBorders>
                    <w:tl2br w:val="nil"/>
                    <w:tr2bl w:val="nil"/>
                  </w:tcBorders>
                  <w:shd w:val="clear" w:color="auto" w:fill="auto"/>
                  <w:vAlign w:val="center"/>
                </w:tcPr>
                <w:p w14:paraId="3E7AB1DE">
                  <w:pPr>
                    <w:pStyle w:val="26"/>
                    <w:keepNext w:val="0"/>
                    <w:keepLines w:val="0"/>
                    <w:suppressLineNumbers w:val="0"/>
                    <w:spacing w:before="0" w:beforeAutospacing="0" w:after="0" w:afterAutospacing="0"/>
                    <w:ind w:left="0" w:right="0"/>
                    <w:rPr>
                      <w:rFonts w:hint="default"/>
                    </w:rPr>
                  </w:pPr>
                  <w:r>
                    <w:rPr>
                      <w:rFonts w:hint="default"/>
                    </w:rPr>
                    <w:t>900-041-49</w:t>
                  </w:r>
                </w:p>
              </w:tc>
              <w:tc>
                <w:tcPr>
                  <w:tcW w:w="397" w:type="pct"/>
                  <w:vMerge w:val="continue"/>
                  <w:tcBorders>
                    <w:tl2br w:val="nil"/>
                    <w:tr2bl w:val="nil"/>
                  </w:tcBorders>
                  <w:shd w:val="clear" w:color="auto" w:fill="auto"/>
                  <w:vAlign w:val="center"/>
                </w:tcPr>
                <w:p w14:paraId="2FE0A9F0">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5EB2634A">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564F43DD">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2D1D2E90">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30EBE839">
                  <w:pPr>
                    <w:pStyle w:val="26"/>
                    <w:keepNext w:val="0"/>
                    <w:keepLines w:val="0"/>
                    <w:suppressLineNumbers w:val="0"/>
                    <w:spacing w:before="0" w:beforeAutospacing="0" w:after="0" w:afterAutospacing="0"/>
                    <w:ind w:left="0" w:right="0"/>
                    <w:rPr>
                      <w:rFonts w:hint="default"/>
                    </w:rPr>
                  </w:pPr>
                </w:p>
              </w:tc>
            </w:tr>
            <w:tr w14:paraId="58334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463" w:type="pct"/>
                  <w:vMerge w:val="continue"/>
                  <w:tcBorders>
                    <w:tl2br w:val="nil"/>
                    <w:tr2bl w:val="nil"/>
                  </w:tcBorders>
                  <w:shd w:val="clear" w:color="auto" w:fill="auto"/>
                  <w:vAlign w:val="center"/>
                </w:tcPr>
                <w:p w14:paraId="4F84FE6B">
                  <w:pPr>
                    <w:pStyle w:val="26"/>
                    <w:keepNext w:val="0"/>
                    <w:keepLines w:val="0"/>
                    <w:suppressLineNumbers w:val="0"/>
                    <w:spacing w:before="0" w:beforeAutospacing="0" w:after="0" w:afterAutospacing="0"/>
                    <w:ind w:left="0" w:right="0"/>
                    <w:rPr>
                      <w:rFonts w:hint="default"/>
                    </w:rPr>
                  </w:pPr>
                </w:p>
              </w:tc>
              <w:tc>
                <w:tcPr>
                  <w:tcW w:w="1035" w:type="pct"/>
                  <w:tcBorders>
                    <w:tl2br w:val="nil"/>
                    <w:tr2bl w:val="nil"/>
                  </w:tcBorders>
                  <w:shd w:val="clear" w:color="auto" w:fill="auto"/>
                  <w:vAlign w:val="center"/>
                </w:tcPr>
                <w:p w14:paraId="0067D955">
                  <w:pPr>
                    <w:pStyle w:val="26"/>
                    <w:keepNext w:val="0"/>
                    <w:keepLines w:val="0"/>
                    <w:suppressLineNumbers w:val="0"/>
                    <w:spacing w:before="0" w:beforeAutospacing="0" w:after="0" w:afterAutospacing="0"/>
                    <w:ind w:left="0" w:right="0"/>
                    <w:rPr>
                      <w:rFonts w:hint="default"/>
                    </w:rPr>
                  </w:pPr>
                  <w:r>
                    <w:rPr>
                      <w:rFonts w:hint="default"/>
                    </w:rPr>
                    <w:t>废机油桶</w:t>
                  </w:r>
                </w:p>
              </w:tc>
              <w:tc>
                <w:tcPr>
                  <w:tcW w:w="637" w:type="pct"/>
                  <w:tcBorders>
                    <w:tl2br w:val="nil"/>
                    <w:tr2bl w:val="nil"/>
                  </w:tcBorders>
                  <w:shd w:val="clear" w:color="auto" w:fill="auto"/>
                  <w:vAlign w:val="center"/>
                </w:tcPr>
                <w:p w14:paraId="0016A363">
                  <w:pPr>
                    <w:pStyle w:val="26"/>
                    <w:keepNext w:val="0"/>
                    <w:keepLines w:val="0"/>
                    <w:suppressLineNumbers w:val="0"/>
                    <w:spacing w:before="0" w:beforeAutospacing="0" w:after="0" w:afterAutospacing="0"/>
                    <w:ind w:left="0" w:right="0"/>
                    <w:rPr>
                      <w:rFonts w:hint="default"/>
                    </w:rPr>
                  </w:pPr>
                  <w:r>
                    <w:rPr>
                      <w:rFonts w:hint="default"/>
                    </w:rPr>
                    <w:t>HW49</w:t>
                  </w:r>
                </w:p>
              </w:tc>
              <w:tc>
                <w:tcPr>
                  <w:tcW w:w="699" w:type="pct"/>
                  <w:tcBorders>
                    <w:tl2br w:val="nil"/>
                    <w:tr2bl w:val="nil"/>
                  </w:tcBorders>
                  <w:shd w:val="clear" w:color="auto" w:fill="auto"/>
                  <w:vAlign w:val="center"/>
                </w:tcPr>
                <w:p w14:paraId="7C3CA1E0">
                  <w:pPr>
                    <w:pStyle w:val="26"/>
                    <w:keepNext w:val="0"/>
                    <w:keepLines w:val="0"/>
                    <w:suppressLineNumbers w:val="0"/>
                    <w:spacing w:before="0" w:beforeAutospacing="0" w:after="0" w:afterAutospacing="0"/>
                    <w:ind w:left="0" w:right="0"/>
                    <w:rPr>
                      <w:rFonts w:hint="default"/>
                    </w:rPr>
                  </w:pPr>
                  <w:r>
                    <w:rPr>
                      <w:rFonts w:hint="default"/>
                    </w:rPr>
                    <w:t>900-041-49</w:t>
                  </w:r>
                </w:p>
              </w:tc>
              <w:tc>
                <w:tcPr>
                  <w:tcW w:w="397" w:type="pct"/>
                  <w:vMerge w:val="continue"/>
                  <w:tcBorders>
                    <w:tl2br w:val="nil"/>
                    <w:tr2bl w:val="nil"/>
                  </w:tcBorders>
                  <w:shd w:val="clear" w:color="auto" w:fill="auto"/>
                  <w:vAlign w:val="center"/>
                </w:tcPr>
                <w:p w14:paraId="44AFD160">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4D26ECA5">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28B4AA3A">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6231E264">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735E9941">
                  <w:pPr>
                    <w:pStyle w:val="26"/>
                    <w:keepNext w:val="0"/>
                    <w:keepLines w:val="0"/>
                    <w:suppressLineNumbers w:val="0"/>
                    <w:spacing w:before="0" w:beforeAutospacing="0" w:after="0" w:afterAutospacing="0"/>
                    <w:ind w:left="0" w:right="0"/>
                    <w:rPr>
                      <w:rFonts w:hint="default"/>
                    </w:rPr>
                  </w:pPr>
                </w:p>
              </w:tc>
            </w:tr>
            <w:tr w14:paraId="628BB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trPr>
              <w:tc>
                <w:tcPr>
                  <w:tcW w:w="463" w:type="pct"/>
                  <w:vMerge w:val="continue"/>
                  <w:tcBorders>
                    <w:tl2br w:val="nil"/>
                    <w:tr2bl w:val="nil"/>
                  </w:tcBorders>
                  <w:shd w:val="clear" w:color="auto" w:fill="auto"/>
                  <w:vAlign w:val="center"/>
                </w:tcPr>
                <w:p w14:paraId="7CBF89B1">
                  <w:pPr>
                    <w:pStyle w:val="26"/>
                    <w:keepNext w:val="0"/>
                    <w:keepLines w:val="0"/>
                    <w:suppressLineNumbers w:val="0"/>
                    <w:spacing w:before="0" w:beforeAutospacing="0" w:after="0" w:afterAutospacing="0"/>
                    <w:ind w:left="0" w:right="0"/>
                    <w:rPr>
                      <w:rFonts w:hint="default"/>
                    </w:rPr>
                  </w:pPr>
                </w:p>
              </w:tc>
              <w:tc>
                <w:tcPr>
                  <w:tcW w:w="1035" w:type="pct"/>
                  <w:tcBorders>
                    <w:tl2br w:val="nil"/>
                    <w:tr2bl w:val="nil"/>
                  </w:tcBorders>
                  <w:shd w:val="clear" w:color="auto" w:fill="auto"/>
                  <w:vAlign w:val="center"/>
                </w:tcPr>
                <w:p w14:paraId="5040D820">
                  <w:pPr>
                    <w:pStyle w:val="26"/>
                    <w:keepNext w:val="0"/>
                    <w:keepLines w:val="0"/>
                    <w:suppressLineNumbers w:val="0"/>
                    <w:spacing w:before="0" w:beforeAutospacing="0" w:after="0" w:afterAutospacing="0"/>
                    <w:ind w:left="0" w:right="0"/>
                    <w:rPr>
                      <w:rFonts w:hint="default"/>
                    </w:rPr>
                  </w:pPr>
                  <w:r>
                    <w:rPr>
                      <w:rFonts w:hint="default"/>
                    </w:rPr>
                    <w:t>清罐废物</w:t>
                  </w:r>
                </w:p>
              </w:tc>
              <w:tc>
                <w:tcPr>
                  <w:tcW w:w="637" w:type="pct"/>
                  <w:tcBorders>
                    <w:tl2br w:val="nil"/>
                    <w:tr2bl w:val="nil"/>
                  </w:tcBorders>
                  <w:shd w:val="clear" w:color="auto" w:fill="auto"/>
                  <w:vAlign w:val="center"/>
                </w:tcPr>
                <w:p w14:paraId="6DC13029">
                  <w:pPr>
                    <w:pStyle w:val="26"/>
                    <w:keepNext w:val="0"/>
                    <w:keepLines w:val="0"/>
                    <w:suppressLineNumbers w:val="0"/>
                    <w:spacing w:before="0" w:beforeAutospacing="0" w:after="0" w:afterAutospacing="0"/>
                    <w:ind w:left="0" w:right="0"/>
                    <w:rPr>
                      <w:rFonts w:hint="default"/>
                    </w:rPr>
                  </w:pPr>
                  <w:r>
                    <w:rPr>
                      <w:rFonts w:hint="default"/>
                    </w:rPr>
                    <w:t>HW08</w:t>
                  </w:r>
                </w:p>
              </w:tc>
              <w:tc>
                <w:tcPr>
                  <w:tcW w:w="699" w:type="pct"/>
                  <w:tcBorders>
                    <w:tl2br w:val="nil"/>
                    <w:tr2bl w:val="nil"/>
                  </w:tcBorders>
                  <w:shd w:val="clear" w:color="auto" w:fill="auto"/>
                  <w:vAlign w:val="center"/>
                </w:tcPr>
                <w:p w14:paraId="0A7D9CB3">
                  <w:pPr>
                    <w:pStyle w:val="26"/>
                    <w:keepNext w:val="0"/>
                    <w:keepLines w:val="0"/>
                    <w:suppressLineNumbers w:val="0"/>
                    <w:spacing w:before="0" w:beforeAutospacing="0" w:after="0" w:afterAutospacing="0"/>
                    <w:ind w:left="0" w:right="0"/>
                    <w:rPr>
                      <w:rFonts w:hint="default"/>
                    </w:rPr>
                  </w:pPr>
                  <w:r>
                    <w:rPr>
                      <w:rFonts w:hint="default"/>
                    </w:rPr>
                    <w:t>900-221-08</w:t>
                  </w:r>
                </w:p>
              </w:tc>
              <w:tc>
                <w:tcPr>
                  <w:tcW w:w="397" w:type="pct"/>
                  <w:vMerge w:val="continue"/>
                  <w:tcBorders>
                    <w:tl2br w:val="nil"/>
                    <w:tr2bl w:val="nil"/>
                  </w:tcBorders>
                  <w:shd w:val="clear" w:color="auto" w:fill="auto"/>
                  <w:vAlign w:val="center"/>
                </w:tcPr>
                <w:p w14:paraId="74513F4C">
                  <w:pPr>
                    <w:pStyle w:val="26"/>
                    <w:keepNext w:val="0"/>
                    <w:keepLines w:val="0"/>
                    <w:suppressLineNumbers w:val="0"/>
                    <w:spacing w:before="0" w:beforeAutospacing="0" w:after="0" w:afterAutospacing="0"/>
                    <w:ind w:left="0" w:right="0"/>
                    <w:rPr>
                      <w:rFonts w:hint="default"/>
                    </w:rPr>
                  </w:pPr>
                </w:p>
              </w:tc>
              <w:tc>
                <w:tcPr>
                  <w:tcW w:w="577" w:type="pct"/>
                  <w:vMerge w:val="continue"/>
                  <w:tcBorders>
                    <w:tl2br w:val="nil"/>
                    <w:tr2bl w:val="nil"/>
                  </w:tcBorders>
                  <w:shd w:val="clear" w:color="auto" w:fill="auto"/>
                  <w:vAlign w:val="center"/>
                </w:tcPr>
                <w:p w14:paraId="478CC222">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36028002">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7323EEFE">
                  <w:pPr>
                    <w:pStyle w:val="26"/>
                    <w:keepNext w:val="0"/>
                    <w:keepLines w:val="0"/>
                    <w:suppressLineNumbers w:val="0"/>
                    <w:spacing w:before="0" w:beforeAutospacing="0" w:after="0" w:afterAutospacing="0"/>
                    <w:ind w:left="0" w:right="0"/>
                    <w:rPr>
                      <w:rFonts w:hint="default"/>
                    </w:rPr>
                  </w:pPr>
                </w:p>
              </w:tc>
              <w:tc>
                <w:tcPr>
                  <w:tcW w:w="397" w:type="pct"/>
                  <w:vMerge w:val="continue"/>
                  <w:tcBorders>
                    <w:tl2br w:val="nil"/>
                    <w:tr2bl w:val="nil"/>
                  </w:tcBorders>
                  <w:shd w:val="clear" w:color="auto" w:fill="auto"/>
                  <w:vAlign w:val="center"/>
                </w:tcPr>
                <w:p w14:paraId="1EF4D17F">
                  <w:pPr>
                    <w:pStyle w:val="26"/>
                    <w:keepNext w:val="0"/>
                    <w:keepLines w:val="0"/>
                    <w:suppressLineNumbers w:val="0"/>
                    <w:spacing w:before="0" w:beforeAutospacing="0" w:after="0" w:afterAutospacing="0"/>
                    <w:ind w:left="0" w:right="0"/>
                    <w:rPr>
                      <w:rFonts w:hint="default"/>
                    </w:rPr>
                  </w:pPr>
                </w:p>
              </w:tc>
            </w:tr>
          </w:tbl>
          <w:p w14:paraId="7304DA0F">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2、危险废物处置措施可行性分析</w:t>
            </w:r>
          </w:p>
          <w:p w14:paraId="709D239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项目危废暂存间</w:t>
            </w:r>
            <w:r>
              <w:rPr>
                <w:rFonts w:hint="eastAsia" w:cs="Times New Roman"/>
                <w:color w:val="auto"/>
              </w:rPr>
              <w:t>面积为</w:t>
            </w:r>
            <w:r>
              <w:rPr>
                <w:rFonts w:hint="default" w:cs="Times New Roman"/>
                <w:color w:val="auto"/>
              </w:rPr>
              <w:t>30m</w:t>
            </w:r>
            <w:r>
              <w:rPr>
                <w:rFonts w:hint="default" w:cs="Times New Roman"/>
                <w:color w:val="auto"/>
                <w:vertAlign w:val="superscript"/>
              </w:rPr>
              <w:t>2</w:t>
            </w:r>
            <w:r>
              <w:rPr>
                <w:rFonts w:hint="default" w:cs="Times New Roman"/>
                <w:color w:val="auto"/>
              </w:rPr>
              <w:t>，贮存能力为10t。</w:t>
            </w:r>
          </w:p>
          <w:p w14:paraId="69264B5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全厂危险废物产生量为36.186t/a，建后的危废暂存间完全</w:t>
            </w:r>
            <w:r>
              <w:rPr>
                <w:rFonts w:hint="eastAsia" w:cs="Times New Roman"/>
                <w:color w:val="auto"/>
              </w:rPr>
              <w:t>可以</w:t>
            </w:r>
            <w:r>
              <w:rPr>
                <w:rFonts w:hint="default" w:cs="Times New Roman"/>
                <w:color w:val="auto"/>
              </w:rPr>
              <w:t>满足全厂1年贮存需求。本次环评要求危险废物转运频率为1年一次，并确保危废暂存间暂存的危险废物妥善贮存和转运，不产生二次污染。</w:t>
            </w:r>
          </w:p>
          <w:p w14:paraId="1B2ECC92">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3、固体废物管理措施</w:t>
            </w:r>
          </w:p>
          <w:p w14:paraId="703FDBAC">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环评要求建设单位运行中应加强固体废物管理，针对不同类型固体废物按照相关要求进行存储和转运。</w:t>
            </w:r>
          </w:p>
          <w:p w14:paraId="7E66F4F7">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（1）一般固废管理措施</w:t>
            </w:r>
          </w:p>
          <w:p w14:paraId="7438F65B">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项目采取的固废处置措施可行，为了进一步确保项目产生的固体废物得到合理有效</w:t>
            </w:r>
            <w:r>
              <w:rPr>
                <w:rFonts w:hint="eastAsia" w:cs="Times New Roman"/>
                <w:color w:val="auto"/>
                <w:kern w:val="0"/>
              </w:rPr>
              <w:t>地</w:t>
            </w:r>
            <w:r>
              <w:rPr>
                <w:rFonts w:hint="default" w:cs="Times New Roman"/>
                <w:color w:val="auto"/>
                <w:kern w:val="0"/>
              </w:rPr>
              <w:t>收集处理，避免造成环境二次污染，各类一般固体废物分类收集。要求采取以下措施加强固废治理：</w:t>
            </w:r>
          </w:p>
          <w:p w14:paraId="2755AAEF">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A</w:t>
            </w:r>
            <w:r>
              <w:rPr>
                <w:rFonts w:hint="eastAsia" w:cs="Times New Roman"/>
                <w:color w:val="auto"/>
                <w:kern w:val="0"/>
              </w:rPr>
              <w:t>.</w:t>
            </w:r>
            <w:r>
              <w:rPr>
                <w:rFonts w:hint="default" w:cs="Times New Roman"/>
                <w:color w:val="auto"/>
                <w:kern w:val="0"/>
              </w:rPr>
              <w:t>建设单位对项目产生的固体废物进行分类收集和暂存，设置垃圾桶对厂区生活垃圾进行收集，生活垃圾每天生产结束后当天应及时清运至附近垃圾暂存点，由环卫部门统一收运处理。</w:t>
            </w:r>
          </w:p>
          <w:p w14:paraId="27D443FC">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B</w:t>
            </w:r>
            <w:r>
              <w:rPr>
                <w:rFonts w:hint="eastAsia" w:cs="Times New Roman"/>
                <w:color w:val="auto"/>
                <w:kern w:val="0"/>
              </w:rPr>
              <w:t>.</w:t>
            </w:r>
            <w:r>
              <w:rPr>
                <w:rFonts w:hint="default" w:cs="Times New Roman"/>
                <w:color w:val="auto"/>
                <w:kern w:val="0"/>
              </w:rPr>
              <w:t>间地面应保持干净，各生产工序产生的固废，可回用废弃物应及时分类收集、回用，不得外溢，废弃物转运时，需密闭运输转运，严禁泄漏、散落。不可回收物品分类收集，定期外售废品回收站处理。</w:t>
            </w:r>
          </w:p>
          <w:p w14:paraId="2BA9A8C8">
            <w:pPr>
              <w:keepNext w:val="0"/>
              <w:keepLines w:val="0"/>
              <w:suppressLineNumbers w:val="0"/>
              <w:spacing w:before="0" w:beforeAutospacing="0" w:after="0" w:afterAutospacing="0"/>
              <w:ind w:left="0" w:right="0" w:firstLine="480"/>
              <w:rPr>
                <w:rFonts w:hint="default" w:cs="Times New Roman"/>
                <w:color w:val="auto"/>
                <w:kern w:val="0"/>
              </w:rPr>
            </w:pPr>
            <w:r>
              <w:rPr>
                <w:rFonts w:hint="default" w:cs="Times New Roman"/>
                <w:color w:val="auto"/>
                <w:kern w:val="0"/>
              </w:rPr>
              <w:t>（2）危险固体废物管理措施</w:t>
            </w:r>
          </w:p>
          <w:p w14:paraId="3A9BF0B5">
            <w:pPr>
              <w:keepNext w:val="0"/>
              <w:keepLines w:val="0"/>
              <w:suppressLineNumbers w:val="0"/>
              <w:autoSpaceDE w:val="0"/>
              <w:autoSpaceDN w:val="0"/>
              <w:adjustRightInd w:val="0"/>
              <w:spacing w:before="0" w:beforeAutospacing="0" w:after="0" w:afterAutospacing="0"/>
              <w:ind w:left="0" w:right="0" w:firstLine="480"/>
              <w:textAlignment w:val="bottom"/>
              <w:rPr>
                <w:rFonts w:hint="default" w:cs="Times New Roman"/>
                <w:color w:val="auto"/>
                <w:kern w:val="0"/>
              </w:rPr>
            </w:pPr>
            <w:bookmarkStart w:id="122" w:name="_Toc437960956"/>
            <w:r>
              <w:rPr>
                <w:rFonts w:hint="default" w:cs="Times New Roman"/>
                <w:color w:val="auto"/>
                <w:kern w:val="0"/>
              </w:rPr>
              <w:t>A</w:t>
            </w:r>
            <w:r>
              <w:rPr>
                <w:rFonts w:hint="eastAsia" w:cs="Times New Roman"/>
                <w:color w:val="auto"/>
                <w:kern w:val="0"/>
              </w:rPr>
              <w:t>.</w:t>
            </w:r>
            <w:r>
              <w:rPr>
                <w:rFonts w:hint="default" w:cs="Times New Roman"/>
                <w:color w:val="auto"/>
                <w:kern w:val="0"/>
              </w:rPr>
              <w:t>贮存</w:t>
            </w:r>
          </w:p>
          <w:p w14:paraId="5EEF9E60">
            <w:pPr>
              <w:keepNext w:val="0"/>
              <w:keepLines w:val="0"/>
              <w:suppressLineNumbers w:val="0"/>
              <w:autoSpaceDE w:val="0"/>
              <w:autoSpaceDN w:val="0"/>
              <w:adjustRightInd w:val="0"/>
              <w:spacing w:before="0" w:beforeAutospacing="0" w:after="0" w:afterAutospacing="0"/>
              <w:ind w:left="0" w:right="0" w:firstLine="480"/>
              <w:textAlignment w:val="bottom"/>
              <w:rPr>
                <w:rFonts w:hint="default" w:cs="Times New Roman"/>
                <w:color w:val="auto"/>
                <w:kern w:val="0"/>
              </w:rPr>
            </w:pPr>
            <w:r>
              <w:rPr>
                <w:rFonts w:hint="default" w:cs="Times New Roman"/>
                <w:color w:val="auto"/>
                <w:kern w:val="0"/>
              </w:rPr>
              <w:t>危险废物暂存的一般规定如下：</w:t>
            </w:r>
          </w:p>
          <w:p w14:paraId="57863223">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应建造专用的危险废物贮存设施。</w:t>
            </w:r>
          </w:p>
          <w:p w14:paraId="74FE941A">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在常温常压下易爆、易燃及排出有毒气体的危险废物必须进行预处理，使之稳定后贮存，否则，按易爆、易燃危险品贮存。</w:t>
            </w:r>
          </w:p>
          <w:p w14:paraId="73AAA7FB">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在常温常压下不水解、不挥发的固体危险废物可在贮存设施内分别堆放，其他固体危险废物必须将危险废物装入容器内。</w:t>
            </w:r>
          </w:p>
          <w:p w14:paraId="04ED1C83">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禁止将不相容（相互反应）的危险废物在同一容器内混装。</w:t>
            </w:r>
          </w:p>
          <w:p w14:paraId="6B04A491">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无法装入常用容器的危险废物可用防漏胶袋等盛装。</w:t>
            </w:r>
          </w:p>
          <w:p w14:paraId="2613CD2A">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装载液体、半固体危险废物的容器内须留足够空间，容器顶部与液体表面之间保留100毫米以上的空间。</w:t>
            </w:r>
          </w:p>
          <w:p w14:paraId="34EB6886">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盛装危险废物的容器上必须粘贴符合标准要求的标签。</w:t>
            </w:r>
          </w:p>
          <w:p w14:paraId="7F0AF204">
            <w:pPr>
              <w:keepNext w:val="0"/>
              <w:keepLines w:val="0"/>
              <w:numPr>
                <w:ilvl w:val="0"/>
                <w:numId w:val="13"/>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贮存容器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70毫米并有放气孔的桶中。</w:t>
            </w:r>
          </w:p>
          <w:p w14:paraId="0081EBA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危险废物贮存设施（仓库式）的设计应遵照以下原则</w:t>
            </w:r>
          </w:p>
          <w:p w14:paraId="611952D2">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地面与裙脚要用坚固、防渗的材料建造，建筑材料必须与危险废物相容。</w:t>
            </w:r>
          </w:p>
          <w:p w14:paraId="6854CBB4">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必须有泄漏液体收集装置、气体导出口及气体净化装置。</w:t>
            </w:r>
          </w:p>
          <w:p w14:paraId="0A693867">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设施内要有安全照明设施和观察窗口。</w:t>
            </w:r>
          </w:p>
          <w:p w14:paraId="76DD7A6C">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用以存放装载液体、半固体危险废物容器的地方，必须有耐腐蚀的硬化地面，且表面无裂隙。</w:t>
            </w:r>
          </w:p>
          <w:p w14:paraId="35FF4918">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应设计堵截泄漏的裙脚，地面与裙脚所围建的容积不低于堵截最大容器的最大储量或总储量的五分之一。</w:t>
            </w:r>
          </w:p>
          <w:p w14:paraId="7D8BA626">
            <w:pPr>
              <w:keepNext w:val="0"/>
              <w:keepLines w:val="0"/>
              <w:numPr>
                <w:ilvl w:val="0"/>
                <w:numId w:val="14"/>
              </w:numPr>
              <w:suppressLineNumbers w:val="0"/>
              <w:spacing w:before="0" w:beforeAutospacing="0" w:after="0" w:afterAutospacing="0"/>
              <w:ind w:right="0" w:firstLine="480"/>
              <w:rPr>
                <w:rFonts w:hint="default" w:cs="Times New Roman"/>
                <w:color w:val="auto"/>
              </w:rPr>
            </w:pPr>
            <w:r>
              <w:rPr>
                <w:rFonts w:hint="default" w:cs="Times New Roman"/>
                <w:color w:val="auto"/>
              </w:rPr>
              <w:t>不相容的危险废物必须分开存放，并设有隔离间隔断。</w:t>
            </w:r>
          </w:p>
          <w:p w14:paraId="62C440C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危险废物的堆放应满足以下要求：</w:t>
            </w:r>
          </w:p>
          <w:p w14:paraId="07146381">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基础必须防渗，防渗层为至少1米厚粘土层（渗透系数≤10</w:t>
            </w:r>
            <w:r>
              <w:rPr>
                <w:rFonts w:hint="default" w:cs="Times New Roman"/>
                <w:color w:val="auto"/>
                <w:vertAlign w:val="superscript"/>
              </w:rPr>
              <w:t>-7</w:t>
            </w:r>
            <w:r>
              <w:rPr>
                <w:rFonts w:hint="default" w:cs="Times New Roman"/>
                <w:color w:val="auto"/>
              </w:rPr>
              <w:t>厘米/秒），或2毫米厚高密度聚乙烯，或至少2毫米厚的</w:t>
            </w:r>
            <w:r>
              <w:rPr>
                <w:rFonts w:hint="eastAsia" w:cs="Times New Roman"/>
                <w:color w:val="auto"/>
              </w:rPr>
              <w:t>其他</w:t>
            </w:r>
            <w:r>
              <w:rPr>
                <w:rFonts w:hint="default" w:cs="Times New Roman"/>
                <w:color w:val="auto"/>
              </w:rPr>
              <w:t>人工材料，渗透系数≤10</w:t>
            </w:r>
            <w:r>
              <w:rPr>
                <w:rFonts w:hint="default" w:cs="Times New Roman"/>
                <w:color w:val="auto"/>
                <w:vertAlign w:val="superscript"/>
              </w:rPr>
              <w:t>-10</w:t>
            </w:r>
            <w:r>
              <w:rPr>
                <w:rFonts w:hint="default" w:cs="Times New Roman"/>
                <w:color w:val="auto"/>
              </w:rPr>
              <w:t>厘米/秒。</w:t>
            </w:r>
          </w:p>
          <w:p w14:paraId="3013E517">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堆放危险废物的高度应根据地面承载能力确定。</w:t>
            </w:r>
          </w:p>
          <w:p w14:paraId="7F9BBCA5">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衬里放在一个基础或底座上。</w:t>
            </w:r>
          </w:p>
          <w:p w14:paraId="3BEA4D4C">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衬里要能够覆盖危险废物或其溶出物可能</w:t>
            </w:r>
            <w:r>
              <w:rPr>
                <w:rFonts w:hint="eastAsia" w:cs="Times New Roman"/>
                <w:color w:val="auto"/>
              </w:rPr>
              <w:t>涉及</w:t>
            </w:r>
            <w:r>
              <w:rPr>
                <w:rFonts w:hint="default" w:cs="Times New Roman"/>
                <w:color w:val="auto"/>
              </w:rPr>
              <w:t>的范围。</w:t>
            </w:r>
          </w:p>
          <w:p w14:paraId="1AC897AD">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衬里材料与堆放危险废物相容。</w:t>
            </w:r>
          </w:p>
          <w:p w14:paraId="3CD20BF8">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在衬里上设计、建造浸出液收集清除系统。</w:t>
            </w:r>
          </w:p>
          <w:p w14:paraId="213F71C1">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应设计建造径流疏导系统，保证能防止25年一遇的暴雨不会流到危险废物堆里。</w:t>
            </w:r>
          </w:p>
          <w:p w14:paraId="378B4BA6">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危险废物堆要防风、防雨、防晒。</w:t>
            </w:r>
          </w:p>
          <w:p w14:paraId="70602371">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产生量大的危险废物可以散装方式堆放贮存在按上述要求设计的废物堆里。</w:t>
            </w:r>
          </w:p>
          <w:p w14:paraId="03499415">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不相容的危险废物不能堆放在一起。</w:t>
            </w:r>
          </w:p>
          <w:p w14:paraId="7D92EC68">
            <w:pPr>
              <w:keepNext w:val="0"/>
              <w:keepLines w:val="0"/>
              <w:numPr>
                <w:ilvl w:val="0"/>
                <w:numId w:val="15"/>
              </w:numPr>
              <w:suppressLineNumbers w:val="0"/>
              <w:spacing w:before="0" w:beforeAutospacing="0" w:after="0" w:afterAutospacing="0"/>
              <w:ind w:right="0" w:firstLine="480"/>
              <w:rPr>
                <w:rFonts w:hint="default" w:cs="Times New Roman"/>
                <w:color w:val="auto"/>
              </w:rPr>
            </w:pPr>
            <w:r>
              <w:rPr>
                <w:rFonts w:hint="default" w:cs="Times New Roman"/>
                <w:color w:val="auto"/>
              </w:rPr>
              <w:t>总贮存量不超过300</w:t>
            </w:r>
            <w:r>
              <w:rPr>
                <w:rFonts w:hint="eastAsia" w:cs="Times New Roman"/>
                <w:color w:val="auto"/>
              </w:rPr>
              <w:t>kg</w:t>
            </w:r>
            <w:r>
              <w:rPr>
                <w:rFonts w:hint="default" w:cs="Times New Roman"/>
                <w:color w:val="auto"/>
              </w:rPr>
              <w:t>（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14:paraId="0BD6CAF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危险废物贮存设施的运行与管理应遵循以下原则：</w:t>
            </w:r>
          </w:p>
          <w:p w14:paraId="49A18DDA">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盛装在容器内的同类危险废物可以堆叠存放。</w:t>
            </w:r>
          </w:p>
          <w:p w14:paraId="377A3CD0">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每个堆间应留有搬运通道。</w:t>
            </w:r>
          </w:p>
          <w:p w14:paraId="4D7D6438">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不得将不相容的废物混合或合并存放。</w:t>
            </w:r>
          </w:p>
          <w:p w14:paraId="1ED87CDC">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危险废物产生者和危险废物贮存设施经营者均须</w:t>
            </w:r>
            <w:r>
              <w:rPr>
                <w:rFonts w:hint="eastAsia" w:cs="Times New Roman"/>
                <w:color w:val="auto"/>
              </w:rPr>
              <w:t>做好</w:t>
            </w:r>
            <w:r>
              <w:rPr>
                <w:rFonts w:hint="default" w:cs="Times New Roman"/>
                <w:color w:val="auto"/>
              </w:rPr>
              <w:t>危险废物情况的记录，记录上须注明危险废物的名称、来源、数量、特性和包装容器的类别、入库日期、存放库位、废物出库日期及接收单位名称。</w:t>
            </w:r>
          </w:p>
          <w:p w14:paraId="5C510EFB">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危险废物的记录和货单在危险废物回取后应继续保留三年。</w:t>
            </w:r>
          </w:p>
          <w:p w14:paraId="5CFA9EFA">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必须定期对所贮存的危险废物包装容器及贮存设施进行检查，发现破损，应及时采取措施清理更换。</w:t>
            </w:r>
          </w:p>
          <w:p w14:paraId="40378825">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泄漏液、清洗液、浸出液必须符合GB8978的要求方可排放，气体导出口排出的气体经处理后，应满足GB16297和GB14554的要求。</w:t>
            </w:r>
          </w:p>
          <w:p w14:paraId="1079C36F">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危险废物贮存设施都必须按GB15562.2的规定设置警示标志。</w:t>
            </w:r>
          </w:p>
          <w:p w14:paraId="734C263C">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危险废物贮存设施周围应设置围墙或</w:t>
            </w:r>
            <w:r>
              <w:rPr>
                <w:rFonts w:hint="eastAsia" w:cs="Times New Roman"/>
                <w:color w:val="auto"/>
              </w:rPr>
              <w:t>其他</w:t>
            </w:r>
            <w:r>
              <w:rPr>
                <w:rFonts w:hint="default" w:cs="Times New Roman"/>
                <w:color w:val="auto"/>
              </w:rPr>
              <w:t>防护栅栏。</w:t>
            </w:r>
          </w:p>
          <w:p w14:paraId="6A0C0599">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危险废物贮存设施应配备通讯设备、照明设施、安全防护服装及工具，并设有应急防护设施。</w:t>
            </w:r>
          </w:p>
          <w:p w14:paraId="1B328DF8">
            <w:pPr>
              <w:keepNext w:val="0"/>
              <w:keepLines w:val="0"/>
              <w:numPr>
                <w:ilvl w:val="0"/>
                <w:numId w:val="16"/>
              </w:numPr>
              <w:suppressLineNumbers w:val="0"/>
              <w:spacing w:before="0" w:beforeAutospacing="0" w:after="0" w:afterAutospacing="0"/>
              <w:ind w:right="0" w:firstLine="480"/>
              <w:rPr>
                <w:rFonts w:hint="default" w:cs="Times New Roman"/>
                <w:color w:val="auto"/>
              </w:rPr>
            </w:pPr>
            <w:r>
              <w:rPr>
                <w:rFonts w:hint="default" w:cs="Times New Roman"/>
                <w:color w:val="auto"/>
              </w:rPr>
              <w:t>危险废物贮存设施内清理出来的泄漏物，一律按危险废物处理。</w:t>
            </w:r>
          </w:p>
          <w:p w14:paraId="02927284">
            <w:pPr>
              <w:keepNext w:val="0"/>
              <w:keepLines w:val="0"/>
              <w:suppressLineNumbers w:val="0"/>
              <w:autoSpaceDE w:val="0"/>
              <w:autoSpaceDN w:val="0"/>
              <w:adjustRightInd w:val="0"/>
              <w:spacing w:before="0" w:beforeAutospacing="0" w:after="0" w:afterAutospacing="0"/>
              <w:ind w:left="0" w:right="0" w:firstLine="480"/>
              <w:textAlignment w:val="bottom"/>
              <w:rPr>
                <w:rFonts w:hint="default" w:cs="Times New Roman"/>
                <w:color w:val="auto"/>
                <w:kern w:val="0"/>
              </w:rPr>
            </w:pPr>
            <w:r>
              <w:rPr>
                <w:rFonts w:hint="default" w:cs="Times New Roman"/>
                <w:color w:val="auto"/>
                <w:kern w:val="0"/>
              </w:rPr>
              <w:t>B</w:t>
            </w:r>
            <w:r>
              <w:rPr>
                <w:rFonts w:hint="eastAsia" w:cs="Times New Roman"/>
                <w:color w:val="auto"/>
                <w:kern w:val="0"/>
              </w:rPr>
              <w:t>.</w:t>
            </w:r>
            <w:r>
              <w:rPr>
                <w:rFonts w:hint="default" w:cs="Times New Roman"/>
                <w:color w:val="auto"/>
                <w:kern w:val="0"/>
              </w:rPr>
              <w:t>运输</w:t>
            </w:r>
          </w:p>
          <w:p w14:paraId="149DB0D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危险废物的转移应严格执行《危险废物转移联单管理办法》（国家环境保护总局令第5号）。出厂委外进行处理的危险废物，均由具有危险废物运输资质的单位采用专用车辆运进、运出。运输线路避免经过居民集中区和饮用水源地，运输途中防止扬尘、洒落和泄漏造成严重污染。转运过程主要须做到以下几点：</w:t>
            </w:r>
          </w:p>
          <w:p w14:paraId="15C4F2F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1）危险废物产生单位在转移危险废物前，须按照国家有关规定报批危险废物转移计划；经批准后，产生单位应当向移出地环境保护行政主管部门申请领取联单。</w:t>
            </w:r>
          </w:p>
          <w:p w14:paraId="1D69E8D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2）产生单位应当在危险废物转移前三日内报告移出地环境保护行政主管部门，并同时将预期到达时间报告接受地环境保护行政主管部门。</w:t>
            </w:r>
          </w:p>
          <w:p w14:paraId="0D1E100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3）危险废物产生单位每转移一车、船（次）同类危险废物，应当填写一份联单。每车、船（次）有多类危险废物的，应当按每一类危险废物填写一份联单。</w:t>
            </w:r>
          </w:p>
          <w:p w14:paraId="2C8F4B7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4）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bookmarkEnd w:id="122"/>
          <w:p w14:paraId="6DFE30C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bCs/>
                <w:color w:val="auto"/>
              </w:rPr>
              <w:t>综上，本项目产生的各种固体废物均有合理可行处置去向，在厂内暂存时不会造成二次污染，废物不向环境中排放，不会对环境造成不利影响。</w:t>
            </w:r>
          </w:p>
          <w:p w14:paraId="1DE9BBBC">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五、地下水</w:t>
            </w:r>
          </w:p>
          <w:p w14:paraId="5AF1A42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排水不会与地下水直接发生联系，故本项目的建设基本不会对地下水水位造成明显影响。本项目的建设仅有可能对地下水的水质造成一定影响。污染物进入地下水的途径主要是由降雨或废水排放等通过垂直渗透进入包气带，进入包气带的污染物在物理、化学和生物作用下经吸附、转化、迁移和分解后输入地下水。</w:t>
            </w:r>
          </w:p>
          <w:p w14:paraId="06D0F5E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kern w:val="0"/>
              </w:rPr>
              <w:t>本项目地下水污染源及主要污染途径如下表所示。</w:t>
            </w:r>
          </w:p>
          <w:p w14:paraId="7F6223A5">
            <w:pPr>
              <w:pStyle w:val="33"/>
              <w:keepNext w:val="0"/>
              <w:keepLines w:val="0"/>
              <w:suppressLineNumbers w:val="0"/>
              <w:spacing w:before="0" w:beforeAutospacing="0" w:after="0" w:afterAutospacing="0"/>
              <w:ind w:left="0" w:right="0"/>
              <w:rPr>
                <w:rFonts w:hint="default" w:cs="Times New Roman"/>
              </w:rPr>
            </w:pPr>
            <w:r>
              <w:rPr>
                <w:rFonts w:hint="default" w:cs="Times New Roman"/>
              </w:rPr>
              <w:t>地下水污染源和污染物类型</w:t>
            </w:r>
          </w:p>
          <w:tbl>
            <w:tblPr>
              <w:tblStyle w:val="18"/>
              <w:tblW w:w="491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2391"/>
              <w:gridCol w:w="3225"/>
            </w:tblGrid>
            <w:tr w14:paraId="54B23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72" w:type="pct"/>
                  <w:vAlign w:val="center"/>
                </w:tcPr>
                <w:p w14:paraId="28F89C7D">
                  <w:pPr>
                    <w:pStyle w:val="26"/>
                    <w:keepNext w:val="0"/>
                    <w:keepLines w:val="0"/>
                    <w:suppressLineNumbers w:val="0"/>
                    <w:spacing w:before="0" w:beforeAutospacing="0" w:after="0" w:afterAutospacing="0"/>
                    <w:ind w:left="0" w:right="0"/>
                    <w:rPr>
                      <w:rFonts w:hint="default"/>
                    </w:rPr>
                  </w:pPr>
                  <w:r>
                    <w:rPr>
                      <w:rFonts w:hint="default"/>
                    </w:rPr>
                    <w:t>污染源</w:t>
                  </w:r>
                </w:p>
              </w:tc>
              <w:tc>
                <w:tcPr>
                  <w:tcW w:w="1587" w:type="pct"/>
                  <w:vAlign w:val="center"/>
                </w:tcPr>
                <w:p w14:paraId="1C1DEC84">
                  <w:pPr>
                    <w:pStyle w:val="26"/>
                    <w:keepNext w:val="0"/>
                    <w:keepLines w:val="0"/>
                    <w:suppressLineNumbers w:val="0"/>
                    <w:spacing w:before="0" w:beforeAutospacing="0" w:after="0" w:afterAutospacing="0"/>
                    <w:ind w:left="0" w:right="0"/>
                    <w:rPr>
                      <w:rFonts w:hint="default"/>
                    </w:rPr>
                  </w:pPr>
                  <w:r>
                    <w:rPr>
                      <w:rFonts w:hint="default"/>
                    </w:rPr>
                    <w:t>污染因子</w:t>
                  </w:r>
                </w:p>
              </w:tc>
              <w:tc>
                <w:tcPr>
                  <w:tcW w:w="2141" w:type="pct"/>
                  <w:vAlign w:val="center"/>
                </w:tcPr>
                <w:p w14:paraId="0E96CDC4">
                  <w:pPr>
                    <w:pStyle w:val="26"/>
                    <w:keepNext w:val="0"/>
                    <w:keepLines w:val="0"/>
                    <w:suppressLineNumbers w:val="0"/>
                    <w:spacing w:before="0" w:beforeAutospacing="0" w:after="0" w:afterAutospacing="0"/>
                    <w:ind w:left="0" w:right="0"/>
                    <w:rPr>
                      <w:rFonts w:hint="default"/>
                    </w:rPr>
                  </w:pPr>
                  <w:r>
                    <w:rPr>
                      <w:rFonts w:hint="default"/>
                    </w:rPr>
                    <w:t>污染途径</w:t>
                  </w:r>
                </w:p>
              </w:tc>
            </w:tr>
            <w:tr w14:paraId="48054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6BD77C3C">
                  <w:pPr>
                    <w:pStyle w:val="26"/>
                    <w:keepNext w:val="0"/>
                    <w:keepLines w:val="0"/>
                    <w:suppressLineNumbers w:val="0"/>
                    <w:spacing w:before="0" w:beforeAutospacing="0" w:after="0" w:afterAutospacing="0"/>
                    <w:ind w:left="0" w:right="0"/>
                    <w:rPr>
                      <w:rFonts w:hint="default"/>
                    </w:rPr>
                  </w:pPr>
                  <w:r>
                    <w:rPr>
                      <w:rFonts w:hint="default"/>
                    </w:rPr>
                    <w:t>生产车间（液硫池）</w:t>
                  </w:r>
                </w:p>
              </w:tc>
              <w:tc>
                <w:tcPr>
                  <w:tcW w:w="1587" w:type="pct"/>
                  <w:vAlign w:val="center"/>
                </w:tcPr>
                <w:p w14:paraId="00517B6E">
                  <w:pPr>
                    <w:pStyle w:val="26"/>
                    <w:keepNext w:val="0"/>
                    <w:keepLines w:val="0"/>
                    <w:suppressLineNumbers w:val="0"/>
                    <w:spacing w:before="0" w:beforeAutospacing="0" w:after="0" w:afterAutospacing="0"/>
                    <w:ind w:left="0" w:right="0"/>
                    <w:rPr>
                      <w:rFonts w:hint="default"/>
                    </w:rPr>
                  </w:pPr>
                  <w:r>
                    <w:rPr>
                      <w:rFonts w:hint="default"/>
                    </w:rPr>
                    <w:t>硫</w:t>
                  </w:r>
                </w:p>
              </w:tc>
              <w:tc>
                <w:tcPr>
                  <w:tcW w:w="2141" w:type="pct"/>
                  <w:vAlign w:val="center"/>
                </w:tcPr>
                <w:p w14:paraId="04C342DD">
                  <w:pPr>
                    <w:pStyle w:val="26"/>
                    <w:keepNext w:val="0"/>
                    <w:keepLines w:val="0"/>
                    <w:suppressLineNumbers w:val="0"/>
                    <w:spacing w:before="0" w:beforeAutospacing="0" w:after="0" w:afterAutospacing="0"/>
                    <w:ind w:left="0" w:right="0"/>
                    <w:rPr>
                      <w:rFonts w:hint="default"/>
                    </w:rPr>
                  </w:pPr>
                  <w:r>
                    <w:rPr>
                      <w:rFonts w:hint="default"/>
                    </w:rPr>
                    <w:t>液硫池破损，硫下渗</w:t>
                  </w:r>
                </w:p>
              </w:tc>
            </w:tr>
            <w:tr w14:paraId="70B46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355F7462">
                  <w:pPr>
                    <w:pStyle w:val="26"/>
                    <w:keepNext w:val="0"/>
                    <w:keepLines w:val="0"/>
                    <w:suppressLineNumbers w:val="0"/>
                    <w:spacing w:before="0" w:beforeAutospacing="0" w:after="0" w:afterAutospacing="0"/>
                    <w:ind w:left="0" w:right="0"/>
                    <w:rPr>
                      <w:rFonts w:hint="default"/>
                    </w:rPr>
                  </w:pPr>
                  <w:r>
                    <w:rPr>
                      <w:rFonts w:hint="default"/>
                    </w:rPr>
                    <w:t>预处理池</w:t>
                  </w:r>
                </w:p>
              </w:tc>
              <w:tc>
                <w:tcPr>
                  <w:tcW w:w="1587" w:type="pct"/>
                  <w:vAlign w:val="center"/>
                </w:tcPr>
                <w:p w14:paraId="6BD0DB90">
                  <w:pPr>
                    <w:pStyle w:val="26"/>
                    <w:keepNext w:val="0"/>
                    <w:keepLines w:val="0"/>
                    <w:suppressLineNumbers w:val="0"/>
                    <w:spacing w:before="0" w:beforeAutospacing="0" w:after="0" w:afterAutospacing="0"/>
                    <w:ind w:left="0" w:right="0"/>
                    <w:rPr>
                      <w:rFonts w:hint="default"/>
                    </w:rPr>
                  </w:pPr>
                  <w:r>
                    <w:rPr>
                      <w:rFonts w:hint="default"/>
                    </w:rPr>
                    <w:t>pH、COD、SS等</w:t>
                  </w:r>
                </w:p>
              </w:tc>
              <w:tc>
                <w:tcPr>
                  <w:tcW w:w="2141" w:type="pct"/>
                  <w:vAlign w:val="center"/>
                </w:tcPr>
                <w:p w14:paraId="61F6B9D6">
                  <w:pPr>
                    <w:pStyle w:val="26"/>
                    <w:keepNext w:val="0"/>
                    <w:keepLines w:val="0"/>
                    <w:suppressLineNumbers w:val="0"/>
                    <w:spacing w:before="0" w:beforeAutospacing="0" w:after="0" w:afterAutospacing="0"/>
                    <w:ind w:left="0" w:right="0"/>
                    <w:rPr>
                      <w:rFonts w:hint="default"/>
                    </w:rPr>
                  </w:pPr>
                  <w:r>
                    <w:rPr>
                      <w:rFonts w:hint="default"/>
                    </w:rPr>
                    <w:t>池体破损，污水下渗</w:t>
                  </w:r>
                </w:p>
              </w:tc>
            </w:tr>
            <w:tr w14:paraId="08440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6CD91103">
                  <w:pPr>
                    <w:pStyle w:val="26"/>
                    <w:keepNext w:val="0"/>
                    <w:keepLines w:val="0"/>
                    <w:suppressLineNumbers w:val="0"/>
                    <w:spacing w:before="0" w:beforeAutospacing="0" w:after="0" w:afterAutospacing="0"/>
                    <w:ind w:left="0" w:right="0"/>
                    <w:rPr>
                      <w:rFonts w:hint="default"/>
                    </w:rPr>
                  </w:pPr>
                  <w:r>
                    <w:rPr>
                      <w:rFonts w:hint="default"/>
                    </w:rPr>
                    <w:t>危废暂存间</w:t>
                  </w:r>
                </w:p>
              </w:tc>
              <w:tc>
                <w:tcPr>
                  <w:tcW w:w="1587" w:type="pct"/>
                  <w:vAlign w:val="center"/>
                </w:tcPr>
                <w:p w14:paraId="35D835F9">
                  <w:pPr>
                    <w:pStyle w:val="26"/>
                    <w:keepNext w:val="0"/>
                    <w:keepLines w:val="0"/>
                    <w:suppressLineNumbers w:val="0"/>
                    <w:spacing w:before="0" w:beforeAutospacing="0" w:after="0" w:afterAutospacing="0"/>
                    <w:ind w:left="0" w:right="0"/>
                    <w:rPr>
                      <w:rFonts w:hint="default"/>
                    </w:rPr>
                  </w:pPr>
                  <w:r>
                    <w:rPr>
                      <w:rFonts w:hint="default"/>
                    </w:rPr>
                    <w:t>废碱液、矿物油等</w:t>
                  </w:r>
                </w:p>
              </w:tc>
              <w:tc>
                <w:tcPr>
                  <w:tcW w:w="2141" w:type="pct"/>
                  <w:vAlign w:val="center"/>
                </w:tcPr>
                <w:p w14:paraId="0909CC84">
                  <w:pPr>
                    <w:pStyle w:val="26"/>
                    <w:keepNext w:val="0"/>
                    <w:keepLines w:val="0"/>
                    <w:suppressLineNumbers w:val="0"/>
                    <w:spacing w:before="0" w:beforeAutospacing="0" w:after="0" w:afterAutospacing="0"/>
                    <w:ind w:left="0" w:right="0"/>
                    <w:rPr>
                      <w:rFonts w:hint="default"/>
                    </w:rPr>
                  </w:pPr>
                  <w:r>
                    <w:rPr>
                      <w:rFonts w:hint="default"/>
                    </w:rPr>
                    <w:t>地面防渗材料破损，污染物下渗</w:t>
                  </w:r>
                </w:p>
              </w:tc>
            </w:tr>
            <w:tr w14:paraId="654D7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26B2C984">
                  <w:pPr>
                    <w:pStyle w:val="26"/>
                    <w:keepNext w:val="0"/>
                    <w:keepLines w:val="0"/>
                    <w:suppressLineNumbers w:val="0"/>
                    <w:spacing w:before="0" w:beforeAutospacing="0" w:after="0" w:afterAutospacing="0"/>
                    <w:ind w:left="0" w:right="0"/>
                    <w:rPr>
                      <w:rFonts w:hint="default"/>
                    </w:rPr>
                  </w:pPr>
                  <w:r>
                    <w:rPr>
                      <w:rFonts w:hint="default"/>
                    </w:rPr>
                    <w:t>柴油撬装站及装卸区</w:t>
                  </w:r>
                </w:p>
              </w:tc>
              <w:tc>
                <w:tcPr>
                  <w:tcW w:w="1587" w:type="pct"/>
                  <w:vAlign w:val="center"/>
                </w:tcPr>
                <w:p w14:paraId="3A93ADBC">
                  <w:pPr>
                    <w:pStyle w:val="26"/>
                    <w:keepNext w:val="0"/>
                    <w:keepLines w:val="0"/>
                    <w:suppressLineNumbers w:val="0"/>
                    <w:spacing w:before="0" w:beforeAutospacing="0" w:after="0" w:afterAutospacing="0"/>
                    <w:ind w:left="0" w:right="0"/>
                    <w:rPr>
                      <w:rFonts w:hint="default"/>
                    </w:rPr>
                  </w:pPr>
                  <w:r>
                    <w:rPr>
                      <w:rFonts w:hint="default"/>
                    </w:rPr>
                    <w:t>柴油</w:t>
                  </w:r>
                </w:p>
              </w:tc>
              <w:tc>
                <w:tcPr>
                  <w:tcW w:w="2141" w:type="pct"/>
                  <w:vAlign w:val="center"/>
                </w:tcPr>
                <w:p w14:paraId="726C0395">
                  <w:pPr>
                    <w:pStyle w:val="26"/>
                    <w:keepNext w:val="0"/>
                    <w:keepLines w:val="0"/>
                    <w:suppressLineNumbers w:val="0"/>
                    <w:spacing w:before="0" w:beforeAutospacing="0" w:after="0" w:afterAutospacing="0"/>
                    <w:ind w:left="0" w:right="0"/>
                    <w:rPr>
                      <w:rFonts w:hint="default"/>
                    </w:rPr>
                  </w:pPr>
                  <w:r>
                    <w:rPr>
                      <w:rFonts w:hint="default"/>
                    </w:rPr>
                    <w:t>罐体破损，柴油下渗</w:t>
                  </w:r>
                </w:p>
              </w:tc>
            </w:tr>
            <w:tr w14:paraId="592EA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686FB3AB">
                  <w:pPr>
                    <w:pStyle w:val="26"/>
                    <w:keepNext w:val="0"/>
                    <w:keepLines w:val="0"/>
                    <w:suppressLineNumbers w:val="0"/>
                    <w:spacing w:before="0" w:beforeAutospacing="0" w:after="0" w:afterAutospacing="0"/>
                    <w:ind w:left="0" w:right="0"/>
                    <w:rPr>
                      <w:rFonts w:hint="default"/>
                    </w:rPr>
                  </w:pPr>
                  <w:r>
                    <w:rPr>
                      <w:rFonts w:hint="default"/>
                    </w:rPr>
                    <w:t>事故池</w:t>
                  </w:r>
                </w:p>
              </w:tc>
              <w:tc>
                <w:tcPr>
                  <w:tcW w:w="1587" w:type="pct"/>
                  <w:vAlign w:val="center"/>
                </w:tcPr>
                <w:p w14:paraId="6E02F768">
                  <w:pPr>
                    <w:pStyle w:val="26"/>
                    <w:keepNext w:val="0"/>
                    <w:keepLines w:val="0"/>
                    <w:suppressLineNumbers w:val="0"/>
                    <w:spacing w:before="0" w:beforeAutospacing="0" w:after="0" w:afterAutospacing="0"/>
                    <w:ind w:left="0" w:right="0"/>
                    <w:rPr>
                      <w:rFonts w:hint="default"/>
                    </w:rPr>
                  </w:pPr>
                  <w:r>
                    <w:rPr>
                      <w:rFonts w:hint="default"/>
                    </w:rPr>
                    <w:t>受污染的废水</w:t>
                  </w:r>
                </w:p>
              </w:tc>
              <w:tc>
                <w:tcPr>
                  <w:tcW w:w="2141" w:type="pct"/>
                  <w:vAlign w:val="center"/>
                </w:tcPr>
                <w:p w14:paraId="1231A3C8">
                  <w:pPr>
                    <w:pStyle w:val="26"/>
                    <w:keepNext w:val="0"/>
                    <w:keepLines w:val="0"/>
                    <w:suppressLineNumbers w:val="0"/>
                    <w:spacing w:before="0" w:beforeAutospacing="0" w:after="0" w:afterAutospacing="0"/>
                    <w:ind w:left="0" w:right="0"/>
                    <w:rPr>
                      <w:rFonts w:hint="default"/>
                    </w:rPr>
                  </w:pPr>
                  <w:r>
                    <w:rPr>
                      <w:rFonts w:hint="default"/>
                    </w:rPr>
                    <w:t>池体破损，事故水下渗</w:t>
                  </w:r>
                </w:p>
              </w:tc>
            </w:tr>
            <w:tr w14:paraId="2A13E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pct"/>
                  <w:vAlign w:val="center"/>
                </w:tcPr>
                <w:p w14:paraId="276280D1">
                  <w:pPr>
                    <w:pStyle w:val="26"/>
                    <w:keepNext w:val="0"/>
                    <w:keepLines w:val="0"/>
                    <w:suppressLineNumbers w:val="0"/>
                    <w:spacing w:before="0" w:beforeAutospacing="0" w:after="0" w:afterAutospacing="0"/>
                    <w:ind w:left="0" w:right="0"/>
                    <w:rPr>
                      <w:rFonts w:hint="default"/>
                    </w:rPr>
                  </w:pPr>
                  <w:r>
                    <w:rPr>
                      <w:rFonts w:hint="default"/>
                    </w:rPr>
                    <w:t>初期雨水池</w:t>
                  </w:r>
                </w:p>
              </w:tc>
              <w:tc>
                <w:tcPr>
                  <w:tcW w:w="1587" w:type="pct"/>
                  <w:vAlign w:val="center"/>
                </w:tcPr>
                <w:p w14:paraId="7070A465">
                  <w:pPr>
                    <w:pStyle w:val="26"/>
                    <w:keepNext w:val="0"/>
                    <w:keepLines w:val="0"/>
                    <w:suppressLineNumbers w:val="0"/>
                    <w:spacing w:before="0" w:beforeAutospacing="0" w:after="0" w:afterAutospacing="0"/>
                    <w:ind w:left="0" w:right="0"/>
                    <w:rPr>
                      <w:rFonts w:hint="default"/>
                    </w:rPr>
                  </w:pPr>
                  <w:r>
                    <w:rPr>
                      <w:rFonts w:hint="default"/>
                    </w:rPr>
                    <w:t>初期雨水</w:t>
                  </w:r>
                </w:p>
              </w:tc>
              <w:tc>
                <w:tcPr>
                  <w:tcW w:w="2141" w:type="pct"/>
                  <w:vAlign w:val="center"/>
                </w:tcPr>
                <w:p w14:paraId="01A46660">
                  <w:pPr>
                    <w:pStyle w:val="26"/>
                    <w:keepNext w:val="0"/>
                    <w:keepLines w:val="0"/>
                    <w:suppressLineNumbers w:val="0"/>
                    <w:spacing w:before="0" w:beforeAutospacing="0" w:after="0" w:afterAutospacing="0"/>
                    <w:ind w:left="0" w:right="0"/>
                    <w:rPr>
                      <w:rFonts w:hint="default"/>
                    </w:rPr>
                  </w:pPr>
                  <w:r>
                    <w:rPr>
                      <w:rFonts w:hint="default"/>
                    </w:rPr>
                    <w:t>池体破损，初期雨水下渗</w:t>
                  </w:r>
                </w:p>
              </w:tc>
            </w:tr>
          </w:tbl>
          <w:p w14:paraId="259F24A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1、污染防治措施</w:t>
            </w:r>
          </w:p>
          <w:p w14:paraId="1520AA5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（1）污染源源头控制</w:t>
            </w:r>
          </w:p>
          <w:p w14:paraId="2975AE6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本项目污染源头控制主要包括减少污染物的排放，提出工艺、管道、设备、污水储存及处理构筑物应采取的污染控制措施，将污染物跑、冒、滴、漏降到最低限度。</w:t>
            </w:r>
          </w:p>
          <w:p w14:paraId="1F996D8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1 \* GB3 </w:instrText>
            </w:r>
            <w:r>
              <w:rPr>
                <w:rFonts w:hint="default" w:cs="Times New Roman"/>
                <w:color w:val="auto"/>
              </w:rPr>
              <w:fldChar w:fldCharType="separate"/>
            </w:r>
            <w:r>
              <w:rPr>
                <w:rFonts w:hint="eastAsia" w:ascii="宋体" w:hAnsi="宋体" w:cs="宋体"/>
                <w:color w:val="auto"/>
              </w:rPr>
              <w:t>①</w:t>
            </w:r>
            <w:r>
              <w:rPr>
                <w:rFonts w:hint="default" w:cs="Times New Roman"/>
                <w:color w:val="auto"/>
              </w:rPr>
              <w:fldChar w:fldCharType="end"/>
            </w:r>
            <w:r>
              <w:rPr>
                <w:rFonts w:hint="default" w:cs="Times New Roman"/>
                <w:color w:val="auto"/>
              </w:rPr>
              <w:t>实施清洁生产及各类废物循环利用的具体方案，减少污染物的排放量；防止污染物的跑冒漏滴，将污染物的泄漏环境风险事故降到最低限度；</w:t>
            </w:r>
          </w:p>
          <w:p w14:paraId="0AAA76A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2 \* GB3 </w:instrText>
            </w:r>
            <w:r>
              <w:rPr>
                <w:rFonts w:hint="default" w:cs="Times New Roman"/>
                <w:color w:val="auto"/>
              </w:rPr>
              <w:fldChar w:fldCharType="separate"/>
            </w:r>
            <w:r>
              <w:rPr>
                <w:rFonts w:hint="eastAsia" w:ascii="宋体" w:hAnsi="宋体" w:cs="宋体"/>
                <w:color w:val="auto"/>
              </w:rPr>
              <w:t>②</w:t>
            </w:r>
            <w:r>
              <w:rPr>
                <w:rFonts w:hint="default" w:cs="Times New Roman"/>
                <w:color w:val="auto"/>
              </w:rPr>
              <w:fldChar w:fldCharType="end"/>
            </w:r>
            <w:r>
              <w:rPr>
                <w:rFonts w:hint="default" w:cs="Times New Roman"/>
                <w:color w:val="auto"/>
              </w:rPr>
              <w:t>对项目排水系统和各池体及排放管道均做防渗处理；</w:t>
            </w:r>
          </w:p>
          <w:p w14:paraId="62F3E98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3 \* GB3 </w:instrText>
            </w:r>
            <w:r>
              <w:rPr>
                <w:rFonts w:hint="default" w:cs="Times New Roman"/>
                <w:color w:val="auto"/>
              </w:rPr>
              <w:fldChar w:fldCharType="separate"/>
            </w:r>
            <w:r>
              <w:rPr>
                <w:rFonts w:hint="eastAsia" w:ascii="宋体" w:hAnsi="宋体" w:cs="宋体"/>
                <w:color w:val="auto"/>
              </w:rPr>
              <w:t>③</w:t>
            </w:r>
            <w:r>
              <w:rPr>
                <w:rFonts w:hint="default" w:cs="Times New Roman"/>
                <w:color w:val="auto"/>
              </w:rPr>
              <w:fldChar w:fldCharType="end"/>
            </w:r>
            <w:r>
              <w:rPr>
                <w:rFonts w:hint="default" w:cs="Times New Roman"/>
                <w:color w:val="auto"/>
              </w:rPr>
              <w:t>项目各废水收集池、排污管沟均做防渗处理；并修建雨水沟，实行雨污分流；</w:t>
            </w:r>
          </w:p>
          <w:p w14:paraId="11697A7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4 \* GB3 </w:instrText>
            </w:r>
            <w:r>
              <w:rPr>
                <w:rFonts w:hint="default" w:cs="Times New Roman"/>
                <w:color w:val="auto"/>
              </w:rPr>
              <w:fldChar w:fldCharType="separate"/>
            </w:r>
            <w:r>
              <w:rPr>
                <w:rFonts w:hint="eastAsia" w:ascii="宋体" w:hAnsi="宋体" w:cs="宋体"/>
                <w:color w:val="auto"/>
              </w:rPr>
              <w:t>④</w:t>
            </w:r>
            <w:r>
              <w:rPr>
                <w:rFonts w:hint="default" w:cs="Times New Roman"/>
                <w:color w:val="auto"/>
              </w:rPr>
              <w:fldChar w:fldCharType="end"/>
            </w:r>
            <w:r>
              <w:rPr>
                <w:rFonts w:hint="default" w:cs="Times New Roman"/>
                <w:color w:val="auto"/>
              </w:rPr>
              <w:t>强化管道、水池的转弯、承抽、对接等处的防渗工程，并做好隐蔽工程记录；</w:t>
            </w:r>
          </w:p>
          <w:p w14:paraId="4FA73954">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5 \* GB3 </w:instrText>
            </w:r>
            <w:r>
              <w:rPr>
                <w:rFonts w:hint="default" w:cs="Times New Roman"/>
                <w:color w:val="auto"/>
              </w:rPr>
              <w:fldChar w:fldCharType="separate"/>
            </w:r>
            <w:r>
              <w:rPr>
                <w:rFonts w:hint="eastAsia" w:ascii="宋体" w:hAnsi="宋体" w:cs="宋体"/>
                <w:color w:val="auto"/>
              </w:rPr>
              <w:t>⑤</w:t>
            </w:r>
            <w:r>
              <w:rPr>
                <w:rFonts w:hint="default" w:cs="Times New Roman"/>
                <w:color w:val="auto"/>
              </w:rPr>
              <w:fldChar w:fldCharType="end"/>
            </w:r>
            <w:r>
              <w:rPr>
                <w:rFonts w:hint="default" w:cs="Times New Roman"/>
                <w:color w:val="auto"/>
              </w:rPr>
              <w:t>必须定期进行泄漏检测。</w:t>
            </w:r>
          </w:p>
          <w:p w14:paraId="4B9F779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（2）分区防渗</w:t>
            </w:r>
          </w:p>
          <w:p w14:paraId="46F2F8B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为有效防止项目运行过程中废水下渗污染地下水，本项目各建构筑物应采取分区防渗措施。分区防渗原则如下：</w:t>
            </w:r>
          </w:p>
          <w:p w14:paraId="3184E458">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1 \* GB3 </w:instrText>
            </w:r>
            <w:r>
              <w:rPr>
                <w:rFonts w:hint="default" w:cs="Times New Roman"/>
                <w:color w:val="auto"/>
              </w:rPr>
              <w:fldChar w:fldCharType="separate"/>
            </w:r>
            <w:r>
              <w:rPr>
                <w:rFonts w:hint="eastAsia" w:ascii="宋体" w:hAnsi="宋体" w:cs="宋体"/>
                <w:color w:val="auto"/>
              </w:rPr>
              <w:t>①</w:t>
            </w:r>
            <w:r>
              <w:rPr>
                <w:rFonts w:hint="default" w:cs="Times New Roman"/>
                <w:color w:val="auto"/>
              </w:rPr>
              <w:fldChar w:fldCharType="end"/>
            </w:r>
            <w:r>
              <w:rPr>
                <w:rFonts w:hint="default" w:cs="Times New Roman"/>
                <w:color w:val="auto"/>
              </w:rPr>
              <w:t>按照各污染处理装置通过各种途径可能进入地下水环境的各种污水的泄漏（含跑、冒、滴、漏）量及其他各类污染物的性质、产生和排放量，厂区分为非污染防治区和污染防治区；</w:t>
            </w:r>
          </w:p>
          <w:p w14:paraId="60F9C08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fldChar w:fldCharType="begin"/>
            </w:r>
            <w:r>
              <w:rPr>
                <w:rFonts w:hint="default" w:cs="Times New Roman"/>
                <w:color w:val="auto"/>
              </w:rPr>
              <w:instrText xml:space="preserve"> = 2 \* GB3 </w:instrText>
            </w:r>
            <w:r>
              <w:rPr>
                <w:rFonts w:hint="default" w:cs="Times New Roman"/>
                <w:color w:val="auto"/>
              </w:rPr>
              <w:fldChar w:fldCharType="separate"/>
            </w:r>
            <w:r>
              <w:rPr>
                <w:rFonts w:hint="eastAsia" w:ascii="宋体" w:hAnsi="宋体" w:cs="宋体"/>
                <w:color w:val="auto"/>
              </w:rPr>
              <w:t>②</w:t>
            </w:r>
            <w:r>
              <w:rPr>
                <w:rFonts w:hint="default" w:cs="Times New Roman"/>
                <w:color w:val="auto"/>
              </w:rPr>
              <w:fldChar w:fldCharType="end"/>
            </w:r>
            <w:r>
              <w:rPr>
                <w:rFonts w:hint="default" w:cs="Times New Roman"/>
                <w:color w:val="auto"/>
              </w:rPr>
              <w:t>污染防治区根据工程特点又分为一般污染防治区、重点污染防治区。一般污染防治区是指毒性小、渗漏量小的污水处理装置区、装置区外管道区；重点污染防治区是指危害性大、毒性较大、渗漏量较大的污水处理装置区、物料储罐区及固体废物暂存区等。</w:t>
            </w:r>
          </w:p>
          <w:p w14:paraId="12CB763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本项目按照“考虑重点，辐射全面”的防腐防渗原则，针对不同功能区采取相应的防渗措施，本项目根据使用功能区分为重点防渗区、一般防渗区、简单防渗区。</w:t>
            </w:r>
          </w:p>
          <w:p w14:paraId="3A32CDA1">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本项目分区防渗情况一览表</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81"/>
              <w:gridCol w:w="1153"/>
              <w:gridCol w:w="2060"/>
              <w:gridCol w:w="2662"/>
            </w:tblGrid>
            <w:tr w14:paraId="1B944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63" w:type="pct"/>
                  <w:tcBorders>
                    <w:tl2br w:val="nil"/>
                    <w:tr2bl w:val="nil"/>
                  </w:tcBorders>
                  <w:shd w:val="clear" w:color="auto" w:fill="auto"/>
                  <w:vAlign w:val="center"/>
                </w:tcPr>
                <w:p w14:paraId="45B1D5A3">
                  <w:pPr>
                    <w:pStyle w:val="26"/>
                    <w:keepNext w:val="0"/>
                    <w:keepLines w:val="0"/>
                    <w:suppressLineNumbers w:val="0"/>
                    <w:spacing w:before="0" w:beforeAutospacing="0" w:after="0" w:afterAutospacing="0"/>
                    <w:ind w:left="0" w:right="0"/>
                    <w:rPr>
                      <w:rFonts w:hint="default"/>
                    </w:rPr>
                  </w:pPr>
                  <w:r>
                    <w:rPr>
                      <w:rFonts w:hint="default"/>
                    </w:rPr>
                    <w:t>构筑物</w:t>
                  </w:r>
                </w:p>
              </w:tc>
              <w:tc>
                <w:tcPr>
                  <w:tcW w:w="753" w:type="pct"/>
                  <w:tcBorders>
                    <w:tl2br w:val="nil"/>
                    <w:tr2bl w:val="nil"/>
                  </w:tcBorders>
                  <w:shd w:val="clear" w:color="auto" w:fill="auto"/>
                  <w:vAlign w:val="center"/>
                </w:tcPr>
                <w:p w14:paraId="177A9CCC">
                  <w:pPr>
                    <w:pStyle w:val="26"/>
                    <w:keepNext w:val="0"/>
                    <w:keepLines w:val="0"/>
                    <w:suppressLineNumbers w:val="0"/>
                    <w:spacing w:before="0" w:beforeAutospacing="0" w:after="0" w:afterAutospacing="0"/>
                    <w:ind w:left="0" w:right="0"/>
                    <w:rPr>
                      <w:rFonts w:hint="default"/>
                    </w:rPr>
                  </w:pPr>
                  <w:r>
                    <w:rPr>
                      <w:rFonts w:hint="default"/>
                    </w:rPr>
                    <w:t>防渗分区</w:t>
                  </w:r>
                </w:p>
              </w:tc>
              <w:tc>
                <w:tcPr>
                  <w:tcW w:w="1345" w:type="pct"/>
                  <w:tcBorders>
                    <w:tl2br w:val="nil"/>
                    <w:tr2bl w:val="nil"/>
                  </w:tcBorders>
                  <w:shd w:val="clear" w:color="auto" w:fill="auto"/>
                  <w:vAlign w:val="center"/>
                </w:tcPr>
                <w:p w14:paraId="1A04091E">
                  <w:pPr>
                    <w:pStyle w:val="26"/>
                    <w:keepNext w:val="0"/>
                    <w:keepLines w:val="0"/>
                    <w:suppressLineNumbers w:val="0"/>
                    <w:spacing w:before="0" w:beforeAutospacing="0" w:after="0" w:afterAutospacing="0"/>
                    <w:ind w:left="0" w:right="0"/>
                    <w:rPr>
                      <w:rFonts w:hint="default"/>
                    </w:rPr>
                  </w:pPr>
                  <w:r>
                    <w:rPr>
                      <w:rFonts w:hint="default"/>
                    </w:rPr>
                    <w:t>采取的防渗措施</w:t>
                  </w:r>
                </w:p>
              </w:tc>
              <w:tc>
                <w:tcPr>
                  <w:tcW w:w="1737" w:type="pct"/>
                  <w:tcBorders>
                    <w:tl2br w:val="nil"/>
                    <w:tr2bl w:val="nil"/>
                  </w:tcBorders>
                  <w:shd w:val="clear" w:color="auto" w:fill="auto"/>
                  <w:vAlign w:val="center"/>
                </w:tcPr>
                <w:p w14:paraId="15C04AE0">
                  <w:pPr>
                    <w:pStyle w:val="26"/>
                    <w:keepNext w:val="0"/>
                    <w:keepLines w:val="0"/>
                    <w:suppressLineNumbers w:val="0"/>
                    <w:spacing w:before="0" w:beforeAutospacing="0" w:after="0" w:afterAutospacing="0"/>
                    <w:ind w:left="0" w:right="0"/>
                    <w:rPr>
                      <w:rFonts w:hint="default"/>
                    </w:rPr>
                  </w:pPr>
                  <w:r>
                    <w:rPr>
                      <w:rFonts w:hint="default"/>
                    </w:rPr>
                    <w:t>技术要求</w:t>
                  </w:r>
                </w:p>
              </w:tc>
            </w:tr>
            <w:tr w14:paraId="03782F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63" w:type="pct"/>
                  <w:tcBorders>
                    <w:tl2br w:val="nil"/>
                    <w:tr2bl w:val="nil"/>
                  </w:tcBorders>
                  <w:shd w:val="clear" w:color="auto" w:fill="auto"/>
                  <w:vAlign w:val="center"/>
                </w:tcPr>
                <w:p w14:paraId="3F614CC6">
                  <w:pPr>
                    <w:pStyle w:val="26"/>
                    <w:keepNext w:val="0"/>
                    <w:keepLines w:val="0"/>
                    <w:suppressLineNumbers w:val="0"/>
                    <w:spacing w:before="0" w:beforeAutospacing="0" w:after="0" w:afterAutospacing="0"/>
                    <w:ind w:left="0" w:right="0"/>
                    <w:rPr>
                      <w:rFonts w:hint="default"/>
                    </w:rPr>
                  </w:pPr>
                  <w:r>
                    <w:rPr>
                      <w:rFonts w:hint="default"/>
                    </w:rPr>
                    <w:t>生产车间、危废暂存间、事故池、初期雨水池、柴油撬装站及装卸区</w:t>
                  </w:r>
                </w:p>
              </w:tc>
              <w:tc>
                <w:tcPr>
                  <w:tcW w:w="753" w:type="pct"/>
                  <w:tcBorders>
                    <w:tl2br w:val="nil"/>
                    <w:tr2bl w:val="nil"/>
                  </w:tcBorders>
                  <w:shd w:val="clear" w:color="auto" w:fill="auto"/>
                  <w:vAlign w:val="center"/>
                </w:tcPr>
                <w:p w14:paraId="0D3E2A7C">
                  <w:pPr>
                    <w:pStyle w:val="26"/>
                    <w:keepNext w:val="0"/>
                    <w:keepLines w:val="0"/>
                    <w:suppressLineNumbers w:val="0"/>
                    <w:spacing w:before="0" w:beforeAutospacing="0" w:after="0" w:afterAutospacing="0"/>
                    <w:ind w:left="0" w:right="0"/>
                    <w:rPr>
                      <w:rFonts w:hint="default"/>
                    </w:rPr>
                  </w:pPr>
                  <w:r>
                    <w:rPr>
                      <w:rFonts w:hint="default"/>
                    </w:rPr>
                    <w:t>重点防渗区</w:t>
                  </w:r>
                </w:p>
              </w:tc>
              <w:tc>
                <w:tcPr>
                  <w:tcW w:w="1345" w:type="pct"/>
                  <w:tcBorders>
                    <w:tl2br w:val="nil"/>
                    <w:tr2bl w:val="nil"/>
                  </w:tcBorders>
                  <w:shd w:val="clear" w:color="auto" w:fill="auto"/>
                  <w:vAlign w:val="center"/>
                </w:tcPr>
                <w:p w14:paraId="40269E3F">
                  <w:pPr>
                    <w:pStyle w:val="26"/>
                    <w:keepNext w:val="0"/>
                    <w:keepLines w:val="0"/>
                    <w:suppressLineNumbers w:val="0"/>
                    <w:spacing w:before="0" w:beforeAutospacing="0" w:after="0" w:afterAutospacing="0"/>
                    <w:ind w:left="0" w:right="0"/>
                    <w:rPr>
                      <w:rFonts w:hint="default"/>
                    </w:rPr>
                  </w:pPr>
                  <w:r>
                    <w:rPr>
                      <w:rFonts w:hint="default"/>
                    </w:rPr>
                    <w:t>20cm厚P8等级防渗混凝土+2mm厚防腐环氧地坪+金属托盘</w:t>
                  </w:r>
                </w:p>
              </w:tc>
              <w:tc>
                <w:tcPr>
                  <w:tcW w:w="1737" w:type="pct"/>
                  <w:tcBorders>
                    <w:tl2br w:val="nil"/>
                    <w:tr2bl w:val="nil"/>
                  </w:tcBorders>
                  <w:shd w:val="clear" w:color="auto" w:fill="auto"/>
                  <w:vAlign w:val="center"/>
                </w:tcPr>
                <w:p w14:paraId="46604DCD">
                  <w:pPr>
                    <w:pStyle w:val="26"/>
                    <w:keepNext w:val="0"/>
                    <w:keepLines w:val="0"/>
                    <w:suppressLineNumbers w:val="0"/>
                    <w:spacing w:before="0" w:beforeAutospacing="0" w:after="0" w:afterAutospacing="0"/>
                    <w:ind w:left="0" w:right="0"/>
                    <w:rPr>
                      <w:rFonts w:hint="default"/>
                    </w:rPr>
                  </w:pPr>
                  <w:r>
                    <w:rPr>
                      <w:rFonts w:hint="default"/>
                    </w:rPr>
                    <w:t>防渗性能与“厚度Mb≥6.0m，渗透系数K≤1×10</w:t>
                  </w:r>
                  <w:r>
                    <w:rPr>
                      <w:rFonts w:hint="default"/>
                      <w:vertAlign w:val="superscript"/>
                    </w:rPr>
                    <w:t>-10</w:t>
                  </w:r>
                  <w:r>
                    <w:rPr>
                      <w:rFonts w:hint="default"/>
                    </w:rPr>
                    <w:t>cm/s粘土防渗层”等效</w:t>
                  </w:r>
                </w:p>
              </w:tc>
            </w:tr>
            <w:tr w14:paraId="45C97A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63" w:type="pct"/>
                  <w:tcBorders>
                    <w:tl2br w:val="nil"/>
                    <w:tr2bl w:val="nil"/>
                  </w:tcBorders>
                  <w:shd w:val="clear" w:color="auto" w:fill="auto"/>
                  <w:vAlign w:val="center"/>
                </w:tcPr>
                <w:p w14:paraId="58B1F351">
                  <w:pPr>
                    <w:pStyle w:val="26"/>
                    <w:keepNext w:val="0"/>
                    <w:keepLines w:val="0"/>
                    <w:suppressLineNumbers w:val="0"/>
                    <w:spacing w:before="0" w:beforeAutospacing="0" w:after="0" w:afterAutospacing="0"/>
                    <w:ind w:left="0" w:right="0"/>
                    <w:rPr>
                      <w:rFonts w:hint="default"/>
                    </w:rPr>
                  </w:pPr>
                  <w:r>
                    <w:rPr>
                      <w:rFonts w:hint="default"/>
                    </w:rPr>
                    <w:t>干冰车间、食品级硫磺仓库、矩形料场等</w:t>
                  </w:r>
                </w:p>
              </w:tc>
              <w:tc>
                <w:tcPr>
                  <w:tcW w:w="753" w:type="pct"/>
                  <w:tcBorders>
                    <w:tl2br w:val="nil"/>
                    <w:tr2bl w:val="nil"/>
                  </w:tcBorders>
                  <w:shd w:val="clear" w:color="auto" w:fill="auto"/>
                  <w:vAlign w:val="center"/>
                </w:tcPr>
                <w:p w14:paraId="0B0FBEEB">
                  <w:pPr>
                    <w:pStyle w:val="26"/>
                    <w:keepNext w:val="0"/>
                    <w:keepLines w:val="0"/>
                    <w:suppressLineNumbers w:val="0"/>
                    <w:spacing w:before="0" w:beforeAutospacing="0" w:after="0" w:afterAutospacing="0"/>
                    <w:ind w:left="0" w:right="0"/>
                    <w:rPr>
                      <w:rFonts w:hint="default"/>
                    </w:rPr>
                  </w:pPr>
                  <w:r>
                    <w:rPr>
                      <w:rFonts w:hint="default"/>
                    </w:rPr>
                    <w:t>一般防渗区</w:t>
                  </w:r>
                </w:p>
              </w:tc>
              <w:tc>
                <w:tcPr>
                  <w:tcW w:w="1345" w:type="pct"/>
                  <w:tcBorders>
                    <w:tl2br w:val="nil"/>
                    <w:tr2bl w:val="nil"/>
                  </w:tcBorders>
                  <w:shd w:val="clear" w:color="auto" w:fill="auto"/>
                  <w:vAlign w:val="center"/>
                </w:tcPr>
                <w:p w14:paraId="6AA6F800">
                  <w:pPr>
                    <w:pStyle w:val="26"/>
                    <w:keepNext w:val="0"/>
                    <w:keepLines w:val="0"/>
                    <w:suppressLineNumbers w:val="0"/>
                    <w:spacing w:before="0" w:beforeAutospacing="0" w:after="0" w:afterAutospacing="0"/>
                    <w:ind w:left="0" w:right="0"/>
                    <w:rPr>
                      <w:rFonts w:hint="default"/>
                    </w:rPr>
                  </w:pPr>
                  <w:r>
                    <w:rPr>
                      <w:rFonts w:hint="default"/>
                    </w:rPr>
                    <w:t>20cm厚P6等级防渗混凝土硬化地面</w:t>
                  </w:r>
                </w:p>
              </w:tc>
              <w:tc>
                <w:tcPr>
                  <w:tcW w:w="1737" w:type="pct"/>
                  <w:tcBorders>
                    <w:tl2br w:val="nil"/>
                    <w:tr2bl w:val="nil"/>
                  </w:tcBorders>
                  <w:shd w:val="clear" w:color="auto" w:fill="auto"/>
                  <w:vAlign w:val="center"/>
                </w:tcPr>
                <w:p w14:paraId="57D68061">
                  <w:pPr>
                    <w:pStyle w:val="26"/>
                    <w:keepNext w:val="0"/>
                    <w:keepLines w:val="0"/>
                    <w:suppressLineNumbers w:val="0"/>
                    <w:spacing w:before="0" w:beforeAutospacing="0" w:after="0" w:afterAutospacing="0"/>
                    <w:ind w:left="0" w:right="0"/>
                    <w:rPr>
                      <w:rFonts w:hint="default"/>
                    </w:rPr>
                  </w:pPr>
                  <w:r>
                    <w:rPr>
                      <w:rFonts w:hint="default"/>
                    </w:rPr>
                    <w:t>防渗性能与1.5m厚粘土层（渗透系数1.0×10</w:t>
                  </w:r>
                  <w:r>
                    <w:rPr>
                      <w:rFonts w:hint="default"/>
                      <w:vertAlign w:val="superscript"/>
                    </w:rPr>
                    <w:t>-7</w:t>
                  </w:r>
                  <w:r>
                    <w:rPr>
                      <w:rFonts w:hint="default"/>
                    </w:rPr>
                    <w:t>cm/s）等效</w:t>
                  </w:r>
                </w:p>
              </w:tc>
            </w:tr>
            <w:tr w14:paraId="65E8B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63" w:type="pct"/>
                  <w:tcBorders>
                    <w:tl2br w:val="nil"/>
                    <w:tr2bl w:val="nil"/>
                  </w:tcBorders>
                  <w:shd w:val="clear" w:color="auto" w:fill="auto"/>
                  <w:vAlign w:val="center"/>
                </w:tcPr>
                <w:p w14:paraId="61455E97">
                  <w:pPr>
                    <w:pStyle w:val="26"/>
                    <w:keepNext w:val="0"/>
                    <w:keepLines w:val="0"/>
                    <w:suppressLineNumbers w:val="0"/>
                    <w:spacing w:before="0" w:beforeAutospacing="0" w:after="0" w:afterAutospacing="0"/>
                    <w:ind w:left="0" w:right="0"/>
                    <w:rPr>
                      <w:rFonts w:hint="default"/>
                    </w:rPr>
                  </w:pPr>
                  <w:r>
                    <w:rPr>
                      <w:rFonts w:hint="default"/>
                    </w:rPr>
                    <w:t>研发楼</w:t>
                  </w:r>
                </w:p>
              </w:tc>
              <w:tc>
                <w:tcPr>
                  <w:tcW w:w="753" w:type="pct"/>
                  <w:tcBorders>
                    <w:tl2br w:val="nil"/>
                    <w:tr2bl w:val="nil"/>
                  </w:tcBorders>
                  <w:shd w:val="clear" w:color="auto" w:fill="auto"/>
                  <w:vAlign w:val="center"/>
                </w:tcPr>
                <w:p w14:paraId="49EA26BE">
                  <w:pPr>
                    <w:pStyle w:val="26"/>
                    <w:keepNext w:val="0"/>
                    <w:keepLines w:val="0"/>
                    <w:suppressLineNumbers w:val="0"/>
                    <w:spacing w:before="0" w:beforeAutospacing="0" w:after="0" w:afterAutospacing="0"/>
                    <w:ind w:left="0" w:right="0"/>
                    <w:rPr>
                      <w:rFonts w:hint="default"/>
                    </w:rPr>
                  </w:pPr>
                  <w:r>
                    <w:rPr>
                      <w:rFonts w:hint="default"/>
                    </w:rPr>
                    <w:t>简单防渗区</w:t>
                  </w:r>
                </w:p>
              </w:tc>
              <w:tc>
                <w:tcPr>
                  <w:tcW w:w="1345" w:type="pct"/>
                  <w:tcBorders>
                    <w:tl2br w:val="nil"/>
                    <w:tr2bl w:val="nil"/>
                  </w:tcBorders>
                  <w:shd w:val="clear" w:color="auto" w:fill="auto"/>
                  <w:vAlign w:val="center"/>
                </w:tcPr>
                <w:p w14:paraId="0B519F6C">
                  <w:pPr>
                    <w:pStyle w:val="26"/>
                    <w:keepNext w:val="0"/>
                    <w:keepLines w:val="0"/>
                    <w:suppressLineNumbers w:val="0"/>
                    <w:spacing w:before="0" w:beforeAutospacing="0" w:after="0" w:afterAutospacing="0"/>
                    <w:ind w:left="0" w:right="0"/>
                    <w:rPr>
                      <w:rFonts w:hint="default"/>
                    </w:rPr>
                  </w:pPr>
                  <w:r>
                    <w:rPr>
                      <w:rFonts w:hint="default"/>
                    </w:rPr>
                    <w:t>一般地面硬化</w:t>
                  </w:r>
                </w:p>
              </w:tc>
              <w:tc>
                <w:tcPr>
                  <w:tcW w:w="1737" w:type="pct"/>
                  <w:tcBorders>
                    <w:tl2br w:val="nil"/>
                    <w:tr2bl w:val="nil"/>
                  </w:tcBorders>
                  <w:shd w:val="clear" w:color="auto" w:fill="auto"/>
                  <w:vAlign w:val="center"/>
                </w:tcPr>
                <w:p w14:paraId="6602F3C1">
                  <w:pPr>
                    <w:pStyle w:val="26"/>
                    <w:keepNext w:val="0"/>
                    <w:keepLines w:val="0"/>
                    <w:suppressLineNumbers w:val="0"/>
                    <w:spacing w:before="0" w:beforeAutospacing="0" w:after="0" w:afterAutospacing="0"/>
                    <w:ind w:left="0" w:right="0"/>
                    <w:rPr>
                      <w:rFonts w:hint="default"/>
                    </w:rPr>
                  </w:pPr>
                  <w:r>
                    <w:rPr>
                      <w:rFonts w:hint="default"/>
                    </w:rPr>
                    <w:t>一般地面硬化</w:t>
                  </w:r>
                </w:p>
              </w:tc>
            </w:tr>
          </w:tbl>
          <w:p w14:paraId="7F15C2F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项目采取以上处置措施，项目建设对地下水环境影响较小。</w:t>
            </w:r>
          </w:p>
          <w:p w14:paraId="50E22873">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六、土壤</w:t>
            </w:r>
          </w:p>
          <w:p w14:paraId="09D04319">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1、土壤污染源及污染途径</w:t>
            </w:r>
          </w:p>
          <w:p w14:paraId="45CDBA1A">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生产车间（液硫池）、预处理池、危废暂存间、柴油撬装站及装卸区、事故池、初期雨水池等垂直入渗污染地下水外，还会对土壤造成污染，污染物类型和污染途径和地下水类似。此外，大气沉降和地面漫流也是造成土壤污染的重要途径之一。</w:t>
            </w:r>
          </w:p>
          <w:p w14:paraId="78AABE09">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本项目土壤影响类型表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1901"/>
              <w:gridCol w:w="1887"/>
              <w:gridCol w:w="1734"/>
            </w:tblGrid>
            <w:tr w14:paraId="60DC9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5" w:type="pct"/>
                  <w:vMerge w:val="restart"/>
                  <w:vAlign w:val="center"/>
                </w:tcPr>
                <w:p w14:paraId="4FDB8C14">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r>
                    <w:rPr>
                      <w:rFonts w:hint="default" w:cs="Times New Roman"/>
                      <w:b/>
                      <w:color w:val="auto"/>
                      <w:sz w:val="18"/>
                      <w:szCs w:val="18"/>
                    </w:rPr>
                    <w:t>不同时段</w:t>
                  </w:r>
                </w:p>
              </w:tc>
              <w:tc>
                <w:tcPr>
                  <w:tcW w:w="3605" w:type="pct"/>
                  <w:gridSpan w:val="3"/>
                  <w:vAlign w:val="center"/>
                </w:tcPr>
                <w:p w14:paraId="1AB9BC1E">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r>
                    <w:rPr>
                      <w:rFonts w:hint="default" w:cs="Times New Roman"/>
                      <w:b/>
                      <w:color w:val="auto"/>
                      <w:sz w:val="18"/>
                      <w:szCs w:val="18"/>
                    </w:rPr>
                    <w:t>污染影响型</w:t>
                  </w:r>
                </w:p>
              </w:tc>
            </w:tr>
            <w:tr w14:paraId="79794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5" w:type="pct"/>
                  <w:vMerge w:val="continue"/>
                  <w:vAlign w:val="center"/>
                </w:tcPr>
                <w:p w14:paraId="028A87DE">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p>
              </w:tc>
              <w:tc>
                <w:tcPr>
                  <w:tcW w:w="1241" w:type="pct"/>
                  <w:vAlign w:val="center"/>
                </w:tcPr>
                <w:p w14:paraId="468A46DB">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r>
                    <w:rPr>
                      <w:rFonts w:hint="default" w:cs="Times New Roman"/>
                      <w:b/>
                      <w:color w:val="auto"/>
                      <w:sz w:val="18"/>
                      <w:szCs w:val="18"/>
                    </w:rPr>
                    <w:t>大气沉降</w:t>
                  </w:r>
                </w:p>
              </w:tc>
              <w:tc>
                <w:tcPr>
                  <w:tcW w:w="1232" w:type="pct"/>
                  <w:vAlign w:val="center"/>
                </w:tcPr>
                <w:p w14:paraId="69DD0544">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r>
                    <w:rPr>
                      <w:rFonts w:hint="default" w:cs="Times New Roman"/>
                      <w:b/>
                      <w:color w:val="auto"/>
                      <w:sz w:val="18"/>
                      <w:szCs w:val="18"/>
                    </w:rPr>
                    <w:t>地面漫流</w:t>
                  </w:r>
                </w:p>
              </w:tc>
              <w:tc>
                <w:tcPr>
                  <w:tcW w:w="1132" w:type="pct"/>
                  <w:vAlign w:val="center"/>
                </w:tcPr>
                <w:p w14:paraId="5FB523EA">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
                      <w:color w:val="auto"/>
                      <w:sz w:val="18"/>
                      <w:szCs w:val="18"/>
                    </w:rPr>
                  </w:pPr>
                  <w:r>
                    <w:rPr>
                      <w:rFonts w:hint="default" w:cs="Times New Roman"/>
                      <w:b/>
                      <w:color w:val="auto"/>
                      <w:sz w:val="18"/>
                      <w:szCs w:val="18"/>
                    </w:rPr>
                    <w:t>垂直入渗</w:t>
                  </w:r>
                </w:p>
              </w:tc>
            </w:tr>
            <w:tr w14:paraId="72FAF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5" w:type="pct"/>
                  <w:vAlign w:val="center"/>
                </w:tcPr>
                <w:p w14:paraId="74671CF8">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建设期</w:t>
                  </w:r>
                </w:p>
              </w:tc>
              <w:tc>
                <w:tcPr>
                  <w:tcW w:w="1241" w:type="pct"/>
                  <w:vAlign w:val="center"/>
                </w:tcPr>
                <w:p w14:paraId="2160E277">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232" w:type="pct"/>
                  <w:vAlign w:val="center"/>
                </w:tcPr>
                <w:p w14:paraId="7D28865B">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132" w:type="pct"/>
                  <w:vAlign w:val="center"/>
                </w:tcPr>
                <w:p w14:paraId="227E275C">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r>
            <w:tr w14:paraId="53109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5" w:type="pct"/>
                  <w:vAlign w:val="center"/>
                </w:tcPr>
                <w:p w14:paraId="4309E813">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运营期</w:t>
                  </w:r>
                </w:p>
              </w:tc>
              <w:tc>
                <w:tcPr>
                  <w:tcW w:w="1241" w:type="pct"/>
                  <w:vAlign w:val="center"/>
                </w:tcPr>
                <w:p w14:paraId="08299D32">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232" w:type="pct"/>
                  <w:vAlign w:val="center"/>
                </w:tcPr>
                <w:p w14:paraId="26756186">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132" w:type="pct"/>
                  <w:vAlign w:val="center"/>
                </w:tcPr>
                <w:p w14:paraId="3249597D">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r>
            <w:tr w14:paraId="4636C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5" w:type="pct"/>
                  <w:vAlign w:val="center"/>
                </w:tcPr>
                <w:p w14:paraId="13149CE2">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服务期满后</w:t>
                  </w:r>
                </w:p>
              </w:tc>
              <w:tc>
                <w:tcPr>
                  <w:tcW w:w="1241" w:type="pct"/>
                  <w:vAlign w:val="center"/>
                </w:tcPr>
                <w:p w14:paraId="53FE9250">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232" w:type="pct"/>
                  <w:vAlign w:val="center"/>
                </w:tcPr>
                <w:p w14:paraId="662D6E6F">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c>
                <w:tcPr>
                  <w:tcW w:w="1132" w:type="pct"/>
                  <w:vAlign w:val="center"/>
                </w:tcPr>
                <w:p w14:paraId="51045CF5">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bCs/>
                      <w:color w:val="auto"/>
                      <w:sz w:val="18"/>
                      <w:szCs w:val="18"/>
                    </w:rPr>
                  </w:pPr>
                  <w:r>
                    <w:rPr>
                      <w:rFonts w:hint="default" w:cs="Times New Roman"/>
                      <w:bCs/>
                      <w:color w:val="auto"/>
                      <w:sz w:val="18"/>
                      <w:szCs w:val="18"/>
                    </w:rPr>
                    <w:t>-</w:t>
                  </w:r>
                </w:p>
              </w:tc>
            </w:tr>
          </w:tbl>
          <w:p w14:paraId="69413E6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本项目土壤污染源及污染途径见下表。</w:t>
            </w:r>
          </w:p>
          <w:p w14:paraId="7CA20E46">
            <w:pPr>
              <w:pStyle w:val="33"/>
              <w:keepNext w:val="0"/>
              <w:keepLines w:val="0"/>
              <w:suppressLineNumbers w:val="0"/>
              <w:spacing w:before="0" w:beforeAutospacing="0" w:after="0" w:afterAutospacing="0"/>
              <w:ind w:left="0" w:right="0"/>
              <w:rPr>
                <w:rFonts w:hint="default" w:cs="Times New Roman"/>
              </w:rPr>
            </w:pPr>
            <w:r>
              <w:rPr>
                <w:rFonts w:hint="default" w:cs="Times New Roman"/>
              </w:rPr>
              <w:t>本项目土壤环境污染源及污染途径一览表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74"/>
              <w:gridCol w:w="1255"/>
              <w:gridCol w:w="1221"/>
              <w:gridCol w:w="1250"/>
              <w:gridCol w:w="1238"/>
              <w:gridCol w:w="1218"/>
            </w:tblGrid>
            <w:tr w14:paraId="3B03B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962" w:type="pct"/>
                  <w:vAlign w:val="center"/>
                </w:tcPr>
                <w:p w14:paraId="07D519A1">
                  <w:pPr>
                    <w:pStyle w:val="26"/>
                    <w:keepNext w:val="0"/>
                    <w:keepLines w:val="0"/>
                    <w:suppressLineNumbers w:val="0"/>
                    <w:spacing w:before="0" w:beforeAutospacing="0" w:after="0" w:afterAutospacing="0"/>
                    <w:ind w:left="0" w:right="0"/>
                    <w:rPr>
                      <w:rFonts w:hint="default"/>
                    </w:rPr>
                  </w:pPr>
                  <w:r>
                    <w:rPr>
                      <w:rFonts w:hint="default"/>
                    </w:rPr>
                    <w:t>污染源</w:t>
                  </w:r>
                </w:p>
              </w:tc>
              <w:tc>
                <w:tcPr>
                  <w:tcW w:w="819" w:type="pct"/>
                  <w:vAlign w:val="center"/>
                </w:tcPr>
                <w:p w14:paraId="34F59FAE">
                  <w:pPr>
                    <w:pStyle w:val="26"/>
                    <w:keepNext w:val="0"/>
                    <w:keepLines w:val="0"/>
                    <w:suppressLineNumbers w:val="0"/>
                    <w:spacing w:before="0" w:beforeAutospacing="0" w:after="0" w:afterAutospacing="0"/>
                    <w:ind w:left="0" w:right="0"/>
                    <w:rPr>
                      <w:rFonts w:hint="default"/>
                    </w:rPr>
                  </w:pPr>
                  <w:r>
                    <w:rPr>
                      <w:rFonts w:hint="default"/>
                    </w:rPr>
                    <w:t>工艺流程/节点</w:t>
                  </w:r>
                </w:p>
              </w:tc>
              <w:tc>
                <w:tcPr>
                  <w:tcW w:w="797" w:type="pct"/>
                  <w:vAlign w:val="center"/>
                </w:tcPr>
                <w:p w14:paraId="2C17EBB9">
                  <w:pPr>
                    <w:pStyle w:val="26"/>
                    <w:keepNext w:val="0"/>
                    <w:keepLines w:val="0"/>
                    <w:suppressLineNumbers w:val="0"/>
                    <w:spacing w:before="0" w:beforeAutospacing="0" w:after="0" w:afterAutospacing="0"/>
                    <w:ind w:left="0" w:right="0"/>
                    <w:rPr>
                      <w:rFonts w:hint="default"/>
                    </w:rPr>
                  </w:pPr>
                  <w:r>
                    <w:rPr>
                      <w:rFonts w:hint="default"/>
                    </w:rPr>
                    <w:t>污染途径</w:t>
                  </w:r>
                </w:p>
              </w:tc>
              <w:tc>
                <w:tcPr>
                  <w:tcW w:w="816" w:type="pct"/>
                  <w:vAlign w:val="center"/>
                </w:tcPr>
                <w:p w14:paraId="4265DFE5">
                  <w:pPr>
                    <w:pStyle w:val="26"/>
                    <w:keepNext w:val="0"/>
                    <w:keepLines w:val="0"/>
                    <w:suppressLineNumbers w:val="0"/>
                    <w:spacing w:before="0" w:beforeAutospacing="0" w:after="0" w:afterAutospacing="0"/>
                    <w:ind w:left="0" w:right="0"/>
                    <w:rPr>
                      <w:rFonts w:hint="default"/>
                    </w:rPr>
                  </w:pPr>
                  <w:r>
                    <w:rPr>
                      <w:rFonts w:hint="default"/>
                    </w:rPr>
                    <w:t>全部污染物指标</w:t>
                  </w:r>
                </w:p>
              </w:tc>
              <w:tc>
                <w:tcPr>
                  <w:tcW w:w="808" w:type="pct"/>
                  <w:vAlign w:val="center"/>
                </w:tcPr>
                <w:p w14:paraId="430A75E9">
                  <w:pPr>
                    <w:pStyle w:val="26"/>
                    <w:keepNext w:val="0"/>
                    <w:keepLines w:val="0"/>
                    <w:suppressLineNumbers w:val="0"/>
                    <w:spacing w:before="0" w:beforeAutospacing="0" w:after="0" w:afterAutospacing="0"/>
                    <w:ind w:left="0" w:right="0"/>
                    <w:rPr>
                      <w:rFonts w:hint="default"/>
                    </w:rPr>
                  </w:pPr>
                  <w:r>
                    <w:rPr>
                      <w:rFonts w:hint="default"/>
                    </w:rPr>
                    <w:t>特征因子</w:t>
                  </w:r>
                </w:p>
              </w:tc>
              <w:tc>
                <w:tcPr>
                  <w:tcW w:w="795" w:type="pct"/>
                  <w:vAlign w:val="center"/>
                </w:tcPr>
                <w:p w14:paraId="58F47750">
                  <w:pPr>
                    <w:pStyle w:val="26"/>
                    <w:keepNext w:val="0"/>
                    <w:keepLines w:val="0"/>
                    <w:suppressLineNumbers w:val="0"/>
                    <w:spacing w:before="0" w:beforeAutospacing="0" w:after="0" w:afterAutospacing="0"/>
                    <w:ind w:left="0" w:right="0"/>
                    <w:rPr>
                      <w:rFonts w:hint="default"/>
                    </w:rPr>
                  </w:pPr>
                  <w:r>
                    <w:rPr>
                      <w:rFonts w:hint="default"/>
                    </w:rPr>
                    <w:t>备注</w:t>
                  </w:r>
                </w:p>
              </w:tc>
            </w:tr>
            <w:tr w14:paraId="29EBA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962" w:type="pct"/>
                  <w:vAlign w:val="center"/>
                </w:tcPr>
                <w:p w14:paraId="0880CDA2">
                  <w:pPr>
                    <w:pStyle w:val="26"/>
                    <w:keepNext w:val="0"/>
                    <w:keepLines w:val="0"/>
                    <w:suppressLineNumbers w:val="0"/>
                    <w:spacing w:before="0" w:beforeAutospacing="0" w:after="0" w:afterAutospacing="0"/>
                    <w:ind w:left="0" w:right="0"/>
                    <w:rPr>
                      <w:rFonts w:hint="default"/>
                    </w:rPr>
                  </w:pPr>
                  <w:r>
                    <w:rPr>
                      <w:rFonts w:hint="default"/>
                    </w:rPr>
                    <w:t>生产车间</w:t>
                  </w:r>
                </w:p>
              </w:tc>
              <w:tc>
                <w:tcPr>
                  <w:tcW w:w="819" w:type="pct"/>
                  <w:vAlign w:val="center"/>
                </w:tcPr>
                <w:p w14:paraId="20B30A36">
                  <w:pPr>
                    <w:pStyle w:val="26"/>
                    <w:keepNext w:val="0"/>
                    <w:keepLines w:val="0"/>
                    <w:suppressLineNumbers w:val="0"/>
                    <w:spacing w:before="0" w:beforeAutospacing="0" w:after="0" w:afterAutospacing="0"/>
                    <w:ind w:left="0" w:right="0"/>
                    <w:rPr>
                      <w:rFonts w:hint="default"/>
                    </w:rPr>
                  </w:pPr>
                  <w:r>
                    <w:rPr>
                      <w:rFonts w:hint="default"/>
                    </w:rPr>
                    <w:t>生产工艺废气</w:t>
                  </w:r>
                </w:p>
              </w:tc>
              <w:tc>
                <w:tcPr>
                  <w:tcW w:w="797" w:type="pct"/>
                  <w:vAlign w:val="center"/>
                </w:tcPr>
                <w:p w14:paraId="25979AA8">
                  <w:pPr>
                    <w:pStyle w:val="26"/>
                    <w:keepNext w:val="0"/>
                    <w:keepLines w:val="0"/>
                    <w:suppressLineNumbers w:val="0"/>
                    <w:spacing w:before="0" w:beforeAutospacing="0" w:after="0" w:afterAutospacing="0"/>
                    <w:ind w:left="0" w:right="0"/>
                    <w:rPr>
                      <w:rFonts w:hint="default"/>
                    </w:rPr>
                  </w:pPr>
                  <w:r>
                    <w:rPr>
                      <w:rFonts w:hint="default"/>
                    </w:rPr>
                    <w:t>大气沉降</w:t>
                  </w:r>
                </w:p>
              </w:tc>
              <w:tc>
                <w:tcPr>
                  <w:tcW w:w="816" w:type="pct"/>
                  <w:vAlign w:val="center"/>
                </w:tcPr>
                <w:p w14:paraId="6441EB91">
                  <w:pPr>
                    <w:pStyle w:val="26"/>
                    <w:keepNext w:val="0"/>
                    <w:keepLines w:val="0"/>
                    <w:suppressLineNumbers w:val="0"/>
                    <w:spacing w:before="0" w:beforeAutospacing="0" w:after="0" w:afterAutospacing="0"/>
                    <w:ind w:left="0" w:right="0"/>
                    <w:rPr>
                      <w:rFonts w:hint="default"/>
                    </w:rPr>
                  </w:pPr>
                  <w:r>
                    <w:rPr>
                      <w:rFonts w:hint="default"/>
                    </w:rPr>
                    <w:t>颗粒物、硫化氢</w:t>
                  </w:r>
                </w:p>
              </w:tc>
              <w:tc>
                <w:tcPr>
                  <w:tcW w:w="808" w:type="pct"/>
                  <w:vAlign w:val="center"/>
                </w:tcPr>
                <w:p w14:paraId="436B7422">
                  <w:pPr>
                    <w:pStyle w:val="26"/>
                    <w:keepNext w:val="0"/>
                    <w:keepLines w:val="0"/>
                    <w:suppressLineNumbers w:val="0"/>
                    <w:spacing w:before="0" w:beforeAutospacing="0" w:after="0" w:afterAutospacing="0"/>
                    <w:ind w:left="0" w:right="0"/>
                    <w:rPr>
                      <w:rFonts w:hint="default"/>
                    </w:rPr>
                  </w:pPr>
                  <w:r>
                    <w:rPr>
                      <w:rFonts w:hint="default"/>
                    </w:rPr>
                    <w:t>颗粒物、花钱</w:t>
                  </w:r>
                </w:p>
              </w:tc>
              <w:tc>
                <w:tcPr>
                  <w:tcW w:w="795" w:type="pct"/>
                  <w:vAlign w:val="center"/>
                </w:tcPr>
                <w:p w14:paraId="73A7BF93">
                  <w:pPr>
                    <w:pStyle w:val="26"/>
                    <w:keepNext w:val="0"/>
                    <w:keepLines w:val="0"/>
                    <w:suppressLineNumbers w:val="0"/>
                    <w:spacing w:before="0" w:beforeAutospacing="0" w:after="0" w:afterAutospacing="0"/>
                    <w:ind w:left="0" w:right="0"/>
                    <w:rPr>
                      <w:rFonts w:hint="default"/>
                    </w:rPr>
                  </w:pPr>
                  <w:r>
                    <w:rPr>
                      <w:rFonts w:hint="default"/>
                    </w:rPr>
                    <w:t>连续</w:t>
                  </w:r>
                </w:p>
              </w:tc>
            </w:tr>
            <w:tr w14:paraId="0F7AA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62" w:type="pct"/>
                  <w:vAlign w:val="center"/>
                </w:tcPr>
                <w:p w14:paraId="03DFE5E8">
                  <w:pPr>
                    <w:pStyle w:val="26"/>
                    <w:keepNext w:val="0"/>
                    <w:keepLines w:val="0"/>
                    <w:suppressLineNumbers w:val="0"/>
                    <w:spacing w:before="0" w:beforeAutospacing="0" w:after="0" w:afterAutospacing="0"/>
                    <w:ind w:left="0" w:right="0"/>
                    <w:rPr>
                      <w:rFonts w:hint="default"/>
                    </w:rPr>
                  </w:pPr>
                  <w:r>
                    <w:rPr>
                      <w:rFonts w:hint="default"/>
                    </w:rPr>
                    <w:t>危废暂存间</w:t>
                  </w:r>
                </w:p>
              </w:tc>
              <w:tc>
                <w:tcPr>
                  <w:tcW w:w="819" w:type="pct"/>
                  <w:vAlign w:val="center"/>
                </w:tcPr>
                <w:p w14:paraId="30C84C6F">
                  <w:pPr>
                    <w:pStyle w:val="26"/>
                    <w:keepNext w:val="0"/>
                    <w:keepLines w:val="0"/>
                    <w:suppressLineNumbers w:val="0"/>
                    <w:spacing w:before="0" w:beforeAutospacing="0" w:after="0" w:afterAutospacing="0"/>
                    <w:ind w:left="0" w:right="0"/>
                    <w:rPr>
                      <w:rFonts w:hint="default"/>
                    </w:rPr>
                  </w:pPr>
                  <w:r>
                    <w:rPr>
                      <w:rFonts w:hint="default"/>
                    </w:rPr>
                    <w:t>液态和半固态危废渗漏</w:t>
                  </w:r>
                </w:p>
              </w:tc>
              <w:tc>
                <w:tcPr>
                  <w:tcW w:w="797" w:type="pct"/>
                  <w:vAlign w:val="center"/>
                </w:tcPr>
                <w:p w14:paraId="40DBA891">
                  <w:pPr>
                    <w:pStyle w:val="26"/>
                    <w:keepNext w:val="0"/>
                    <w:keepLines w:val="0"/>
                    <w:suppressLineNumbers w:val="0"/>
                    <w:spacing w:before="0" w:beforeAutospacing="0" w:after="0" w:afterAutospacing="0"/>
                    <w:ind w:left="0" w:right="0"/>
                    <w:rPr>
                      <w:rFonts w:hint="default"/>
                    </w:rPr>
                  </w:pPr>
                  <w:r>
                    <w:rPr>
                      <w:rFonts w:hint="default"/>
                    </w:rPr>
                    <w:t>地面漫流、垂直入渗</w:t>
                  </w:r>
                </w:p>
              </w:tc>
              <w:tc>
                <w:tcPr>
                  <w:tcW w:w="816" w:type="pct"/>
                  <w:vAlign w:val="center"/>
                </w:tcPr>
                <w:p w14:paraId="3D3DF771">
                  <w:pPr>
                    <w:pStyle w:val="26"/>
                    <w:keepNext w:val="0"/>
                    <w:keepLines w:val="0"/>
                    <w:suppressLineNumbers w:val="0"/>
                    <w:spacing w:before="0" w:beforeAutospacing="0" w:after="0" w:afterAutospacing="0"/>
                    <w:ind w:left="0" w:right="0"/>
                    <w:rPr>
                      <w:rFonts w:hint="default"/>
                    </w:rPr>
                  </w:pPr>
                  <w:r>
                    <w:rPr>
                      <w:rFonts w:hint="default"/>
                    </w:rPr>
                    <w:t>矿物油</w:t>
                  </w:r>
                </w:p>
              </w:tc>
              <w:tc>
                <w:tcPr>
                  <w:tcW w:w="808" w:type="pct"/>
                  <w:vAlign w:val="center"/>
                </w:tcPr>
                <w:p w14:paraId="0D67FD21">
                  <w:pPr>
                    <w:pStyle w:val="26"/>
                    <w:keepNext w:val="0"/>
                    <w:keepLines w:val="0"/>
                    <w:suppressLineNumbers w:val="0"/>
                    <w:spacing w:before="0" w:beforeAutospacing="0" w:after="0" w:afterAutospacing="0"/>
                    <w:ind w:left="0" w:right="0"/>
                    <w:rPr>
                      <w:rFonts w:hint="default"/>
                    </w:rPr>
                  </w:pPr>
                  <w:r>
                    <w:rPr>
                      <w:rFonts w:hint="default"/>
                    </w:rPr>
                    <w:t>石油类</w:t>
                  </w:r>
                </w:p>
              </w:tc>
              <w:tc>
                <w:tcPr>
                  <w:tcW w:w="795" w:type="pct"/>
                  <w:vAlign w:val="center"/>
                </w:tcPr>
                <w:p w14:paraId="23BD8CD5">
                  <w:pPr>
                    <w:pStyle w:val="26"/>
                    <w:keepNext w:val="0"/>
                    <w:keepLines w:val="0"/>
                    <w:suppressLineNumbers w:val="0"/>
                    <w:spacing w:before="0" w:beforeAutospacing="0" w:after="0" w:afterAutospacing="0"/>
                    <w:ind w:left="0" w:right="0"/>
                    <w:rPr>
                      <w:rFonts w:hint="default"/>
                    </w:rPr>
                  </w:pPr>
                  <w:r>
                    <w:rPr>
                      <w:rFonts w:hint="default"/>
                    </w:rPr>
                    <w:t>事故</w:t>
                  </w:r>
                </w:p>
              </w:tc>
            </w:tr>
            <w:tr w14:paraId="7D4D9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62" w:type="pct"/>
                  <w:vAlign w:val="center"/>
                </w:tcPr>
                <w:p w14:paraId="2ABA4EB7">
                  <w:pPr>
                    <w:pStyle w:val="26"/>
                    <w:keepNext w:val="0"/>
                    <w:keepLines w:val="0"/>
                    <w:suppressLineNumbers w:val="0"/>
                    <w:spacing w:before="0" w:beforeAutospacing="0" w:after="0" w:afterAutospacing="0"/>
                    <w:ind w:left="0" w:right="0"/>
                    <w:rPr>
                      <w:rFonts w:hint="default"/>
                    </w:rPr>
                  </w:pPr>
                  <w:r>
                    <w:rPr>
                      <w:rFonts w:hint="default"/>
                    </w:rPr>
                    <w:t>液硫池等</w:t>
                  </w:r>
                </w:p>
              </w:tc>
              <w:tc>
                <w:tcPr>
                  <w:tcW w:w="819" w:type="pct"/>
                  <w:vAlign w:val="center"/>
                </w:tcPr>
                <w:p w14:paraId="3964DB75">
                  <w:pPr>
                    <w:pStyle w:val="26"/>
                    <w:keepNext w:val="0"/>
                    <w:keepLines w:val="0"/>
                    <w:suppressLineNumbers w:val="0"/>
                    <w:spacing w:before="0" w:beforeAutospacing="0" w:after="0" w:afterAutospacing="0"/>
                    <w:ind w:left="0" w:right="0"/>
                    <w:rPr>
                      <w:rFonts w:hint="default"/>
                    </w:rPr>
                  </w:pPr>
                  <w:r>
                    <w:rPr>
                      <w:rFonts w:hint="default"/>
                    </w:rPr>
                    <w:t>液态</w:t>
                  </w:r>
                </w:p>
              </w:tc>
              <w:tc>
                <w:tcPr>
                  <w:tcW w:w="797" w:type="pct"/>
                  <w:vAlign w:val="center"/>
                </w:tcPr>
                <w:p w14:paraId="6A4B8A8E">
                  <w:pPr>
                    <w:pStyle w:val="26"/>
                    <w:keepNext w:val="0"/>
                    <w:keepLines w:val="0"/>
                    <w:suppressLineNumbers w:val="0"/>
                    <w:spacing w:before="0" w:beforeAutospacing="0" w:after="0" w:afterAutospacing="0"/>
                    <w:ind w:left="0" w:right="0"/>
                    <w:rPr>
                      <w:rFonts w:hint="default"/>
                    </w:rPr>
                  </w:pPr>
                  <w:r>
                    <w:rPr>
                      <w:rFonts w:hint="default"/>
                    </w:rPr>
                    <w:t>地面漫流、垂直入渗</w:t>
                  </w:r>
                </w:p>
              </w:tc>
              <w:tc>
                <w:tcPr>
                  <w:tcW w:w="816" w:type="pct"/>
                  <w:vAlign w:val="center"/>
                </w:tcPr>
                <w:p w14:paraId="484F3730">
                  <w:pPr>
                    <w:pStyle w:val="26"/>
                    <w:keepNext w:val="0"/>
                    <w:keepLines w:val="0"/>
                    <w:suppressLineNumbers w:val="0"/>
                    <w:spacing w:before="0" w:beforeAutospacing="0" w:after="0" w:afterAutospacing="0"/>
                    <w:ind w:left="0" w:right="0"/>
                    <w:rPr>
                      <w:rFonts w:hint="default"/>
                    </w:rPr>
                  </w:pPr>
                  <w:r>
                    <w:rPr>
                      <w:rFonts w:hint="default"/>
                    </w:rPr>
                    <w:t>硫化物等</w:t>
                  </w:r>
                </w:p>
              </w:tc>
              <w:tc>
                <w:tcPr>
                  <w:tcW w:w="808" w:type="pct"/>
                  <w:vAlign w:val="center"/>
                </w:tcPr>
                <w:p w14:paraId="536612CF">
                  <w:pPr>
                    <w:pStyle w:val="26"/>
                    <w:keepNext w:val="0"/>
                    <w:keepLines w:val="0"/>
                    <w:suppressLineNumbers w:val="0"/>
                    <w:spacing w:before="0" w:beforeAutospacing="0" w:after="0" w:afterAutospacing="0"/>
                    <w:ind w:left="0" w:right="0"/>
                    <w:rPr>
                      <w:rFonts w:hint="default"/>
                    </w:rPr>
                  </w:pPr>
                  <w:r>
                    <w:rPr>
                      <w:rFonts w:hint="default"/>
                    </w:rPr>
                    <w:t>硫化物等</w:t>
                  </w:r>
                </w:p>
              </w:tc>
              <w:tc>
                <w:tcPr>
                  <w:tcW w:w="795" w:type="pct"/>
                  <w:vAlign w:val="center"/>
                </w:tcPr>
                <w:p w14:paraId="4C789F6B">
                  <w:pPr>
                    <w:pStyle w:val="26"/>
                    <w:keepNext w:val="0"/>
                    <w:keepLines w:val="0"/>
                    <w:suppressLineNumbers w:val="0"/>
                    <w:spacing w:before="0" w:beforeAutospacing="0" w:after="0" w:afterAutospacing="0"/>
                    <w:ind w:left="0" w:right="0"/>
                    <w:rPr>
                      <w:rFonts w:hint="default"/>
                    </w:rPr>
                  </w:pPr>
                  <w:r>
                    <w:rPr>
                      <w:rFonts w:hint="default"/>
                    </w:rPr>
                    <w:t>事故</w:t>
                  </w:r>
                </w:p>
              </w:tc>
            </w:tr>
            <w:tr w14:paraId="07CFD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62" w:type="pct"/>
                  <w:vAlign w:val="center"/>
                </w:tcPr>
                <w:p w14:paraId="27F7D15E">
                  <w:pPr>
                    <w:pStyle w:val="26"/>
                    <w:keepNext w:val="0"/>
                    <w:keepLines w:val="0"/>
                    <w:suppressLineNumbers w:val="0"/>
                    <w:spacing w:before="0" w:beforeAutospacing="0" w:after="0" w:afterAutospacing="0"/>
                    <w:ind w:left="0" w:right="0"/>
                    <w:rPr>
                      <w:rFonts w:hint="default"/>
                    </w:rPr>
                  </w:pPr>
                  <w:r>
                    <w:rPr>
                      <w:rFonts w:hint="default"/>
                    </w:rPr>
                    <w:t>事故应急池</w:t>
                  </w:r>
                </w:p>
              </w:tc>
              <w:tc>
                <w:tcPr>
                  <w:tcW w:w="819" w:type="pct"/>
                  <w:vAlign w:val="center"/>
                </w:tcPr>
                <w:p w14:paraId="74605CE1">
                  <w:pPr>
                    <w:pStyle w:val="26"/>
                    <w:keepNext w:val="0"/>
                    <w:keepLines w:val="0"/>
                    <w:suppressLineNumbers w:val="0"/>
                    <w:spacing w:before="0" w:beforeAutospacing="0" w:after="0" w:afterAutospacing="0"/>
                    <w:ind w:left="0" w:right="0"/>
                    <w:rPr>
                      <w:rFonts w:hint="default"/>
                    </w:rPr>
                  </w:pPr>
                  <w:r>
                    <w:rPr>
                      <w:rFonts w:hint="default"/>
                    </w:rPr>
                    <w:t>液态</w:t>
                  </w:r>
                </w:p>
              </w:tc>
              <w:tc>
                <w:tcPr>
                  <w:tcW w:w="797" w:type="pct"/>
                  <w:vAlign w:val="center"/>
                </w:tcPr>
                <w:p w14:paraId="0FC32264">
                  <w:pPr>
                    <w:pStyle w:val="26"/>
                    <w:keepNext w:val="0"/>
                    <w:keepLines w:val="0"/>
                    <w:suppressLineNumbers w:val="0"/>
                    <w:spacing w:before="0" w:beforeAutospacing="0" w:after="0" w:afterAutospacing="0"/>
                    <w:ind w:left="0" w:right="0"/>
                    <w:rPr>
                      <w:rFonts w:hint="default"/>
                    </w:rPr>
                  </w:pPr>
                  <w:r>
                    <w:rPr>
                      <w:rFonts w:hint="default"/>
                    </w:rPr>
                    <w:t>地面漫流、垂直入渗</w:t>
                  </w:r>
                </w:p>
              </w:tc>
              <w:tc>
                <w:tcPr>
                  <w:tcW w:w="816" w:type="pct"/>
                  <w:vAlign w:val="center"/>
                </w:tcPr>
                <w:p w14:paraId="2D64394D">
                  <w:pPr>
                    <w:pStyle w:val="26"/>
                    <w:keepNext w:val="0"/>
                    <w:keepLines w:val="0"/>
                    <w:suppressLineNumbers w:val="0"/>
                    <w:spacing w:before="0" w:beforeAutospacing="0" w:after="0" w:afterAutospacing="0"/>
                    <w:ind w:left="0" w:right="0"/>
                    <w:rPr>
                      <w:rFonts w:hint="default"/>
                    </w:rPr>
                  </w:pPr>
                  <w:r>
                    <w:rPr>
                      <w:rFonts w:hint="default"/>
                    </w:rPr>
                    <w:t>地面漫流、垂直入渗</w:t>
                  </w:r>
                </w:p>
              </w:tc>
              <w:tc>
                <w:tcPr>
                  <w:tcW w:w="808" w:type="pct"/>
                  <w:vAlign w:val="center"/>
                </w:tcPr>
                <w:p w14:paraId="331A35C2">
                  <w:pPr>
                    <w:pStyle w:val="26"/>
                    <w:keepNext w:val="0"/>
                    <w:keepLines w:val="0"/>
                    <w:suppressLineNumbers w:val="0"/>
                    <w:spacing w:before="0" w:beforeAutospacing="0" w:after="0" w:afterAutospacing="0"/>
                    <w:ind w:left="0" w:right="0"/>
                    <w:rPr>
                      <w:rFonts w:hint="default"/>
                      <w:b/>
                      <w:bCs/>
                    </w:rPr>
                  </w:pPr>
                  <w:r>
                    <w:rPr>
                      <w:rFonts w:hint="default"/>
                    </w:rPr>
                    <w:t>地面漫流、垂直入渗</w:t>
                  </w:r>
                </w:p>
              </w:tc>
              <w:tc>
                <w:tcPr>
                  <w:tcW w:w="795" w:type="pct"/>
                  <w:vAlign w:val="center"/>
                </w:tcPr>
                <w:p w14:paraId="77897467">
                  <w:pPr>
                    <w:pStyle w:val="26"/>
                    <w:keepNext w:val="0"/>
                    <w:keepLines w:val="0"/>
                    <w:suppressLineNumbers w:val="0"/>
                    <w:spacing w:before="0" w:beforeAutospacing="0" w:after="0" w:afterAutospacing="0"/>
                    <w:ind w:left="0" w:right="0"/>
                    <w:rPr>
                      <w:rFonts w:hint="default"/>
                    </w:rPr>
                  </w:pPr>
                  <w:r>
                    <w:rPr>
                      <w:rFonts w:hint="default"/>
                    </w:rPr>
                    <w:t>事故</w:t>
                  </w:r>
                </w:p>
              </w:tc>
            </w:tr>
          </w:tbl>
          <w:p w14:paraId="31C721B5">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2、土壤污染防治措施</w:t>
            </w:r>
          </w:p>
          <w:p w14:paraId="30FF8D7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1）预防地面漫流造成土壤污染</w:t>
            </w:r>
          </w:p>
          <w:p w14:paraId="009CC13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企业设置废水三级防控，拟在生产车间及危废暂存间内设置环形地沟和收集井，拦截事故泄漏的废液。同时根据地势，在厂区地势最低的地方设置雨水截止阀，保证可能受污染的雨水输送至初期雨水池，经处理达标后外排。全面防控事故废水和可能受污染的雨水发生地面漫流，进入土壤。在全面落实三级防控措施的情况下，物料或污染物的地面漫流对土壤影响较小，不会泄漏到厂区外。</w:t>
            </w:r>
          </w:p>
          <w:p w14:paraId="5326247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2）预防垂直入渗造成土壤污染</w:t>
            </w:r>
          </w:p>
          <w:p w14:paraId="6EF0D07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厂区地面进行了分区防渗，在可能下渗污染土壤的设备和构筑物下方地面设置重点防渗区和一般防渗区。防渗层要求满足《环境影响评价技术导则 地下水环境》（HJ 610-2016）要求，可有效防渗污染物垂直入渗污染土壤。</w:t>
            </w:r>
          </w:p>
          <w:p w14:paraId="12466FE6">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危废暂存间均严格按照《危险废物贮存污染控制标准》（GB18597-2023）有关规范设计，废水处理站各建构筑物均按要求做好防渗措施，项目建成后对周边土壤的影响较小。同时本项目产生的危险废物也均得到安全处理和处置。因此只要各个环节得到良好控制，可以将本项目对土壤的影响降至最低。</w:t>
            </w:r>
          </w:p>
          <w:p w14:paraId="763F2613">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地下水环境污染防治措施分析，若厂区内发生渗漏事故，污染物将穿过包气带，影响到地下水。污染物穿越包气带的过程中，由于土壤的阻隔、吸附作用，导致土壤受到污染。因此，项目应严格落实好分区防渗工程并定期检查重点风险点，杜绝事故泄漏情况发生。</w:t>
            </w:r>
          </w:p>
          <w:p w14:paraId="4607AB6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项目采取以上处置措施，项目建设对土壤环境影响较小。</w:t>
            </w:r>
          </w:p>
          <w:p w14:paraId="45C404AA">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七、生态</w:t>
            </w:r>
          </w:p>
          <w:p w14:paraId="75CDD37B">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根据现场调查，项目所在地由于人类活动频繁，已不存在原生植被，区域内以人工植被为主，区内无大型野生动物和古大珍稀植物，无特殊文物保护单位等。</w:t>
            </w:r>
          </w:p>
          <w:p w14:paraId="689DA4AF">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八、环境风险</w:t>
            </w:r>
          </w:p>
          <w:p w14:paraId="701BAA40">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见环境风险专项评价，本评价引用其主要结论：</w:t>
            </w:r>
          </w:p>
          <w:p w14:paraId="57BAED78">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拟建项目危险物质主要为液硫、固体硫磺产品、自用的柴油和LNG，项目危险物质数量与临界量比值Q为117.308，为Q≥100等级；本项目不涉及重点监管危险化工工艺，项目行业及生产工艺M为5，属于M4（M=5）等级；本项目大气环境敏感程度分级为E2级，地表水环境敏感程度分级为E2级，地下水环境敏感程度分级为E2级；项目大气环境、地表水环境、地下水环境风险潜势均为Ⅲ级，项目环境风险潜势综合等级为Ⅲ级。</w:t>
            </w:r>
          </w:p>
          <w:p w14:paraId="28DC4751">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按照《建设项目环境风险评价技术导则》（HJ169-2018）中的有关规定，本项目环境风险评价等级为二级，其中大气环境、地表水、地下水环境风险评价等级均为二级。</w:t>
            </w:r>
          </w:p>
          <w:p w14:paraId="4F19064A">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根据风险识别及源项分析，本项目的环境风险最大可信事故为液硫泄漏导致火灾爆炸的环境污染。拟建项目通过严格的风险防范措施，可将风险隐患降至最低，达到环境可以接受的水平。同时，评价要求企业加强环境管理，避免非正常排放和事故排放，并根据《中华人民共和国大气污染防治法》《中华人民共和国水污染防治法》要求，建设环境风险预警体系，对排放口和周边环境进行定期监测，评估环境风险，排查环境安全隐患，并采取有效措施防范环境风险。</w:t>
            </w:r>
          </w:p>
          <w:p w14:paraId="07450CD2">
            <w:pPr>
              <w:keepNext w:val="0"/>
              <w:keepLines w:val="0"/>
              <w:suppressLineNumbers w:val="0"/>
              <w:spacing w:before="0" w:beforeAutospacing="0" w:after="0" w:afterAutospacing="0"/>
              <w:ind w:left="0" w:right="0" w:firstLine="480"/>
              <w:rPr>
                <w:rFonts w:hint="default" w:cs="Times New Roman"/>
                <w:bCs/>
                <w:color w:val="auto"/>
              </w:rPr>
            </w:pPr>
            <w:r>
              <w:rPr>
                <w:rFonts w:hint="default" w:cs="Times New Roman"/>
                <w:bCs/>
                <w:color w:val="auto"/>
              </w:rPr>
              <w:t>综上所述，在落实本评价提出的措施的前提下，本项目环境风险可防控。建议企业加强日常环境风险防控措施巡查，多进行环境突发事故演练。</w:t>
            </w:r>
          </w:p>
          <w:p w14:paraId="45DC07C6">
            <w:pPr>
              <w:keepNext w:val="0"/>
              <w:keepLines w:val="0"/>
              <w:suppressLineNumbers w:val="0"/>
              <w:spacing w:before="0" w:beforeAutospacing="0" w:after="0" w:afterAutospacing="0"/>
              <w:ind w:left="0" w:right="0" w:firstLine="482"/>
              <w:rPr>
                <w:rFonts w:hint="default" w:cs="Times New Roman"/>
                <w:b/>
                <w:bCs/>
                <w:color w:val="auto"/>
              </w:rPr>
            </w:pPr>
            <w:r>
              <w:rPr>
                <w:rFonts w:hint="default" w:cs="Times New Roman"/>
                <w:b/>
                <w:bCs/>
                <w:color w:val="auto"/>
              </w:rPr>
              <w:t>九、环保投资</w:t>
            </w:r>
          </w:p>
          <w:p w14:paraId="07BFA3F9">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总投资10500万元，其中环保投资估算为251万元，占总投资的2.39%。项目拟采取的处理措施和处理效果从总体上看，能满足环保要求，可有效降低工程的施工建设及运营所带来的环境污染，经济技术可行。本项目环保设施（措施）及投资估算一览表见下表。</w:t>
            </w:r>
          </w:p>
          <w:p w14:paraId="68C50633">
            <w:pPr>
              <w:pStyle w:val="33"/>
              <w:keepNext w:val="0"/>
              <w:keepLines w:val="0"/>
              <w:suppressLineNumbers w:val="0"/>
              <w:spacing w:before="0" w:beforeAutospacing="0" w:after="0" w:afterAutospacing="0"/>
              <w:ind w:left="0" w:right="0"/>
              <w:rPr>
                <w:rFonts w:hint="default" w:cs="Times New Roman"/>
              </w:rPr>
            </w:pPr>
            <w:r>
              <w:rPr>
                <w:rFonts w:hint="default" w:cs="Times New Roman"/>
              </w:rPr>
              <w:t>项目环保投资一览表</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890"/>
              <w:gridCol w:w="3434"/>
              <w:gridCol w:w="637"/>
              <w:gridCol w:w="787"/>
              <w:gridCol w:w="735"/>
            </w:tblGrid>
            <w:tr w14:paraId="5ECE8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tcBorders>
                    <w:tl2br w:val="nil"/>
                    <w:tr2bl w:val="nil"/>
                  </w:tcBorders>
                  <w:shd w:val="clear" w:color="auto" w:fill="auto"/>
                  <w:vAlign w:val="center"/>
                </w:tcPr>
                <w:p w14:paraId="4504D583">
                  <w:pPr>
                    <w:pStyle w:val="26"/>
                    <w:keepNext w:val="0"/>
                    <w:keepLines w:val="0"/>
                    <w:suppressLineNumbers w:val="0"/>
                    <w:spacing w:before="0" w:beforeAutospacing="0" w:after="0" w:afterAutospacing="0"/>
                    <w:ind w:left="0" w:right="0"/>
                    <w:rPr>
                      <w:rFonts w:hint="default"/>
                    </w:rPr>
                  </w:pPr>
                  <w:r>
                    <w:rPr>
                      <w:rFonts w:hint="default"/>
                    </w:rPr>
                    <w:t>项目</w:t>
                  </w:r>
                </w:p>
              </w:tc>
              <w:tc>
                <w:tcPr>
                  <w:tcW w:w="2824" w:type="pct"/>
                  <w:gridSpan w:val="2"/>
                  <w:tcBorders>
                    <w:tl2br w:val="nil"/>
                    <w:tr2bl w:val="nil"/>
                  </w:tcBorders>
                  <w:shd w:val="clear" w:color="auto" w:fill="auto"/>
                  <w:vAlign w:val="center"/>
                </w:tcPr>
                <w:p w14:paraId="08FC6505">
                  <w:pPr>
                    <w:pStyle w:val="26"/>
                    <w:keepNext w:val="0"/>
                    <w:keepLines w:val="0"/>
                    <w:suppressLineNumbers w:val="0"/>
                    <w:spacing w:before="0" w:beforeAutospacing="0" w:after="0" w:afterAutospacing="0"/>
                    <w:ind w:left="0" w:right="0"/>
                    <w:rPr>
                      <w:rFonts w:hint="default"/>
                    </w:rPr>
                  </w:pPr>
                  <w:r>
                    <w:rPr>
                      <w:rFonts w:hint="default"/>
                    </w:rPr>
                    <w:t>内容</w:t>
                  </w:r>
                </w:p>
              </w:tc>
              <w:tc>
                <w:tcPr>
                  <w:tcW w:w="416" w:type="pct"/>
                  <w:tcBorders>
                    <w:tl2br w:val="nil"/>
                    <w:tr2bl w:val="nil"/>
                  </w:tcBorders>
                  <w:shd w:val="clear" w:color="auto" w:fill="auto"/>
                  <w:vAlign w:val="center"/>
                </w:tcPr>
                <w:p w14:paraId="22CA71EF">
                  <w:pPr>
                    <w:pStyle w:val="26"/>
                    <w:keepNext w:val="0"/>
                    <w:keepLines w:val="0"/>
                    <w:suppressLineNumbers w:val="0"/>
                    <w:spacing w:before="0" w:beforeAutospacing="0" w:after="0" w:afterAutospacing="0"/>
                    <w:ind w:left="0" w:right="0"/>
                    <w:rPr>
                      <w:rFonts w:hint="default"/>
                    </w:rPr>
                  </w:pPr>
                  <w:r>
                    <w:rPr>
                      <w:rFonts w:hint="default"/>
                    </w:rPr>
                    <w:t>数量</w:t>
                  </w:r>
                </w:p>
              </w:tc>
              <w:tc>
                <w:tcPr>
                  <w:tcW w:w="514" w:type="pct"/>
                  <w:tcBorders>
                    <w:tl2br w:val="nil"/>
                    <w:tr2bl w:val="nil"/>
                  </w:tcBorders>
                  <w:shd w:val="clear" w:color="auto" w:fill="auto"/>
                  <w:vAlign w:val="center"/>
                </w:tcPr>
                <w:p w14:paraId="37553D2A">
                  <w:pPr>
                    <w:pStyle w:val="26"/>
                    <w:keepNext w:val="0"/>
                    <w:keepLines w:val="0"/>
                    <w:suppressLineNumbers w:val="0"/>
                    <w:spacing w:before="0" w:beforeAutospacing="0" w:after="0" w:afterAutospacing="0"/>
                    <w:ind w:left="0" w:right="0"/>
                    <w:rPr>
                      <w:rFonts w:hint="default"/>
                    </w:rPr>
                  </w:pPr>
                  <w:r>
                    <w:rPr>
                      <w:rFonts w:hint="default"/>
                    </w:rPr>
                    <w:t>投资</w:t>
                  </w:r>
                  <w:r>
                    <w:rPr>
                      <w:rFonts w:hint="eastAsia"/>
                    </w:rPr>
                    <w:t>（</w:t>
                  </w:r>
                  <w:r>
                    <w:rPr>
                      <w:rFonts w:hint="default"/>
                    </w:rPr>
                    <w:t>万元</w:t>
                  </w:r>
                  <w:r>
                    <w:rPr>
                      <w:rFonts w:hint="eastAsia"/>
                    </w:rPr>
                    <w:t>）</w:t>
                  </w:r>
                </w:p>
              </w:tc>
              <w:tc>
                <w:tcPr>
                  <w:tcW w:w="481" w:type="pct"/>
                  <w:tcBorders>
                    <w:tl2br w:val="nil"/>
                    <w:tr2bl w:val="nil"/>
                  </w:tcBorders>
                  <w:shd w:val="clear" w:color="auto" w:fill="auto"/>
                  <w:vAlign w:val="center"/>
                </w:tcPr>
                <w:p w14:paraId="1F4B9FB8">
                  <w:pPr>
                    <w:pStyle w:val="26"/>
                    <w:keepNext w:val="0"/>
                    <w:keepLines w:val="0"/>
                    <w:suppressLineNumbers w:val="0"/>
                    <w:spacing w:before="0" w:beforeAutospacing="0" w:after="0" w:afterAutospacing="0"/>
                    <w:ind w:left="0" w:right="0"/>
                    <w:rPr>
                      <w:rFonts w:hint="default"/>
                    </w:rPr>
                  </w:pPr>
                  <w:r>
                    <w:rPr>
                      <w:rFonts w:hint="default"/>
                    </w:rPr>
                    <w:t>备注</w:t>
                  </w:r>
                </w:p>
              </w:tc>
            </w:tr>
            <w:tr w14:paraId="0B681C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restart"/>
                  <w:tcBorders>
                    <w:tl2br w:val="nil"/>
                    <w:tr2bl w:val="nil"/>
                  </w:tcBorders>
                  <w:shd w:val="clear" w:color="auto" w:fill="auto"/>
                  <w:vAlign w:val="center"/>
                </w:tcPr>
                <w:p w14:paraId="09D32A44">
                  <w:pPr>
                    <w:pStyle w:val="26"/>
                    <w:keepNext w:val="0"/>
                    <w:keepLines w:val="0"/>
                    <w:suppressLineNumbers w:val="0"/>
                    <w:spacing w:before="0" w:beforeAutospacing="0" w:after="0" w:afterAutospacing="0"/>
                    <w:ind w:left="0" w:right="0"/>
                    <w:rPr>
                      <w:rFonts w:hint="default"/>
                    </w:rPr>
                  </w:pPr>
                  <w:r>
                    <w:rPr>
                      <w:rFonts w:hint="default"/>
                    </w:rPr>
                    <w:t>废气治理</w:t>
                  </w:r>
                </w:p>
              </w:tc>
              <w:tc>
                <w:tcPr>
                  <w:tcW w:w="581" w:type="pct"/>
                  <w:tcBorders>
                    <w:tl2br w:val="nil"/>
                    <w:tr2bl w:val="nil"/>
                  </w:tcBorders>
                  <w:shd w:val="clear" w:color="auto" w:fill="auto"/>
                  <w:vAlign w:val="center"/>
                </w:tcPr>
                <w:p w14:paraId="6575252E">
                  <w:pPr>
                    <w:pStyle w:val="26"/>
                    <w:keepNext w:val="0"/>
                    <w:keepLines w:val="0"/>
                    <w:suppressLineNumbers w:val="0"/>
                    <w:spacing w:before="0" w:beforeAutospacing="0" w:after="0" w:afterAutospacing="0"/>
                    <w:ind w:left="0" w:right="0"/>
                    <w:rPr>
                      <w:rFonts w:hint="default"/>
                    </w:rPr>
                  </w:pPr>
                  <w:r>
                    <w:rPr>
                      <w:rFonts w:hint="default"/>
                    </w:rPr>
                    <w:t>施工期</w:t>
                  </w:r>
                </w:p>
              </w:tc>
              <w:tc>
                <w:tcPr>
                  <w:tcW w:w="2243" w:type="pct"/>
                  <w:tcBorders>
                    <w:tl2br w:val="nil"/>
                    <w:tr2bl w:val="nil"/>
                  </w:tcBorders>
                  <w:shd w:val="clear" w:color="auto" w:fill="auto"/>
                  <w:vAlign w:val="center"/>
                </w:tcPr>
                <w:p w14:paraId="63F324E7">
                  <w:pPr>
                    <w:pStyle w:val="26"/>
                    <w:keepNext w:val="0"/>
                    <w:keepLines w:val="0"/>
                    <w:suppressLineNumbers w:val="0"/>
                    <w:spacing w:before="0" w:beforeAutospacing="0" w:after="0" w:afterAutospacing="0"/>
                    <w:ind w:left="0" w:right="0"/>
                    <w:rPr>
                      <w:rFonts w:hint="default"/>
                    </w:rPr>
                  </w:pPr>
                  <w:r>
                    <w:rPr>
                      <w:rFonts w:hint="default"/>
                    </w:rPr>
                    <w:t>洒水降尘</w:t>
                  </w:r>
                </w:p>
              </w:tc>
              <w:tc>
                <w:tcPr>
                  <w:tcW w:w="416" w:type="pct"/>
                  <w:tcBorders>
                    <w:tl2br w:val="nil"/>
                    <w:tr2bl w:val="nil"/>
                  </w:tcBorders>
                  <w:shd w:val="clear" w:color="auto" w:fill="auto"/>
                  <w:vAlign w:val="center"/>
                </w:tcPr>
                <w:p w14:paraId="0A2EC8E7">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6A433115">
                  <w:pPr>
                    <w:pStyle w:val="26"/>
                    <w:keepNext w:val="0"/>
                    <w:keepLines w:val="0"/>
                    <w:suppressLineNumbers w:val="0"/>
                    <w:spacing w:before="0" w:beforeAutospacing="0" w:after="0" w:afterAutospacing="0"/>
                    <w:ind w:left="0" w:right="0"/>
                    <w:rPr>
                      <w:rFonts w:hint="default"/>
                    </w:rPr>
                  </w:pPr>
                  <w:r>
                    <w:rPr>
                      <w:rFonts w:hint="default"/>
                    </w:rPr>
                    <w:t>5.0</w:t>
                  </w:r>
                </w:p>
              </w:tc>
              <w:tc>
                <w:tcPr>
                  <w:tcW w:w="481" w:type="pct"/>
                  <w:tcBorders>
                    <w:tl2br w:val="nil"/>
                    <w:tr2bl w:val="nil"/>
                  </w:tcBorders>
                  <w:shd w:val="clear" w:color="auto" w:fill="auto"/>
                  <w:vAlign w:val="center"/>
                </w:tcPr>
                <w:p w14:paraId="47BCF0E1">
                  <w:pPr>
                    <w:pStyle w:val="26"/>
                    <w:keepNext w:val="0"/>
                    <w:keepLines w:val="0"/>
                    <w:suppressLineNumbers w:val="0"/>
                    <w:spacing w:before="0" w:beforeAutospacing="0" w:after="0" w:afterAutospacing="0"/>
                    <w:ind w:left="0" w:right="0"/>
                    <w:rPr>
                      <w:rFonts w:hint="default"/>
                    </w:rPr>
                  </w:pPr>
                  <w:r>
                    <w:rPr>
                      <w:rFonts w:hint="default"/>
                    </w:rPr>
                    <w:t>新增</w:t>
                  </w:r>
                </w:p>
              </w:tc>
            </w:tr>
            <w:tr w14:paraId="0776D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45FE452F">
                  <w:pPr>
                    <w:pStyle w:val="26"/>
                    <w:keepNext w:val="0"/>
                    <w:keepLines w:val="0"/>
                    <w:suppressLineNumbers w:val="0"/>
                    <w:spacing w:before="0" w:beforeAutospacing="0" w:after="0" w:afterAutospacing="0"/>
                    <w:ind w:left="0" w:right="0"/>
                    <w:rPr>
                      <w:rFonts w:hint="default"/>
                    </w:rPr>
                  </w:pPr>
                </w:p>
              </w:tc>
              <w:tc>
                <w:tcPr>
                  <w:tcW w:w="581" w:type="pct"/>
                  <w:vMerge w:val="restart"/>
                  <w:tcBorders>
                    <w:tl2br w:val="nil"/>
                    <w:tr2bl w:val="nil"/>
                  </w:tcBorders>
                  <w:shd w:val="clear" w:color="auto" w:fill="auto"/>
                  <w:vAlign w:val="center"/>
                </w:tcPr>
                <w:p w14:paraId="04D02C58">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67362315">
                  <w:pPr>
                    <w:pStyle w:val="26"/>
                    <w:keepNext w:val="0"/>
                    <w:keepLines w:val="0"/>
                    <w:suppressLineNumbers w:val="0"/>
                    <w:spacing w:before="0" w:beforeAutospacing="0" w:after="0" w:afterAutospacing="0"/>
                    <w:ind w:left="0" w:right="0"/>
                    <w:rPr>
                      <w:rFonts w:hint="default"/>
                    </w:rPr>
                  </w:pPr>
                  <w:r>
                    <w:rPr>
                      <w:rFonts w:hint="default"/>
                    </w:rPr>
                    <w:t>“旋风水膜除尘器+25m高排气筒排放”（DA001）</w:t>
                  </w:r>
                </w:p>
              </w:tc>
              <w:tc>
                <w:tcPr>
                  <w:tcW w:w="416" w:type="pct"/>
                  <w:tcBorders>
                    <w:tl2br w:val="nil"/>
                    <w:tr2bl w:val="nil"/>
                  </w:tcBorders>
                  <w:shd w:val="clear" w:color="auto" w:fill="auto"/>
                  <w:vAlign w:val="center"/>
                </w:tcPr>
                <w:p w14:paraId="2892FD42">
                  <w:pPr>
                    <w:pStyle w:val="26"/>
                    <w:keepNext w:val="0"/>
                    <w:keepLines w:val="0"/>
                    <w:suppressLineNumbers w:val="0"/>
                    <w:spacing w:before="0" w:beforeAutospacing="0" w:after="0" w:afterAutospacing="0"/>
                    <w:ind w:left="0" w:right="0"/>
                    <w:rPr>
                      <w:rFonts w:hint="default"/>
                    </w:rPr>
                  </w:pPr>
                  <w:r>
                    <w:rPr>
                      <w:rFonts w:hint="default"/>
                    </w:rPr>
                    <w:t>1套</w:t>
                  </w:r>
                </w:p>
              </w:tc>
              <w:tc>
                <w:tcPr>
                  <w:tcW w:w="514" w:type="pct"/>
                  <w:tcBorders>
                    <w:tl2br w:val="nil"/>
                    <w:tr2bl w:val="nil"/>
                  </w:tcBorders>
                  <w:shd w:val="clear" w:color="auto" w:fill="auto"/>
                  <w:vAlign w:val="center"/>
                </w:tcPr>
                <w:p w14:paraId="6409D2D8">
                  <w:pPr>
                    <w:pStyle w:val="26"/>
                    <w:keepNext w:val="0"/>
                    <w:keepLines w:val="0"/>
                    <w:suppressLineNumbers w:val="0"/>
                    <w:spacing w:before="0" w:beforeAutospacing="0" w:after="0" w:afterAutospacing="0"/>
                    <w:ind w:left="0" w:right="0"/>
                    <w:rPr>
                      <w:rFonts w:hint="default"/>
                    </w:rPr>
                  </w:pPr>
                  <w:r>
                    <w:rPr>
                      <w:rFonts w:hint="default"/>
                    </w:rPr>
                    <w:t>30.0</w:t>
                  </w:r>
                </w:p>
              </w:tc>
              <w:tc>
                <w:tcPr>
                  <w:tcW w:w="481" w:type="pct"/>
                  <w:tcBorders>
                    <w:tl2br w:val="nil"/>
                    <w:tr2bl w:val="nil"/>
                  </w:tcBorders>
                  <w:shd w:val="clear" w:color="auto" w:fill="auto"/>
                  <w:vAlign w:val="center"/>
                </w:tcPr>
                <w:p w14:paraId="5F408CEE">
                  <w:pPr>
                    <w:pStyle w:val="26"/>
                    <w:keepNext w:val="0"/>
                    <w:keepLines w:val="0"/>
                    <w:suppressLineNumbers w:val="0"/>
                    <w:spacing w:before="0" w:beforeAutospacing="0" w:after="0" w:afterAutospacing="0"/>
                    <w:ind w:left="0" w:right="0"/>
                    <w:rPr>
                      <w:rFonts w:hint="default"/>
                    </w:rPr>
                  </w:pPr>
                  <w:r>
                    <w:rPr>
                      <w:rFonts w:hint="default"/>
                    </w:rPr>
                    <w:t>新增</w:t>
                  </w:r>
                </w:p>
              </w:tc>
            </w:tr>
            <w:tr w14:paraId="251F5E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0FEA1D3D">
                  <w:pPr>
                    <w:pStyle w:val="26"/>
                    <w:keepNext w:val="0"/>
                    <w:keepLines w:val="0"/>
                    <w:suppressLineNumbers w:val="0"/>
                    <w:spacing w:before="0" w:beforeAutospacing="0" w:after="0" w:afterAutospacing="0"/>
                    <w:ind w:left="0" w:right="0"/>
                    <w:rPr>
                      <w:rFonts w:hint="default"/>
                    </w:rPr>
                  </w:pPr>
                </w:p>
              </w:tc>
              <w:tc>
                <w:tcPr>
                  <w:tcW w:w="581" w:type="pct"/>
                  <w:vMerge w:val="continue"/>
                  <w:tcBorders>
                    <w:tl2br w:val="nil"/>
                    <w:tr2bl w:val="nil"/>
                  </w:tcBorders>
                  <w:shd w:val="clear" w:color="auto" w:fill="auto"/>
                  <w:vAlign w:val="center"/>
                </w:tcPr>
                <w:p w14:paraId="180818B6">
                  <w:pPr>
                    <w:pStyle w:val="26"/>
                    <w:keepNext w:val="0"/>
                    <w:keepLines w:val="0"/>
                    <w:suppressLineNumbers w:val="0"/>
                    <w:spacing w:before="0" w:beforeAutospacing="0" w:after="0" w:afterAutospacing="0"/>
                    <w:ind w:left="0" w:right="0"/>
                    <w:rPr>
                      <w:rFonts w:hint="default"/>
                    </w:rPr>
                  </w:pPr>
                </w:p>
              </w:tc>
              <w:tc>
                <w:tcPr>
                  <w:tcW w:w="2243" w:type="pct"/>
                  <w:tcBorders>
                    <w:tl2br w:val="nil"/>
                    <w:tr2bl w:val="nil"/>
                  </w:tcBorders>
                  <w:shd w:val="clear" w:color="auto" w:fill="auto"/>
                  <w:vAlign w:val="center"/>
                </w:tcPr>
                <w:p w14:paraId="66E52F34">
                  <w:pPr>
                    <w:pStyle w:val="26"/>
                    <w:keepNext w:val="0"/>
                    <w:keepLines w:val="0"/>
                    <w:suppressLineNumbers w:val="0"/>
                    <w:spacing w:before="0" w:beforeAutospacing="0" w:after="0" w:afterAutospacing="0"/>
                    <w:ind w:left="0" w:right="0"/>
                    <w:rPr>
                      <w:rFonts w:hint="default"/>
                    </w:rPr>
                  </w:pPr>
                  <w:r>
                    <w:rPr>
                      <w:rFonts w:hint="default"/>
                    </w:rPr>
                    <w:t>矩形料仓设置雾炮机</w:t>
                  </w:r>
                </w:p>
              </w:tc>
              <w:tc>
                <w:tcPr>
                  <w:tcW w:w="416" w:type="pct"/>
                  <w:tcBorders>
                    <w:tl2br w:val="nil"/>
                    <w:tr2bl w:val="nil"/>
                  </w:tcBorders>
                  <w:shd w:val="clear" w:color="auto" w:fill="auto"/>
                  <w:vAlign w:val="center"/>
                </w:tcPr>
                <w:p w14:paraId="495D3410">
                  <w:pPr>
                    <w:pStyle w:val="26"/>
                    <w:keepNext w:val="0"/>
                    <w:keepLines w:val="0"/>
                    <w:suppressLineNumbers w:val="0"/>
                    <w:spacing w:before="0" w:beforeAutospacing="0" w:after="0" w:afterAutospacing="0"/>
                    <w:ind w:left="0" w:right="0"/>
                    <w:rPr>
                      <w:rFonts w:hint="default"/>
                    </w:rPr>
                  </w:pPr>
                  <w:r>
                    <w:rPr>
                      <w:rFonts w:hint="default"/>
                    </w:rPr>
                    <w:t>1套</w:t>
                  </w:r>
                </w:p>
              </w:tc>
              <w:tc>
                <w:tcPr>
                  <w:tcW w:w="514" w:type="pct"/>
                  <w:tcBorders>
                    <w:tl2br w:val="nil"/>
                    <w:tr2bl w:val="nil"/>
                  </w:tcBorders>
                  <w:shd w:val="clear" w:color="auto" w:fill="auto"/>
                  <w:vAlign w:val="center"/>
                </w:tcPr>
                <w:p w14:paraId="009D983A">
                  <w:pPr>
                    <w:pStyle w:val="26"/>
                    <w:keepNext w:val="0"/>
                    <w:keepLines w:val="0"/>
                    <w:suppressLineNumbers w:val="0"/>
                    <w:spacing w:before="0" w:beforeAutospacing="0" w:after="0" w:afterAutospacing="0"/>
                    <w:ind w:left="0" w:right="0"/>
                    <w:rPr>
                      <w:rFonts w:hint="default"/>
                    </w:rPr>
                  </w:pPr>
                  <w:r>
                    <w:rPr>
                      <w:rFonts w:hint="default"/>
                    </w:rPr>
                    <w:t>20.0</w:t>
                  </w:r>
                </w:p>
              </w:tc>
              <w:tc>
                <w:tcPr>
                  <w:tcW w:w="481" w:type="pct"/>
                  <w:tcBorders>
                    <w:tl2br w:val="nil"/>
                    <w:tr2bl w:val="nil"/>
                  </w:tcBorders>
                  <w:shd w:val="clear" w:color="auto" w:fill="auto"/>
                  <w:vAlign w:val="center"/>
                </w:tcPr>
                <w:p w14:paraId="4D836ED2">
                  <w:pPr>
                    <w:pStyle w:val="26"/>
                    <w:keepNext w:val="0"/>
                    <w:keepLines w:val="0"/>
                    <w:suppressLineNumbers w:val="0"/>
                    <w:spacing w:before="0" w:beforeAutospacing="0" w:after="0" w:afterAutospacing="0"/>
                    <w:ind w:left="0" w:right="0"/>
                    <w:rPr>
                      <w:rFonts w:hint="default"/>
                    </w:rPr>
                  </w:pPr>
                  <w:r>
                    <w:rPr>
                      <w:rFonts w:hint="default"/>
                    </w:rPr>
                    <w:t>新增</w:t>
                  </w:r>
                </w:p>
              </w:tc>
            </w:tr>
            <w:tr w14:paraId="6BD52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3177B4DA">
                  <w:pPr>
                    <w:pStyle w:val="26"/>
                    <w:keepNext w:val="0"/>
                    <w:keepLines w:val="0"/>
                    <w:suppressLineNumbers w:val="0"/>
                    <w:spacing w:before="0" w:beforeAutospacing="0" w:after="0" w:afterAutospacing="0"/>
                    <w:ind w:left="0" w:right="0"/>
                    <w:rPr>
                      <w:rFonts w:hint="default"/>
                    </w:rPr>
                  </w:pPr>
                </w:p>
              </w:tc>
              <w:tc>
                <w:tcPr>
                  <w:tcW w:w="581" w:type="pct"/>
                  <w:vMerge w:val="continue"/>
                  <w:tcBorders>
                    <w:tl2br w:val="nil"/>
                    <w:tr2bl w:val="nil"/>
                  </w:tcBorders>
                  <w:shd w:val="clear" w:color="auto" w:fill="auto"/>
                  <w:vAlign w:val="center"/>
                </w:tcPr>
                <w:p w14:paraId="2222925C">
                  <w:pPr>
                    <w:pStyle w:val="26"/>
                    <w:keepNext w:val="0"/>
                    <w:keepLines w:val="0"/>
                    <w:suppressLineNumbers w:val="0"/>
                    <w:spacing w:before="0" w:beforeAutospacing="0" w:after="0" w:afterAutospacing="0"/>
                    <w:ind w:left="0" w:right="0"/>
                    <w:rPr>
                      <w:rFonts w:hint="default"/>
                    </w:rPr>
                  </w:pPr>
                </w:p>
              </w:tc>
              <w:tc>
                <w:tcPr>
                  <w:tcW w:w="2243" w:type="pct"/>
                  <w:tcBorders>
                    <w:tl2br w:val="nil"/>
                    <w:tr2bl w:val="nil"/>
                  </w:tcBorders>
                  <w:shd w:val="clear" w:color="auto" w:fill="auto"/>
                  <w:vAlign w:val="center"/>
                </w:tcPr>
                <w:p w14:paraId="46705066">
                  <w:pPr>
                    <w:pStyle w:val="26"/>
                    <w:keepNext w:val="0"/>
                    <w:keepLines w:val="0"/>
                    <w:suppressLineNumbers w:val="0"/>
                    <w:spacing w:before="0" w:beforeAutospacing="0" w:after="0" w:afterAutospacing="0"/>
                    <w:ind w:left="0" w:right="0"/>
                    <w:rPr>
                      <w:rFonts w:hint="default"/>
                    </w:rPr>
                  </w:pPr>
                  <w:r>
                    <w:rPr>
                      <w:rFonts w:hint="default"/>
                    </w:rPr>
                    <w:t>柴油撬装站设置油气回收系统</w:t>
                  </w:r>
                </w:p>
              </w:tc>
              <w:tc>
                <w:tcPr>
                  <w:tcW w:w="416" w:type="pct"/>
                  <w:tcBorders>
                    <w:tl2br w:val="nil"/>
                    <w:tr2bl w:val="nil"/>
                  </w:tcBorders>
                  <w:shd w:val="clear" w:color="auto" w:fill="auto"/>
                  <w:vAlign w:val="center"/>
                </w:tcPr>
                <w:p w14:paraId="73C23EDD">
                  <w:pPr>
                    <w:pStyle w:val="26"/>
                    <w:keepNext w:val="0"/>
                    <w:keepLines w:val="0"/>
                    <w:suppressLineNumbers w:val="0"/>
                    <w:spacing w:before="0" w:beforeAutospacing="0" w:after="0" w:afterAutospacing="0"/>
                    <w:ind w:left="0" w:right="0"/>
                    <w:rPr>
                      <w:rFonts w:hint="default"/>
                    </w:rPr>
                  </w:pPr>
                  <w:r>
                    <w:rPr>
                      <w:rFonts w:hint="default"/>
                    </w:rPr>
                    <w:t>1套</w:t>
                  </w:r>
                </w:p>
              </w:tc>
              <w:tc>
                <w:tcPr>
                  <w:tcW w:w="514" w:type="pct"/>
                  <w:tcBorders>
                    <w:tl2br w:val="nil"/>
                    <w:tr2bl w:val="nil"/>
                  </w:tcBorders>
                  <w:shd w:val="clear" w:color="auto" w:fill="auto"/>
                  <w:vAlign w:val="center"/>
                </w:tcPr>
                <w:p w14:paraId="07A7F3B3">
                  <w:pPr>
                    <w:pStyle w:val="26"/>
                    <w:keepNext w:val="0"/>
                    <w:keepLines w:val="0"/>
                    <w:suppressLineNumbers w:val="0"/>
                    <w:spacing w:before="0" w:beforeAutospacing="0" w:after="0" w:afterAutospacing="0"/>
                    <w:ind w:left="0" w:right="0"/>
                    <w:rPr>
                      <w:rFonts w:hint="default"/>
                    </w:rPr>
                  </w:pPr>
                  <w:r>
                    <w:rPr>
                      <w:rFonts w:hint="default"/>
                    </w:rPr>
                    <w:t>25.0</w:t>
                  </w:r>
                </w:p>
              </w:tc>
              <w:tc>
                <w:tcPr>
                  <w:tcW w:w="481" w:type="pct"/>
                  <w:tcBorders>
                    <w:tl2br w:val="nil"/>
                    <w:tr2bl w:val="nil"/>
                  </w:tcBorders>
                  <w:shd w:val="clear" w:color="auto" w:fill="auto"/>
                  <w:vAlign w:val="center"/>
                </w:tcPr>
                <w:p w14:paraId="4AFE5DB9">
                  <w:pPr>
                    <w:pStyle w:val="26"/>
                    <w:keepNext w:val="0"/>
                    <w:keepLines w:val="0"/>
                    <w:suppressLineNumbers w:val="0"/>
                    <w:spacing w:before="0" w:beforeAutospacing="0" w:after="0" w:afterAutospacing="0"/>
                    <w:ind w:left="0" w:right="0"/>
                    <w:rPr>
                      <w:rFonts w:hint="default"/>
                    </w:rPr>
                  </w:pPr>
                  <w:r>
                    <w:rPr>
                      <w:rFonts w:hint="default"/>
                    </w:rPr>
                    <w:t>新增</w:t>
                  </w:r>
                </w:p>
              </w:tc>
            </w:tr>
            <w:tr w14:paraId="6B901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1601B61A">
                  <w:pPr>
                    <w:pStyle w:val="26"/>
                    <w:keepNext w:val="0"/>
                    <w:keepLines w:val="0"/>
                    <w:suppressLineNumbers w:val="0"/>
                    <w:spacing w:before="0" w:beforeAutospacing="0" w:after="0" w:afterAutospacing="0"/>
                    <w:ind w:left="0" w:right="0"/>
                    <w:rPr>
                      <w:rFonts w:hint="default"/>
                    </w:rPr>
                  </w:pPr>
                </w:p>
              </w:tc>
              <w:tc>
                <w:tcPr>
                  <w:tcW w:w="581" w:type="pct"/>
                  <w:vMerge w:val="continue"/>
                  <w:tcBorders>
                    <w:tl2br w:val="nil"/>
                    <w:tr2bl w:val="nil"/>
                  </w:tcBorders>
                  <w:shd w:val="clear" w:color="auto" w:fill="auto"/>
                  <w:vAlign w:val="center"/>
                </w:tcPr>
                <w:p w14:paraId="199B025F">
                  <w:pPr>
                    <w:pStyle w:val="26"/>
                    <w:keepNext w:val="0"/>
                    <w:keepLines w:val="0"/>
                    <w:suppressLineNumbers w:val="0"/>
                    <w:spacing w:before="0" w:beforeAutospacing="0" w:after="0" w:afterAutospacing="0"/>
                    <w:ind w:left="0" w:right="0"/>
                    <w:rPr>
                      <w:rFonts w:hint="default"/>
                    </w:rPr>
                  </w:pPr>
                </w:p>
              </w:tc>
              <w:tc>
                <w:tcPr>
                  <w:tcW w:w="2243" w:type="pct"/>
                  <w:tcBorders>
                    <w:tl2br w:val="nil"/>
                    <w:tr2bl w:val="nil"/>
                  </w:tcBorders>
                  <w:shd w:val="clear" w:color="auto" w:fill="auto"/>
                  <w:vAlign w:val="center"/>
                </w:tcPr>
                <w:p w14:paraId="66173FE4">
                  <w:pPr>
                    <w:pStyle w:val="26"/>
                    <w:keepNext w:val="0"/>
                    <w:keepLines w:val="0"/>
                    <w:suppressLineNumbers w:val="0"/>
                    <w:spacing w:before="0" w:beforeAutospacing="0" w:after="0" w:afterAutospacing="0"/>
                    <w:ind w:left="0" w:right="0"/>
                    <w:rPr>
                      <w:rFonts w:hint="default"/>
                    </w:rPr>
                  </w:pPr>
                  <w:r>
                    <w:rPr>
                      <w:rFonts w:hint="default"/>
                    </w:rPr>
                    <w:t>油烟净化器+排气筒</w:t>
                  </w:r>
                </w:p>
              </w:tc>
              <w:tc>
                <w:tcPr>
                  <w:tcW w:w="416" w:type="pct"/>
                  <w:tcBorders>
                    <w:tl2br w:val="nil"/>
                    <w:tr2bl w:val="nil"/>
                  </w:tcBorders>
                  <w:shd w:val="clear" w:color="auto" w:fill="auto"/>
                  <w:vAlign w:val="center"/>
                </w:tcPr>
                <w:p w14:paraId="13D61A2D">
                  <w:pPr>
                    <w:pStyle w:val="26"/>
                    <w:keepNext w:val="0"/>
                    <w:keepLines w:val="0"/>
                    <w:suppressLineNumbers w:val="0"/>
                    <w:spacing w:before="0" w:beforeAutospacing="0" w:after="0" w:afterAutospacing="0"/>
                    <w:ind w:left="0" w:right="0"/>
                    <w:rPr>
                      <w:rFonts w:hint="default"/>
                    </w:rPr>
                  </w:pPr>
                  <w:r>
                    <w:rPr>
                      <w:rFonts w:hint="default"/>
                    </w:rPr>
                    <w:t>1套</w:t>
                  </w:r>
                </w:p>
              </w:tc>
              <w:tc>
                <w:tcPr>
                  <w:tcW w:w="514" w:type="pct"/>
                  <w:tcBorders>
                    <w:tl2br w:val="nil"/>
                    <w:tr2bl w:val="nil"/>
                  </w:tcBorders>
                  <w:shd w:val="clear" w:color="auto" w:fill="auto"/>
                  <w:vAlign w:val="center"/>
                </w:tcPr>
                <w:p w14:paraId="12338B98">
                  <w:pPr>
                    <w:pStyle w:val="26"/>
                    <w:keepNext w:val="0"/>
                    <w:keepLines w:val="0"/>
                    <w:suppressLineNumbers w:val="0"/>
                    <w:spacing w:before="0" w:beforeAutospacing="0" w:after="0" w:afterAutospacing="0"/>
                    <w:ind w:left="0" w:right="0"/>
                    <w:rPr>
                      <w:rFonts w:hint="default"/>
                    </w:rPr>
                  </w:pPr>
                  <w:r>
                    <w:rPr>
                      <w:rFonts w:hint="default"/>
                    </w:rPr>
                    <w:t>2.0</w:t>
                  </w:r>
                </w:p>
              </w:tc>
              <w:tc>
                <w:tcPr>
                  <w:tcW w:w="481" w:type="pct"/>
                  <w:tcBorders>
                    <w:tl2br w:val="nil"/>
                    <w:tr2bl w:val="nil"/>
                  </w:tcBorders>
                  <w:shd w:val="clear" w:color="auto" w:fill="auto"/>
                  <w:vAlign w:val="center"/>
                </w:tcPr>
                <w:p w14:paraId="751E1AB7">
                  <w:pPr>
                    <w:pStyle w:val="26"/>
                    <w:keepNext w:val="0"/>
                    <w:keepLines w:val="0"/>
                    <w:suppressLineNumbers w:val="0"/>
                    <w:spacing w:before="0" w:beforeAutospacing="0" w:after="0" w:afterAutospacing="0"/>
                    <w:ind w:left="0" w:right="0"/>
                    <w:rPr>
                      <w:rFonts w:hint="default"/>
                    </w:rPr>
                  </w:pPr>
                  <w:r>
                    <w:rPr>
                      <w:rFonts w:hint="default"/>
                    </w:rPr>
                    <w:t>新增</w:t>
                  </w:r>
                </w:p>
              </w:tc>
            </w:tr>
            <w:tr w14:paraId="17D114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restart"/>
                  <w:tcBorders>
                    <w:tl2br w:val="nil"/>
                    <w:tr2bl w:val="nil"/>
                  </w:tcBorders>
                  <w:shd w:val="clear" w:color="auto" w:fill="auto"/>
                  <w:vAlign w:val="center"/>
                </w:tcPr>
                <w:p w14:paraId="50A25FFA">
                  <w:pPr>
                    <w:pStyle w:val="26"/>
                    <w:keepNext w:val="0"/>
                    <w:keepLines w:val="0"/>
                    <w:suppressLineNumbers w:val="0"/>
                    <w:spacing w:before="0" w:beforeAutospacing="0" w:after="0" w:afterAutospacing="0"/>
                    <w:ind w:left="0" w:right="0"/>
                    <w:rPr>
                      <w:rFonts w:hint="default"/>
                    </w:rPr>
                  </w:pPr>
                  <w:r>
                    <w:rPr>
                      <w:rFonts w:hint="default"/>
                    </w:rPr>
                    <w:t>废水治理</w:t>
                  </w:r>
                </w:p>
              </w:tc>
              <w:tc>
                <w:tcPr>
                  <w:tcW w:w="581" w:type="pct"/>
                  <w:tcBorders>
                    <w:tl2br w:val="nil"/>
                    <w:tr2bl w:val="nil"/>
                  </w:tcBorders>
                  <w:shd w:val="clear" w:color="auto" w:fill="auto"/>
                  <w:vAlign w:val="center"/>
                </w:tcPr>
                <w:p w14:paraId="69C49D35">
                  <w:pPr>
                    <w:pStyle w:val="26"/>
                    <w:keepNext w:val="0"/>
                    <w:keepLines w:val="0"/>
                    <w:suppressLineNumbers w:val="0"/>
                    <w:spacing w:before="0" w:beforeAutospacing="0" w:after="0" w:afterAutospacing="0"/>
                    <w:ind w:left="0" w:right="0"/>
                    <w:rPr>
                      <w:rFonts w:hint="default"/>
                    </w:rPr>
                  </w:pPr>
                  <w:r>
                    <w:rPr>
                      <w:rFonts w:hint="default"/>
                    </w:rPr>
                    <w:t>施工期</w:t>
                  </w:r>
                </w:p>
              </w:tc>
              <w:tc>
                <w:tcPr>
                  <w:tcW w:w="2243" w:type="pct"/>
                  <w:tcBorders>
                    <w:tl2br w:val="nil"/>
                    <w:tr2bl w:val="nil"/>
                  </w:tcBorders>
                  <w:shd w:val="clear" w:color="auto" w:fill="auto"/>
                  <w:vAlign w:val="center"/>
                </w:tcPr>
                <w:p w14:paraId="0E7BDE25">
                  <w:pPr>
                    <w:pStyle w:val="26"/>
                    <w:keepNext w:val="0"/>
                    <w:keepLines w:val="0"/>
                    <w:suppressLineNumbers w:val="0"/>
                    <w:spacing w:before="0" w:beforeAutospacing="0" w:after="0" w:afterAutospacing="0"/>
                    <w:ind w:left="0" w:right="0"/>
                    <w:rPr>
                      <w:rFonts w:hint="default"/>
                    </w:rPr>
                  </w:pPr>
                  <w:r>
                    <w:rPr>
                      <w:rFonts w:hint="default"/>
                    </w:rPr>
                    <w:t>预处理池</w:t>
                  </w:r>
                </w:p>
              </w:tc>
              <w:tc>
                <w:tcPr>
                  <w:tcW w:w="416" w:type="pct"/>
                  <w:vMerge w:val="restart"/>
                  <w:tcBorders>
                    <w:tl2br w:val="nil"/>
                    <w:tr2bl w:val="nil"/>
                  </w:tcBorders>
                  <w:shd w:val="clear" w:color="auto" w:fill="auto"/>
                  <w:vAlign w:val="center"/>
                </w:tcPr>
                <w:p w14:paraId="6DEE0613">
                  <w:pPr>
                    <w:pStyle w:val="26"/>
                    <w:keepNext w:val="0"/>
                    <w:keepLines w:val="0"/>
                    <w:suppressLineNumbers w:val="0"/>
                    <w:spacing w:before="0" w:beforeAutospacing="0" w:after="0" w:afterAutospacing="0"/>
                    <w:ind w:left="0" w:right="0"/>
                    <w:rPr>
                      <w:rFonts w:hint="default"/>
                    </w:rPr>
                  </w:pPr>
                  <w:r>
                    <w:rPr>
                      <w:rFonts w:hint="default"/>
                    </w:rPr>
                    <w:t>1座</w:t>
                  </w:r>
                </w:p>
              </w:tc>
              <w:tc>
                <w:tcPr>
                  <w:tcW w:w="514" w:type="pct"/>
                  <w:vMerge w:val="restart"/>
                  <w:tcBorders>
                    <w:tl2br w:val="nil"/>
                    <w:tr2bl w:val="nil"/>
                  </w:tcBorders>
                  <w:shd w:val="clear" w:color="auto" w:fill="auto"/>
                  <w:vAlign w:val="center"/>
                </w:tcPr>
                <w:p w14:paraId="0F6A5EE5">
                  <w:pPr>
                    <w:pStyle w:val="26"/>
                    <w:keepNext w:val="0"/>
                    <w:keepLines w:val="0"/>
                    <w:suppressLineNumbers w:val="0"/>
                    <w:spacing w:before="0" w:beforeAutospacing="0" w:after="0" w:afterAutospacing="0"/>
                    <w:ind w:left="0" w:right="0"/>
                    <w:rPr>
                      <w:rFonts w:hint="default"/>
                    </w:rPr>
                  </w:pPr>
                  <w:r>
                    <w:rPr>
                      <w:rFonts w:hint="default"/>
                    </w:rPr>
                    <w:t>3.0</w:t>
                  </w:r>
                </w:p>
              </w:tc>
              <w:tc>
                <w:tcPr>
                  <w:tcW w:w="481" w:type="pct"/>
                  <w:vMerge w:val="restart"/>
                  <w:tcBorders>
                    <w:tl2br w:val="nil"/>
                    <w:tr2bl w:val="nil"/>
                  </w:tcBorders>
                  <w:shd w:val="clear" w:color="auto" w:fill="auto"/>
                  <w:vAlign w:val="center"/>
                </w:tcPr>
                <w:p w14:paraId="0BF01E1D">
                  <w:pPr>
                    <w:pStyle w:val="26"/>
                    <w:keepNext w:val="0"/>
                    <w:keepLines w:val="0"/>
                    <w:suppressLineNumbers w:val="0"/>
                    <w:spacing w:before="0" w:beforeAutospacing="0" w:after="0" w:afterAutospacing="0"/>
                    <w:ind w:left="0" w:right="0"/>
                    <w:rPr>
                      <w:rFonts w:hint="default"/>
                    </w:rPr>
                  </w:pPr>
                  <w:r>
                    <w:rPr>
                      <w:rFonts w:hint="default"/>
                    </w:rPr>
                    <w:t>新增</w:t>
                  </w:r>
                </w:p>
              </w:tc>
            </w:tr>
            <w:tr w14:paraId="1567C7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0D9343B9">
                  <w:pPr>
                    <w:pStyle w:val="26"/>
                    <w:keepNext w:val="0"/>
                    <w:keepLines w:val="0"/>
                    <w:suppressLineNumbers w:val="0"/>
                    <w:spacing w:before="0" w:beforeAutospacing="0" w:after="0" w:afterAutospacing="0"/>
                    <w:ind w:left="0" w:right="0"/>
                    <w:rPr>
                      <w:rFonts w:hint="default"/>
                    </w:rPr>
                  </w:pPr>
                </w:p>
              </w:tc>
              <w:tc>
                <w:tcPr>
                  <w:tcW w:w="581" w:type="pct"/>
                  <w:vMerge w:val="restart"/>
                  <w:tcBorders>
                    <w:tl2br w:val="nil"/>
                    <w:tr2bl w:val="nil"/>
                  </w:tcBorders>
                  <w:shd w:val="clear" w:color="auto" w:fill="auto"/>
                  <w:vAlign w:val="center"/>
                </w:tcPr>
                <w:p w14:paraId="0412F42A">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67F8238B">
                  <w:pPr>
                    <w:pStyle w:val="26"/>
                    <w:keepNext w:val="0"/>
                    <w:keepLines w:val="0"/>
                    <w:suppressLineNumbers w:val="0"/>
                    <w:spacing w:before="0" w:beforeAutospacing="0" w:after="0" w:afterAutospacing="0"/>
                    <w:ind w:left="0" w:right="0"/>
                    <w:rPr>
                      <w:rFonts w:hint="default"/>
                    </w:rPr>
                  </w:pPr>
                  <w:r>
                    <w:rPr>
                      <w:rFonts w:hint="default"/>
                    </w:rPr>
                    <w:t>预处理池</w:t>
                  </w:r>
                </w:p>
              </w:tc>
              <w:tc>
                <w:tcPr>
                  <w:tcW w:w="416" w:type="pct"/>
                  <w:vMerge w:val="continue"/>
                  <w:tcBorders>
                    <w:tl2br w:val="nil"/>
                    <w:tr2bl w:val="nil"/>
                  </w:tcBorders>
                  <w:shd w:val="clear" w:color="auto" w:fill="auto"/>
                  <w:vAlign w:val="center"/>
                </w:tcPr>
                <w:p w14:paraId="4A0ED086">
                  <w:pPr>
                    <w:pStyle w:val="26"/>
                    <w:keepNext w:val="0"/>
                    <w:keepLines w:val="0"/>
                    <w:suppressLineNumbers w:val="0"/>
                    <w:spacing w:before="0" w:beforeAutospacing="0" w:after="0" w:afterAutospacing="0"/>
                    <w:ind w:left="0" w:right="0"/>
                    <w:rPr>
                      <w:rFonts w:hint="default"/>
                    </w:rPr>
                  </w:pPr>
                </w:p>
              </w:tc>
              <w:tc>
                <w:tcPr>
                  <w:tcW w:w="514" w:type="pct"/>
                  <w:vMerge w:val="continue"/>
                  <w:tcBorders>
                    <w:tl2br w:val="nil"/>
                    <w:tr2bl w:val="nil"/>
                  </w:tcBorders>
                  <w:shd w:val="clear" w:color="auto" w:fill="auto"/>
                  <w:vAlign w:val="center"/>
                </w:tcPr>
                <w:p w14:paraId="69F314D2">
                  <w:pPr>
                    <w:pStyle w:val="26"/>
                    <w:keepNext w:val="0"/>
                    <w:keepLines w:val="0"/>
                    <w:suppressLineNumbers w:val="0"/>
                    <w:spacing w:before="0" w:beforeAutospacing="0" w:after="0" w:afterAutospacing="0"/>
                    <w:ind w:left="0" w:right="0"/>
                    <w:rPr>
                      <w:rFonts w:hint="default"/>
                    </w:rPr>
                  </w:pPr>
                </w:p>
              </w:tc>
              <w:tc>
                <w:tcPr>
                  <w:tcW w:w="481" w:type="pct"/>
                  <w:vMerge w:val="continue"/>
                  <w:tcBorders>
                    <w:tl2br w:val="nil"/>
                    <w:tr2bl w:val="nil"/>
                  </w:tcBorders>
                  <w:shd w:val="clear" w:color="auto" w:fill="auto"/>
                  <w:vAlign w:val="center"/>
                </w:tcPr>
                <w:p w14:paraId="2876FE2E">
                  <w:pPr>
                    <w:pStyle w:val="26"/>
                    <w:keepNext w:val="0"/>
                    <w:keepLines w:val="0"/>
                    <w:suppressLineNumbers w:val="0"/>
                    <w:spacing w:before="0" w:beforeAutospacing="0" w:after="0" w:afterAutospacing="0"/>
                    <w:ind w:left="0" w:right="0"/>
                    <w:rPr>
                      <w:rFonts w:hint="default"/>
                    </w:rPr>
                  </w:pPr>
                </w:p>
              </w:tc>
            </w:tr>
            <w:tr w14:paraId="0811A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1CD37A9E">
                  <w:pPr>
                    <w:pStyle w:val="26"/>
                    <w:keepNext w:val="0"/>
                    <w:keepLines w:val="0"/>
                    <w:suppressLineNumbers w:val="0"/>
                    <w:spacing w:before="0" w:beforeAutospacing="0" w:after="0" w:afterAutospacing="0"/>
                    <w:ind w:left="0" w:right="0"/>
                    <w:rPr>
                      <w:rFonts w:hint="default"/>
                    </w:rPr>
                  </w:pPr>
                </w:p>
              </w:tc>
              <w:tc>
                <w:tcPr>
                  <w:tcW w:w="581" w:type="pct"/>
                  <w:vMerge w:val="continue"/>
                  <w:tcBorders>
                    <w:tl2br w:val="nil"/>
                    <w:tr2bl w:val="nil"/>
                  </w:tcBorders>
                  <w:shd w:val="clear" w:color="auto" w:fill="auto"/>
                  <w:vAlign w:val="center"/>
                </w:tcPr>
                <w:p w14:paraId="1ACFDBCF">
                  <w:pPr>
                    <w:pStyle w:val="26"/>
                    <w:keepNext w:val="0"/>
                    <w:keepLines w:val="0"/>
                    <w:suppressLineNumbers w:val="0"/>
                    <w:spacing w:before="0" w:beforeAutospacing="0" w:after="0" w:afterAutospacing="0"/>
                    <w:ind w:left="0" w:right="0"/>
                    <w:rPr>
                      <w:rFonts w:hint="default"/>
                    </w:rPr>
                  </w:pPr>
                </w:p>
              </w:tc>
              <w:tc>
                <w:tcPr>
                  <w:tcW w:w="2243" w:type="pct"/>
                  <w:tcBorders>
                    <w:tl2br w:val="nil"/>
                    <w:tr2bl w:val="nil"/>
                  </w:tcBorders>
                  <w:shd w:val="clear" w:color="auto" w:fill="auto"/>
                  <w:vAlign w:val="center"/>
                </w:tcPr>
                <w:p w14:paraId="16E05A89">
                  <w:pPr>
                    <w:pStyle w:val="26"/>
                    <w:keepNext w:val="0"/>
                    <w:keepLines w:val="0"/>
                    <w:suppressLineNumbers w:val="0"/>
                    <w:spacing w:before="0" w:beforeAutospacing="0" w:after="0" w:afterAutospacing="0"/>
                    <w:ind w:left="0" w:right="0"/>
                    <w:rPr>
                      <w:rFonts w:hint="default"/>
                    </w:rPr>
                  </w:pPr>
                  <w:r>
                    <w:rPr>
                      <w:rFonts w:hint="default"/>
                    </w:rPr>
                    <w:t>隔油池</w:t>
                  </w:r>
                </w:p>
              </w:tc>
              <w:tc>
                <w:tcPr>
                  <w:tcW w:w="416" w:type="pct"/>
                  <w:tcBorders>
                    <w:tl2br w:val="nil"/>
                    <w:tr2bl w:val="nil"/>
                  </w:tcBorders>
                  <w:shd w:val="clear" w:color="auto" w:fill="auto"/>
                  <w:vAlign w:val="center"/>
                </w:tcPr>
                <w:p w14:paraId="64FBCC89">
                  <w:pPr>
                    <w:pStyle w:val="26"/>
                    <w:keepNext w:val="0"/>
                    <w:keepLines w:val="0"/>
                    <w:suppressLineNumbers w:val="0"/>
                    <w:spacing w:before="0" w:beforeAutospacing="0" w:after="0" w:afterAutospacing="0"/>
                    <w:ind w:left="0" w:right="0"/>
                    <w:rPr>
                      <w:rFonts w:hint="default"/>
                    </w:rPr>
                  </w:pPr>
                  <w:r>
                    <w:rPr>
                      <w:rFonts w:hint="default"/>
                    </w:rPr>
                    <w:t>1座</w:t>
                  </w:r>
                </w:p>
              </w:tc>
              <w:tc>
                <w:tcPr>
                  <w:tcW w:w="514" w:type="pct"/>
                  <w:tcBorders>
                    <w:tl2br w:val="nil"/>
                    <w:tr2bl w:val="nil"/>
                  </w:tcBorders>
                  <w:shd w:val="clear" w:color="auto" w:fill="auto"/>
                  <w:vAlign w:val="center"/>
                </w:tcPr>
                <w:p w14:paraId="70A3B4FC">
                  <w:pPr>
                    <w:pStyle w:val="26"/>
                    <w:keepNext w:val="0"/>
                    <w:keepLines w:val="0"/>
                    <w:suppressLineNumbers w:val="0"/>
                    <w:spacing w:before="0" w:beforeAutospacing="0" w:after="0" w:afterAutospacing="0"/>
                    <w:ind w:left="0" w:right="0"/>
                    <w:rPr>
                      <w:rFonts w:hint="default"/>
                    </w:rPr>
                  </w:pPr>
                  <w:r>
                    <w:rPr>
                      <w:rFonts w:hint="default"/>
                    </w:rPr>
                    <w:t>0.5</w:t>
                  </w:r>
                </w:p>
              </w:tc>
              <w:tc>
                <w:tcPr>
                  <w:tcW w:w="481" w:type="pct"/>
                  <w:tcBorders>
                    <w:tl2br w:val="nil"/>
                    <w:tr2bl w:val="nil"/>
                  </w:tcBorders>
                  <w:shd w:val="clear" w:color="auto" w:fill="auto"/>
                  <w:vAlign w:val="center"/>
                </w:tcPr>
                <w:p w14:paraId="09F234A1">
                  <w:pPr>
                    <w:pStyle w:val="26"/>
                    <w:keepNext w:val="0"/>
                    <w:keepLines w:val="0"/>
                    <w:suppressLineNumbers w:val="0"/>
                    <w:spacing w:before="0" w:beforeAutospacing="0" w:after="0" w:afterAutospacing="0"/>
                    <w:ind w:left="0" w:right="0"/>
                    <w:rPr>
                      <w:rFonts w:hint="default"/>
                    </w:rPr>
                  </w:pPr>
                  <w:r>
                    <w:rPr>
                      <w:rFonts w:hint="default"/>
                    </w:rPr>
                    <w:t>新增</w:t>
                  </w:r>
                </w:p>
              </w:tc>
            </w:tr>
            <w:tr w14:paraId="328A50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restart"/>
                  <w:tcBorders>
                    <w:tl2br w:val="nil"/>
                    <w:tr2bl w:val="nil"/>
                  </w:tcBorders>
                  <w:shd w:val="clear" w:color="auto" w:fill="auto"/>
                  <w:vAlign w:val="center"/>
                </w:tcPr>
                <w:p w14:paraId="677D9C89">
                  <w:pPr>
                    <w:pStyle w:val="26"/>
                    <w:keepNext w:val="0"/>
                    <w:keepLines w:val="0"/>
                    <w:suppressLineNumbers w:val="0"/>
                    <w:spacing w:before="0" w:beforeAutospacing="0" w:after="0" w:afterAutospacing="0"/>
                    <w:ind w:left="0" w:right="0"/>
                    <w:rPr>
                      <w:rFonts w:hint="default"/>
                    </w:rPr>
                  </w:pPr>
                  <w:r>
                    <w:rPr>
                      <w:rFonts w:hint="default"/>
                    </w:rPr>
                    <w:t>噪声</w:t>
                  </w:r>
                </w:p>
              </w:tc>
              <w:tc>
                <w:tcPr>
                  <w:tcW w:w="581" w:type="pct"/>
                  <w:tcBorders>
                    <w:tl2br w:val="nil"/>
                    <w:tr2bl w:val="nil"/>
                  </w:tcBorders>
                  <w:shd w:val="clear" w:color="auto" w:fill="auto"/>
                  <w:vAlign w:val="center"/>
                </w:tcPr>
                <w:p w14:paraId="5D508A07">
                  <w:pPr>
                    <w:pStyle w:val="26"/>
                    <w:keepNext w:val="0"/>
                    <w:keepLines w:val="0"/>
                    <w:suppressLineNumbers w:val="0"/>
                    <w:spacing w:before="0" w:beforeAutospacing="0" w:after="0" w:afterAutospacing="0"/>
                    <w:ind w:left="0" w:right="0"/>
                    <w:rPr>
                      <w:rFonts w:hint="default"/>
                    </w:rPr>
                  </w:pPr>
                  <w:r>
                    <w:rPr>
                      <w:rFonts w:hint="default"/>
                    </w:rPr>
                    <w:t>施工期</w:t>
                  </w:r>
                </w:p>
              </w:tc>
              <w:tc>
                <w:tcPr>
                  <w:tcW w:w="2243" w:type="pct"/>
                  <w:tcBorders>
                    <w:tl2br w:val="nil"/>
                    <w:tr2bl w:val="nil"/>
                  </w:tcBorders>
                  <w:shd w:val="clear" w:color="auto" w:fill="auto"/>
                  <w:vAlign w:val="center"/>
                </w:tcPr>
                <w:p w14:paraId="0958AFE6">
                  <w:pPr>
                    <w:pStyle w:val="26"/>
                    <w:keepNext w:val="0"/>
                    <w:keepLines w:val="0"/>
                    <w:suppressLineNumbers w:val="0"/>
                    <w:spacing w:before="0" w:beforeAutospacing="0" w:after="0" w:afterAutospacing="0"/>
                    <w:ind w:left="0" w:right="0"/>
                    <w:rPr>
                      <w:rFonts w:hint="default"/>
                    </w:rPr>
                  </w:pPr>
                  <w:r>
                    <w:rPr>
                      <w:rFonts w:hint="default"/>
                    </w:rPr>
                    <w:t>设备减震、厂界隔声</w:t>
                  </w:r>
                </w:p>
              </w:tc>
              <w:tc>
                <w:tcPr>
                  <w:tcW w:w="416" w:type="pct"/>
                  <w:tcBorders>
                    <w:tl2br w:val="nil"/>
                    <w:tr2bl w:val="nil"/>
                  </w:tcBorders>
                  <w:shd w:val="clear" w:color="auto" w:fill="auto"/>
                  <w:vAlign w:val="center"/>
                </w:tcPr>
                <w:p w14:paraId="390925DB">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013C2DC5">
                  <w:pPr>
                    <w:pStyle w:val="26"/>
                    <w:keepNext w:val="0"/>
                    <w:keepLines w:val="0"/>
                    <w:suppressLineNumbers w:val="0"/>
                    <w:spacing w:before="0" w:beforeAutospacing="0" w:after="0" w:afterAutospacing="0"/>
                    <w:ind w:left="0" w:right="0"/>
                    <w:rPr>
                      <w:rFonts w:hint="default"/>
                    </w:rPr>
                  </w:pPr>
                  <w:r>
                    <w:rPr>
                      <w:rFonts w:hint="default"/>
                    </w:rPr>
                    <w:t>25.0</w:t>
                  </w:r>
                </w:p>
              </w:tc>
              <w:tc>
                <w:tcPr>
                  <w:tcW w:w="481" w:type="pct"/>
                  <w:tcBorders>
                    <w:tl2br w:val="nil"/>
                    <w:tr2bl w:val="nil"/>
                  </w:tcBorders>
                  <w:shd w:val="clear" w:color="auto" w:fill="auto"/>
                  <w:vAlign w:val="center"/>
                </w:tcPr>
                <w:p w14:paraId="0F68FA81">
                  <w:pPr>
                    <w:pStyle w:val="26"/>
                    <w:keepNext w:val="0"/>
                    <w:keepLines w:val="0"/>
                    <w:suppressLineNumbers w:val="0"/>
                    <w:spacing w:before="0" w:beforeAutospacing="0" w:after="0" w:afterAutospacing="0"/>
                    <w:ind w:left="0" w:right="0"/>
                    <w:rPr>
                      <w:rFonts w:hint="default"/>
                    </w:rPr>
                  </w:pPr>
                  <w:r>
                    <w:rPr>
                      <w:rFonts w:hint="default"/>
                    </w:rPr>
                    <w:t>新增</w:t>
                  </w:r>
                </w:p>
              </w:tc>
            </w:tr>
            <w:tr w14:paraId="24526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404D02CA">
                  <w:pPr>
                    <w:pStyle w:val="26"/>
                    <w:keepNext w:val="0"/>
                    <w:keepLines w:val="0"/>
                    <w:suppressLineNumbers w:val="0"/>
                    <w:spacing w:before="0" w:beforeAutospacing="0" w:after="0" w:afterAutospacing="0"/>
                    <w:ind w:left="0" w:right="0"/>
                    <w:rPr>
                      <w:rFonts w:hint="default"/>
                    </w:rPr>
                  </w:pPr>
                </w:p>
              </w:tc>
              <w:tc>
                <w:tcPr>
                  <w:tcW w:w="581" w:type="pct"/>
                  <w:tcBorders>
                    <w:tl2br w:val="nil"/>
                    <w:tr2bl w:val="nil"/>
                  </w:tcBorders>
                  <w:shd w:val="clear" w:color="auto" w:fill="auto"/>
                  <w:vAlign w:val="center"/>
                </w:tcPr>
                <w:p w14:paraId="4FB62B8F">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3A2C45F2">
                  <w:pPr>
                    <w:pStyle w:val="26"/>
                    <w:keepNext w:val="0"/>
                    <w:keepLines w:val="0"/>
                    <w:suppressLineNumbers w:val="0"/>
                    <w:spacing w:before="0" w:beforeAutospacing="0" w:after="0" w:afterAutospacing="0"/>
                    <w:ind w:left="0" w:right="0"/>
                    <w:rPr>
                      <w:rFonts w:hint="default"/>
                    </w:rPr>
                  </w:pPr>
                  <w:r>
                    <w:rPr>
                      <w:rFonts w:hint="default"/>
                    </w:rPr>
                    <w:t>设备减震、厂界隔声</w:t>
                  </w:r>
                </w:p>
              </w:tc>
              <w:tc>
                <w:tcPr>
                  <w:tcW w:w="416" w:type="pct"/>
                  <w:tcBorders>
                    <w:tl2br w:val="nil"/>
                    <w:tr2bl w:val="nil"/>
                  </w:tcBorders>
                  <w:shd w:val="clear" w:color="auto" w:fill="auto"/>
                  <w:vAlign w:val="center"/>
                </w:tcPr>
                <w:p w14:paraId="77395862">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711671E9">
                  <w:pPr>
                    <w:pStyle w:val="26"/>
                    <w:keepNext w:val="0"/>
                    <w:keepLines w:val="0"/>
                    <w:suppressLineNumbers w:val="0"/>
                    <w:spacing w:before="0" w:beforeAutospacing="0" w:after="0" w:afterAutospacing="0"/>
                    <w:ind w:left="0" w:right="0"/>
                    <w:rPr>
                      <w:rFonts w:hint="default"/>
                    </w:rPr>
                  </w:pPr>
                  <w:r>
                    <w:rPr>
                      <w:rFonts w:hint="default"/>
                    </w:rPr>
                    <w:t>50.0</w:t>
                  </w:r>
                </w:p>
              </w:tc>
              <w:tc>
                <w:tcPr>
                  <w:tcW w:w="481" w:type="pct"/>
                  <w:tcBorders>
                    <w:tl2br w:val="nil"/>
                    <w:tr2bl w:val="nil"/>
                  </w:tcBorders>
                  <w:shd w:val="clear" w:color="auto" w:fill="auto"/>
                  <w:vAlign w:val="center"/>
                </w:tcPr>
                <w:p w14:paraId="1AE0F5BB">
                  <w:pPr>
                    <w:pStyle w:val="26"/>
                    <w:keepNext w:val="0"/>
                    <w:keepLines w:val="0"/>
                    <w:suppressLineNumbers w:val="0"/>
                    <w:spacing w:before="0" w:beforeAutospacing="0" w:after="0" w:afterAutospacing="0"/>
                    <w:ind w:left="0" w:right="0"/>
                    <w:rPr>
                      <w:rFonts w:hint="default"/>
                    </w:rPr>
                  </w:pPr>
                  <w:r>
                    <w:rPr>
                      <w:rFonts w:hint="default"/>
                    </w:rPr>
                    <w:t>新增</w:t>
                  </w:r>
                </w:p>
              </w:tc>
            </w:tr>
            <w:tr w14:paraId="2DA949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restart"/>
                  <w:tcBorders>
                    <w:tl2br w:val="nil"/>
                    <w:tr2bl w:val="nil"/>
                  </w:tcBorders>
                  <w:shd w:val="clear" w:color="auto" w:fill="auto"/>
                  <w:vAlign w:val="center"/>
                </w:tcPr>
                <w:p w14:paraId="6CA9F080">
                  <w:pPr>
                    <w:pStyle w:val="26"/>
                    <w:keepNext w:val="0"/>
                    <w:keepLines w:val="0"/>
                    <w:suppressLineNumbers w:val="0"/>
                    <w:spacing w:before="0" w:beforeAutospacing="0" w:after="0" w:afterAutospacing="0"/>
                    <w:ind w:left="0" w:right="0"/>
                    <w:rPr>
                      <w:rFonts w:hint="default"/>
                    </w:rPr>
                  </w:pPr>
                  <w:r>
                    <w:rPr>
                      <w:rFonts w:hint="default"/>
                    </w:rPr>
                    <w:t>固体废弃物处置</w:t>
                  </w:r>
                </w:p>
              </w:tc>
              <w:tc>
                <w:tcPr>
                  <w:tcW w:w="581" w:type="pct"/>
                  <w:tcBorders>
                    <w:tl2br w:val="nil"/>
                    <w:tr2bl w:val="nil"/>
                  </w:tcBorders>
                  <w:shd w:val="clear" w:color="auto" w:fill="auto"/>
                  <w:vAlign w:val="center"/>
                </w:tcPr>
                <w:p w14:paraId="2D6D2BBF">
                  <w:pPr>
                    <w:pStyle w:val="26"/>
                    <w:keepNext w:val="0"/>
                    <w:keepLines w:val="0"/>
                    <w:suppressLineNumbers w:val="0"/>
                    <w:spacing w:before="0" w:beforeAutospacing="0" w:after="0" w:afterAutospacing="0"/>
                    <w:ind w:left="0" w:right="0"/>
                    <w:rPr>
                      <w:rFonts w:hint="default"/>
                    </w:rPr>
                  </w:pPr>
                  <w:r>
                    <w:rPr>
                      <w:rFonts w:hint="default"/>
                    </w:rPr>
                    <w:t>施工期</w:t>
                  </w:r>
                </w:p>
              </w:tc>
              <w:tc>
                <w:tcPr>
                  <w:tcW w:w="2243" w:type="pct"/>
                  <w:tcBorders>
                    <w:tl2br w:val="nil"/>
                    <w:tr2bl w:val="nil"/>
                  </w:tcBorders>
                  <w:shd w:val="clear" w:color="auto" w:fill="auto"/>
                  <w:vAlign w:val="center"/>
                </w:tcPr>
                <w:p w14:paraId="567EE96A">
                  <w:pPr>
                    <w:pStyle w:val="26"/>
                    <w:keepNext w:val="0"/>
                    <w:keepLines w:val="0"/>
                    <w:suppressLineNumbers w:val="0"/>
                    <w:spacing w:before="0" w:beforeAutospacing="0" w:after="0" w:afterAutospacing="0"/>
                    <w:ind w:left="0" w:right="0"/>
                    <w:rPr>
                      <w:rFonts w:hint="default"/>
                    </w:rPr>
                  </w:pPr>
                  <w:r>
                    <w:rPr>
                      <w:rFonts w:hint="default"/>
                    </w:rPr>
                    <w:t>分类收集处置</w:t>
                  </w:r>
                </w:p>
              </w:tc>
              <w:tc>
                <w:tcPr>
                  <w:tcW w:w="416" w:type="pct"/>
                  <w:tcBorders>
                    <w:tl2br w:val="nil"/>
                    <w:tr2bl w:val="nil"/>
                  </w:tcBorders>
                  <w:shd w:val="clear" w:color="auto" w:fill="auto"/>
                  <w:vAlign w:val="center"/>
                </w:tcPr>
                <w:p w14:paraId="243891D3">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26961C8D">
                  <w:pPr>
                    <w:pStyle w:val="26"/>
                    <w:keepNext w:val="0"/>
                    <w:keepLines w:val="0"/>
                    <w:suppressLineNumbers w:val="0"/>
                    <w:spacing w:before="0" w:beforeAutospacing="0" w:after="0" w:afterAutospacing="0"/>
                    <w:ind w:left="0" w:right="0"/>
                    <w:rPr>
                      <w:rFonts w:hint="default"/>
                    </w:rPr>
                  </w:pPr>
                  <w:r>
                    <w:rPr>
                      <w:rFonts w:hint="default"/>
                    </w:rPr>
                    <w:t>6.0</w:t>
                  </w:r>
                </w:p>
              </w:tc>
              <w:tc>
                <w:tcPr>
                  <w:tcW w:w="481" w:type="pct"/>
                  <w:tcBorders>
                    <w:tl2br w:val="nil"/>
                    <w:tr2bl w:val="nil"/>
                  </w:tcBorders>
                  <w:shd w:val="clear" w:color="auto" w:fill="auto"/>
                  <w:vAlign w:val="center"/>
                </w:tcPr>
                <w:p w14:paraId="0723A2D9">
                  <w:pPr>
                    <w:pStyle w:val="26"/>
                    <w:keepNext w:val="0"/>
                    <w:keepLines w:val="0"/>
                    <w:suppressLineNumbers w:val="0"/>
                    <w:spacing w:before="0" w:beforeAutospacing="0" w:after="0" w:afterAutospacing="0"/>
                    <w:ind w:left="0" w:right="0"/>
                    <w:rPr>
                      <w:rFonts w:hint="default"/>
                    </w:rPr>
                  </w:pPr>
                  <w:r>
                    <w:rPr>
                      <w:rFonts w:hint="default"/>
                    </w:rPr>
                    <w:t>新增</w:t>
                  </w:r>
                </w:p>
              </w:tc>
            </w:tr>
            <w:tr w14:paraId="387E2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vMerge w:val="continue"/>
                  <w:tcBorders>
                    <w:tl2br w:val="nil"/>
                    <w:tr2bl w:val="nil"/>
                  </w:tcBorders>
                  <w:shd w:val="clear" w:color="auto" w:fill="auto"/>
                  <w:vAlign w:val="center"/>
                </w:tcPr>
                <w:p w14:paraId="5777AF8B">
                  <w:pPr>
                    <w:pStyle w:val="26"/>
                    <w:keepNext w:val="0"/>
                    <w:keepLines w:val="0"/>
                    <w:suppressLineNumbers w:val="0"/>
                    <w:spacing w:before="0" w:beforeAutospacing="0" w:after="0" w:afterAutospacing="0"/>
                    <w:ind w:left="0" w:right="0"/>
                    <w:rPr>
                      <w:rFonts w:hint="default"/>
                    </w:rPr>
                  </w:pPr>
                </w:p>
              </w:tc>
              <w:tc>
                <w:tcPr>
                  <w:tcW w:w="581" w:type="pct"/>
                  <w:tcBorders>
                    <w:tl2br w:val="nil"/>
                    <w:tr2bl w:val="nil"/>
                  </w:tcBorders>
                  <w:shd w:val="clear" w:color="auto" w:fill="auto"/>
                  <w:vAlign w:val="center"/>
                </w:tcPr>
                <w:p w14:paraId="1C8E2407">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7BF3DCA5">
                  <w:pPr>
                    <w:pStyle w:val="26"/>
                    <w:keepNext w:val="0"/>
                    <w:keepLines w:val="0"/>
                    <w:suppressLineNumbers w:val="0"/>
                    <w:spacing w:before="0" w:beforeAutospacing="0" w:after="0" w:afterAutospacing="0"/>
                    <w:ind w:left="0" w:right="0"/>
                    <w:rPr>
                      <w:rFonts w:hint="default"/>
                    </w:rPr>
                  </w:pPr>
                  <w:r>
                    <w:rPr>
                      <w:rFonts w:hint="default"/>
                    </w:rPr>
                    <w:t>委托有资质单位处置</w:t>
                  </w:r>
                </w:p>
              </w:tc>
              <w:tc>
                <w:tcPr>
                  <w:tcW w:w="416" w:type="pct"/>
                  <w:tcBorders>
                    <w:tl2br w:val="nil"/>
                    <w:tr2bl w:val="nil"/>
                  </w:tcBorders>
                  <w:shd w:val="clear" w:color="auto" w:fill="auto"/>
                  <w:vAlign w:val="center"/>
                </w:tcPr>
                <w:p w14:paraId="688A2386">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53AA9F53">
                  <w:pPr>
                    <w:pStyle w:val="26"/>
                    <w:keepNext w:val="0"/>
                    <w:keepLines w:val="0"/>
                    <w:suppressLineNumbers w:val="0"/>
                    <w:spacing w:before="0" w:beforeAutospacing="0" w:after="0" w:afterAutospacing="0"/>
                    <w:ind w:left="0" w:right="0"/>
                    <w:rPr>
                      <w:rFonts w:hint="default"/>
                    </w:rPr>
                  </w:pPr>
                  <w:r>
                    <w:rPr>
                      <w:rFonts w:hint="default"/>
                    </w:rPr>
                    <w:t>14.5</w:t>
                  </w:r>
                </w:p>
              </w:tc>
              <w:tc>
                <w:tcPr>
                  <w:tcW w:w="481" w:type="pct"/>
                  <w:tcBorders>
                    <w:tl2br w:val="nil"/>
                    <w:tr2bl w:val="nil"/>
                  </w:tcBorders>
                  <w:shd w:val="clear" w:color="auto" w:fill="auto"/>
                  <w:vAlign w:val="center"/>
                </w:tcPr>
                <w:p w14:paraId="46A60645">
                  <w:pPr>
                    <w:pStyle w:val="26"/>
                    <w:keepNext w:val="0"/>
                    <w:keepLines w:val="0"/>
                    <w:suppressLineNumbers w:val="0"/>
                    <w:spacing w:before="0" w:beforeAutospacing="0" w:after="0" w:afterAutospacing="0"/>
                    <w:ind w:left="0" w:right="0"/>
                    <w:rPr>
                      <w:rFonts w:hint="default"/>
                    </w:rPr>
                  </w:pPr>
                  <w:r>
                    <w:rPr>
                      <w:rFonts w:hint="default"/>
                    </w:rPr>
                    <w:t>新增</w:t>
                  </w:r>
                </w:p>
              </w:tc>
            </w:tr>
            <w:tr w14:paraId="11314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tcBorders>
                    <w:tl2br w:val="nil"/>
                    <w:tr2bl w:val="nil"/>
                  </w:tcBorders>
                  <w:shd w:val="clear" w:color="auto" w:fill="auto"/>
                  <w:vAlign w:val="center"/>
                </w:tcPr>
                <w:p w14:paraId="58AF6EBD">
                  <w:pPr>
                    <w:pStyle w:val="26"/>
                    <w:keepNext w:val="0"/>
                    <w:keepLines w:val="0"/>
                    <w:suppressLineNumbers w:val="0"/>
                    <w:spacing w:before="0" w:beforeAutospacing="0" w:after="0" w:afterAutospacing="0"/>
                    <w:ind w:left="0" w:right="0"/>
                    <w:rPr>
                      <w:rFonts w:hint="default"/>
                    </w:rPr>
                  </w:pPr>
                  <w:r>
                    <w:rPr>
                      <w:rFonts w:hint="default"/>
                    </w:rPr>
                    <w:t>地下水污染防治</w:t>
                  </w:r>
                </w:p>
              </w:tc>
              <w:tc>
                <w:tcPr>
                  <w:tcW w:w="581" w:type="pct"/>
                  <w:tcBorders>
                    <w:tl2br w:val="nil"/>
                    <w:tr2bl w:val="nil"/>
                  </w:tcBorders>
                  <w:shd w:val="clear" w:color="auto" w:fill="auto"/>
                  <w:vAlign w:val="center"/>
                </w:tcPr>
                <w:p w14:paraId="353507FE">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1BD78B06">
                  <w:pPr>
                    <w:pStyle w:val="26"/>
                    <w:keepNext w:val="0"/>
                    <w:keepLines w:val="0"/>
                    <w:suppressLineNumbers w:val="0"/>
                    <w:spacing w:before="0" w:beforeAutospacing="0" w:after="0" w:afterAutospacing="0"/>
                    <w:ind w:left="0" w:right="0"/>
                    <w:rPr>
                      <w:rFonts w:hint="default"/>
                    </w:rPr>
                  </w:pPr>
                  <w:r>
                    <w:rPr>
                      <w:rFonts w:hint="default"/>
                    </w:rPr>
                    <w:t>分区防渗</w:t>
                  </w:r>
                </w:p>
              </w:tc>
              <w:tc>
                <w:tcPr>
                  <w:tcW w:w="416" w:type="pct"/>
                  <w:tcBorders>
                    <w:tl2br w:val="nil"/>
                    <w:tr2bl w:val="nil"/>
                  </w:tcBorders>
                  <w:shd w:val="clear" w:color="auto" w:fill="auto"/>
                  <w:vAlign w:val="center"/>
                </w:tcPr>
                <w:p w14:paraId="6A494F6E">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0E645D5A">
                  <w:pPr>
                    <w:pStyle w:val="26"/>
                    <w:keepNext w:val="0"/>
                    <w:keepLines w:val="0"/>
                    <w:suppressLineNumbers w:val="0"/>
                    <w:spacing w:before="0" w:beforeAutospacing="0" w:after="0" w:afterAutospacing="0"/>
                    <w:ind w:left="0" w:right="0"/>
                    <w:rPr>
                      <w:rFonts w:hint="default"/>
                    </w:rPr>
                  </w:pPr>
                  <w:r>
                    <w:rPr>
                      <w:rFonts w:hint="default"/>
                    </w:rPr>
                    <w:t>40.0</w:t>
                  </w:r>
                </w:p>
              </w:tc>
              <w:tc>
                <w:tcPr>
                  <w:tcW w:w="481" w:type="pct"/>
                  <w:tcBorders>
                    <w:tl2br w:val="nil"/>
                    <w:tr2bl w:val="nil"/>
                  </w:tcBorders>
                  <w:shd w:val="clear" w:color="auto" w:fill="auto"/>
                  <w:vAlign w:val="center"/>
                </w:tcPr>
                <w:p w14:paraId="14A01458">
                  <w:pPr>
                    <w:pStyle w:val="26"/>
                    <w:keepNext w:val="0"/>
                    <w:keepLines w:val="0"/>
                    <w:suppressLineNumbers w:val="0"/>
                    <w:spacing w:before="0" w:beforeAutospacing="0" w:after="0" w:afterAutospacing="0"/>
                    <w:ind w:left="0" w:right="0"/>
                    <w:rPr>
                      <w:rFonts w:hint="default"/>
                    </w:rPr>
                  </w:pPr>
                  <w:r>
                    <w:rPr>
                      <w:rFonts w:hint="default"/>
                    </w:rPr>
                    <w:t>新增</w:t>
                  </w:r>
                </w:p>
              </w:tc>
            </w:tr>
            <w:tr w14:paraId="5776B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66" w:type="pct"/>
                  <w:tcBorders>
                    <w:tl2br w:val="nil"/>
                    <w:tr2bl w:val="nil"/>
                  </w:tcBorders>
                  <w:shd w:val="clear" w:color="auto" w:fill="auto"/>
                  <w:vAlign w:val="center"/>
                </w:tcPr>
                <w:p w14:paraId="28A54E30">
                  <w:pPr>
                    <w:pStyle w:val="26"/>
                    <w:keepNext w:val="0"/>
                    <w:keepLines w:val="0"/>
                    <w:suppressLineNumbers w:val="0"/>
                    <w:spacing w:before="0" w:beforeAutospacing="0" w:after="0" w:afterAutospacing="0"/>
                    <w:ind w:left="0" w:right="0"/>
                    <w:rPr>
                      <w:rFonts w:hint="default"/>
                    </w:rPr>
                  </w:pPr>
                  <w:r>
                    <w:rPr>
                      <w:rFonts w:hint="default"/>
                    </w:rPr>
                    <w:t>环境风险防范</w:t>
                  </w:r>
                </w:p>
              </w:tc>
              <w:tc>
                <w:tcPr>
                  <w:tcW w:w="581" w:type="pct"/>
                  <w:tcBorders>
                    <w:tl2br w:val="nil"/>
                    <w:tr2bl w:val="nil"/>
                  </w:tcBorders>
                  <w:shd w:val="clear" w:color="auto" w:fill="auto"/>
                  <w:vAlign w:val="center"/>
                </w:tcPr>
                <w:p w14:paraId="33EB1841">
                  <w:pPr>
                    <w:pStyle w:val="26"/>
                    <w:keepNext w:val="0"/>
                    <w:keepLines w:val="0"/>
                    <w:suppressLineNumbers w:val="0"/>
                    <w:spacing w:before="0" w:beforeAutospacing="0" w:after="0" w:afterAutospacing="0"/>
                    <w:ind w:left="0" w:right="0"/>
                    <w:rPr>
                      <w:rFonts w:hint="default"/>
                    </w:rPr>
                  </w:pPr>
                  <w:r>
                    <w:rPr>
                      <w:rFonts w:hint="default"/>
                    </w:rPr>
                    <w:t>运营期</w:t>
                  </w:r>
                </w:p>
              </w:tc>
              <w:tc>
                <w:tcPr>
                  <w:tcW w:w="2243" w:type="pct"/>
                  <w:tcBorders>
                    <w:tl2br w:val="nil"/>
                    <w:tr2bl w:val="nil"/>
                  </w:tcBorders>
                  <w:shd w:val="clear" w:color="auto" w:fill="auto"/>
                  <w:vAlign w:val="center"/>
                </w:tcPr>
                <w:p w14:paraId="3F36FE12">
                  <w:pPr>
                    <w:pStyle w:val="26"/>
                    <w:keepNext w:val="0"/>
                    <w:keepLines w:val="0"/>
                    <w:suppressLineNumbers w:val="0"/>
                    <w:spacing w:before="0" w:beforeAutospacing="0" w:after="0" w:afterAutospacing="0"/>
                    <w:ind w:left="0" w:right="0"/>
                    <w:rPr>
                      <w:rFonts w:hint="default"/>
                    </w:rPr>
                  </w:pPr>
                  <w:r>
                    <w:rPr>
                      <w:rFonts w:hint="default"/>
                    </w:rPr>
                    <w:t>1座初期雨水池（320m</w:t>
                  </w:r>
                  <w:r>
                    <w:rPr>
                      <w:rFonts w:hint="default"/>
                      <w:vertAlign w:val="superscript"/>
                    </w:rPr>
                    <w:t>3</w:t>
                  </w:r>
                  <w:r>
                    <w:rPr>
                      <w:rFonts w:hint="default"/>
                    </w:rPr>
                    <w:t>）、1座事故应急池（950m</w:t>
                  </w:r>
                  <w:r>
                    <w:rPr>
                      <w:rFonts w:hint="default"/>
                      <w:vertAlign w:val="superscript"/>
                    </w:rPr>
                    <w:t>3</w:t>
                  </w:r>
                  <w:r>
                    <w:rPr>
                      <w:rFonts w:hint="default"/>
                    </w:rPr>
                    <w:t>）应急设备、应急预案、安全标识等</w:t>
                  </w:r>
                </w:p>
              </w:tc>
              <w:tc>
                <w:tcPr>
                  <w:tcW w:w="416" w:type="pct"/>
                  <w:tcBorders>
                    <w:tl2br w:val="nil"/>
                    <w:tr2bl w:val="nil"/>
                  </w:tcBorders>
                  <w:shd w:val="clear" w:color="auto" w:fill="auto"/>
                  <w:vAlign w:val="center"/>
                </w:tcPr>
                <w:p w14:paraId="1F6E737D">
                  <w:pPr>
                    <w:pStyle w:val="26"/>
                    <w:keepNext w:val="0"/>
                    <w:keepLines w:val="0"/>
                    <w:suppressLineNumbers w:val="0"/>
                    <w:spacing w:before="0" w:beforeAutospacing="0" w:after="0" w:afterAutospacing="0"/>
                    <w:ind w:left="0" w:right="0"/>
                    <w:rPr>
                      <w:rFonts w:hint="default"/>
                    </w:rPr>
                  </w:pPr>
                  <w:r>
                    <w:rPr>
                      <w:rFonts w:hint="default"/>
                    </w:rPr>
                    <w:t>/</w:t>
                  </w:r>
                </w:p>
              </w:tc>
              <w:tc>
                <w:tcPr>
                  <w:tcW w:w="514" w:type="pct"/>
                  <w:tcBorders>
                    <w:tl2br w:val="nil"/>
                    <w:tr2bl w:val="nil"/>
                  </w:tcBorders>
                  <w:shd w:val="clear" w:color="auto" w:fill="auto"/>
                  <w:vAlign w:val="center"/>
                </w:tcPr>
                <w:p w14:paraId="4EFEEE07">
                  <w:pPr>
                    <w:pStyle w:val="26"/>
                    <w:keepNext w:val="0"/>
                    <w:keepLines w:val="0"/>
                    <w:suppressLineNumbers w:val="0"/>
                    <w:spacing w:before="0" w:beforeAutospacing="0" w:after="0" w:afterAutospacing="0"/>
                    <w:ind w:left="0" w:right="0"/>
                    <w:rPr>
                      <w:rFonts w:hint="default"/>
                    </w:rPr>
                  </w:pPr>
                  <w:r>
                    <w:rPr>
                      <w:rFonts w:hint="default"/>
                    </w:rPr>
                    <w:t>30.0</w:t>
                  </w:r>
                </w:p>
              </w:tc>
              <w:tc>
                <w:tcPr>
                  <w:tcW w:w="481" w:type="pct"/>
                  <w:tcBorders>
                    <w:tl2br w:val="nil"/>
                    <w:tr2bl w:val="nil"/>
                  </w:tcBorders>
                  <w:shd w:val="clear" w:color="auto" w:fill="auto"/>
                  <w:vAlign w:val="center"/>
                </w:tcPr>
                <w:p w14:paraId="55BA05D2">
                  <w:pPr>
                    <w:pStyle w:val="26"/>
                    <w:keepNext w:val="0"/>
                    <w:keepLines w:val="0"/>
                    <w:suppressLineNumbers w:val="0"/>
                    <w:spacing w:before="0" w:beforeAutospacing="0" w:after="0" w:afterAutospacing="0"/>
                    <w:ind w:left="0" w:right="0"/>
                    <w:rPr>
                      <w:rFonts w:hint="default"/>
                    </w:rPr>
                  </w:pPr>
                  <w:r>
                    <w:rPr>
                      <w:rFonts w:hint="default"/>
                    </w:rPr>
                    <w:t>新增</w:t>
                  </w:r>
                </w:p>
              </w:tc>
            </w:tr>
            <w:tr w14:paraId="692A0C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89" w:type="pct"/>
                  <w:gridSpan w:val="3"/>
                  <w:tcBorders>
                    <w:tl2br w:val="nil"/>
                    <w:tr2bl w:val="nil"/>
                  </w:tcBorders>
                  <w:shd w:val="clear" w:color="auto" w:fill="auto"/>
                  <w:vAlign w:val="center"/>
                </w:tcPr>
                <w:p w14:paraId="56D2C586">
                  <w:pPr>
                    <w:pStyle w:val="26"/>
                    <w:keepNext w:val="0"/>
                    <w:keepLines w:val="0"/>
                    <w:suppressLineNumbers w:val="0"/>
                    <w:spacing w:before="0" w:beforeAutospacing="0" w:after="0" w:afterAutospacing="0"/>
                    <w:ind w:left="0" w:right="0"/>
                    <w:rPr>
                      <w:rFonts w:hint="default"/>
                    </w:rPr>
                  </w:pPr>
                  <w:r>
                    <w:rPr>
                      <w:rFonts w:hint="default"/>
                    </w:rPr>
                    <w:t>合计</w:t>
                  </w:r>
                </w:p>
              </w:tc>
              <w:tc>
                <w:tcPr>
                  <w:tcW w:w="930" w:type="pct"/>
                  <w:gridSpan w:val="2"/>
                  <w:tcBorders>
                    <w:tl2br w:val="nil"/>
                    <w:tr2bl w:val="nil"/>
                  </w:tcBorders>
                  <w:shd w:val="clear" w:color="auto" w:fill="auto"/>
                  <w:vAlign w:val="center"/>
                </w:tcPr>
                <w:p w14:paraId="10D3A5DF">
                  <w:pPr>
                    <w:pStyle w:val="26"/>
                    <w:keepNext w:val="0"/>
                    <w:keepLines w:val="0"/>
                    <w:suppressLineNumbers w:val="0"/>
                    <w:spacing w:before="0" w:beforeAutospacing="0" w:after="0" w:afterAutospacing="0"/>
                    <w:ind w:left="0" w:right="0"/>
                    <w:rPr>
                      <w:rFonts w:hint="default"/>
                    </w:rPr>
                  </w:pPr>
                  <w:r>
                    <w:rPr>
                      <w:rFonts w:hint="default"/>
                    </w:rPr>
                    <w:t>251</w:t>
                  </w:r>
                </w:p>
              </w:tc>
              <w:tc>
                <w:tcPr>
                  <w:tcW w:w="481" w:type="pct"/>
                  <w:tcBorders>
                    <w:tl2br w:val="nil"/>
                    <w:tr2bl w:val="nil"/>
                  </w:tcBorders>
                  <w:shd w:val="clear" w:color="auto" w:fill="auto"/>
                  <w:noWrap/>
                  <w:vAlign w:val="center"/>
                </w:tcPr>
                <w:p w14:paraId="3F3B01A7">
                  <w:pPr>
                    <w:pStyle w:val="26"/>
                    <w:keepNext w:val="0"/>
                    <w:keepLines w:val="0"/>
                    <w:suppressLineNumbers w:val="0"/>
                    <w:spacing w:before="0" w:beforeAutospacing="0" w:after="0" w:afterAutospacing="0"/>
                    <w:ind w:left="0" w:right="0"/>
                    <w:rPr>
                      <w:rFonts w:hint="default"/>
                    </w:rPr>
                  </w:pPr>
                </w:p>
              </w:tc>
            </w:tr>
          </w:tbl>
          <w:p w14:paraId="4CDB3AB2">
            <w:pPr>
              <w:keepNext w:val="0"/>
              <w:keepLines w:val="0"/>
              <w:suppressLineNumbers w:val="0"/>
              <w:spacing w:before="0" w:beforeAutospacing="0" w:after="0" w:afterAutospacing="0"/>
              <w:ind w:left="0" w:right="0" w:firstLine="480"/>
              <w:rPr>
                <w:rFonts w:hint="default"/>
              </w:rPr>
            </w:pPr>
          </w:p>
          <w:p w14:paraId="0D186937">
            <w:pPr>
              <w:keepNext w:val="0"/>
              <w:keepLines w:val="0"/>
              <w:suppressLineNumbers w:val="0"/>
              <w:spacing w:before="0" w:beforeAutospacing="0" w:after="0" w:afterAutospacing="0"/>
              <w:ind w:left="0" w:right="0" w:firstLine="0" w:firstLineChars="0"/>
              <w:rPr>
                <w:rFonts w:hint="eastAsia" w:cs="Times New Roman"/>
                <w:color w:val="auto"/>
              </w:rPr>
            </w:pPr>
          </w:p>
        </w:tc>
      </w:tr>
    </w:tbl>
    <w:p w14:paraId="13E6016E">
      <w:pPr>
        <w:pStyle w:val="2"/>
        <w:ind w:firstLine="602"/>
        <w:rPr>
          <w:rFonts w:cs="Times New Roman"/>
          <w:color w:val="auto"/>
          <w:szCs w:val="24"/>
        </w:rPr>
      </w:pPr>
      <w:r>
        <w:rPr>
          <w:rFonts w:cs="Times New Roman"/>
          <w:color w:val="auto"/>
          <w:sz w:val="30"/>
          <w:szCs w:val="30"/>
        </w:rPr>
        <w:t>五、环境保护措施监督检查清单</w:t>
      </w:r>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576"/>
        <w:gridCol w:w="1524"/>
        <w:gridCol w:w="2284"/>
        <w:gridCol w:w="1913"/>
      </w:tblGrid>
      <w:tr w14:paraId="28387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tcBorders>
              <w:tl2br w:val="single" w:color="auto" w:sz="4" w:space="0"/>
            </w:tcBorders>
            <w:vAlign w:val="center"/>
          </w:tcPr>
          <w:p w14:paraId="18671CDF">
            <w:pPr>
              <w:keepNext w:val="0"/>
              <w:keepLines w:val="0"/>
              <w:suppressLineNumbers w:val="0"/>
              <w:spacing w:before="0" w:beforeAutospacing="0" w:after="0" w:afterAutospacing="0"/>
              <w:ind w:left="0" w:right="0" w:firstLine="0" w:firstLineChars="0"/>
              <w:jc w:val="right"/>
              <w:rPr>
                <w:rFonts w:hint="default" w:cs="Times New Roman"/>
                <w:color w:val="auto"/>
                <w:sz w:val="21"/>
                <w:szCs w:val="21"/>
              </w:rPr>
            </w:pPr>
            <w:r>
              <w:rPr>
                <w:rFonts w:hint="default" w:cs="Times New Roman"/>
                <w:color w:val="auto"/>
                <w:sz w:val="21"/>
                <w:szCs w:val="21"/>
              </w:rPr>
              <w:t>内容</w:t>
            </w:r>
          </w:p>
          <w:p w14:paraId="799D906C">
            <w:pPr>
              <w:keepNext w:val="0"/>
              <w:keepLines w:val="0"/>
              <w:suppressLineNumbers w:val="0"/>
              <w:spacing w:before="0" w:beforeAutospacing="0" w:after="0" w:afterAutospacing="0"/>
              <w:ind w:left="0" w:right="0" w:firstLine="0" w:firstLineChars="0"/>
              <w:jc w:val="left"/>
              <w:rPr>
                <w:rFonts w:hint="default" w:cs="Times New Roman"/>
                <w:color w:val="auto"/>
                <w:sz w:val="21"/>
                <w:szCs w:val="21"/>
              </w:rPr>
            </w:pPr>
            <w:r>
              <w:rPr>
                <w:rFonts w:hint="default" w:cs="Times New Roman"/>
                <w:color w:val="auto"/>
                <w:sz w:val="21"/>
                <w:szCs w:val="21"/>
              </w:rPr>
              <w:t>要素</w:t>
            </w:r>
          </w:p>
        </w:tc>
        <w:tc>
          <w:tcPr>
            <w:tcW w:w="924" w:type="pct"/>
            <w:vAlign w:val="center"/>
          </w:tcPr>
          <w:p w14:paraId="40421B1C">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r>
              <w:rPr>
                <w:rFonts w:hint="default" w:cs="Times New Roman"/>
                <w:color w:val="auto"/>
                <w:sz w:val="21"/>
                <w:szCs w:val="21"/>
              </w:rPr>
              <w:t>排放口（编号、名称）/污染源</w:t>
            </w:r>
          </w:p>
        </w:tc>
        <w:tc>
          <w:tcPr>
            <w:tcW w:w="894" w:type="pct"/>
            <w:vAlign w:val="center"/>
          </w:tcPr>
          <w:p w14:paraId="7E6C3C89">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r>
              <w:rPr>
                <w:rFonts w:hint="default" w:cs="Times New Roman"/>
                <w:color w:val="auto"/>
                <w:sz w:val="21"/>
                <w:szCs w:val="21"/>
              </w:rPr>
              <w:t>污染物项目</w:t>
            </w:r>
          </w:p>
        </w:tc>
        <w:tc>
          <w:tcPr>
            <w:tcW w:w="1340" w:type="pct"/>
            <w:vAlign w:val="center"/>
          </w:tcPr>
          <w:p w14:paraId="77FE182B">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r>
              <w:rPr>
                <w:rFonts w:hint="default" w:cs="Times New Roman"/>
                <w:color w:val="auto"/>
                <w:sz w:val="21"/>
                <w:szCs w:val="21"/>
              </w:rPr>
              <w:t>环境保护措施</w:t>
            </w:r>
          </w:p>
        </w:tc>
        <w:tc>
          <w:tcPr>
            <w:tcW w:w="1122" w:type="pct"/>
            <w:vAlign w:val="center"/>
          </w:tcPr>
          <w:p w14:paraId="16D7D2F2">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r>
              <w:rPr>
                <w:rFonts w:hint="default" w:cs="Times New Roman"/>
                <w:color w:val="auto"/>
                <w:sz w:val="21"/>
                <w:szCs w:val="21"/>
              </w:rPr>
              <w:t>执行标准</w:t>
            </w:r>
          </w:p>
        </w:tc>
      </w:tr>
      <w:tr w14:paraId="49F92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Merge w:val="restart"/>
            <w:vAlign w:val="center"/>
          </w:tcPr>
          <w:p w14:paraId="6FEFB148">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r>
              <w:rPr>
                <w:rFonts w:hint="default" w:cs="Times New Roman"/>
                <w:color w:val="auto"/>
                <w:sz w:val="21"/>
                <w:szCs w:val="21"/>
              </w:rPr>
              <w:t>大气环境</w:t>
            </w:r>
          </w:p>
        </w:tc>
        <w:tc>
          <w:tcPr>
            <w:tcW w:w="924" w:type="pct"/>
            <w:vAlign w:val="center"/>
          </w:tcPr>
          <w:p w14:paraId="3032193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硫磺生产液硫池沉淀、提纯、造粒、刮片</w:t>
            </w:r>
          </w:p>
        </w:tc>
        <w:tc>
          <w:tcPr>
            <w:tcW w:w="894" w:type="pct"/>
            <w:vAlign w:val="center"/>
          </w:tcPr>
          <w:p w14:paraId="6A0CEAB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颗粒物</w:t>
            </w:r>
          </w:p>
          <w:p w14:paraId="33C4EF3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硫化氢</w:t>
            </w:r>
          </w:p>
        </w:tc>
        <w:tc>
          <w:tcPr>
            <w:tcW w:w="1340" w:type="pct"/>
            <w:vAlign w:val="center"/>
          </w:tcPr>
          <w:p w14:paraId="4AFF71A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旋风水膜除尘器+25m高排气筒排放（DA001）</w:t>
            </w:r>
          </w:p>
        </w:tc>
        <w:tc>
          <w:tcPr>
            <w:tcW w:w="1122" w:type="pct"/>
            <w:vAlign w:val="center"/>
          </w:tcPr>
          <w:p w14:paraId="20E4956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《无机化学工业污染物排放标准》（GB31573-2015）及其修改单</w:t>
            </w:r>
          </w:p>
        </w:tc>
      </w:tr>
      <w:tr w14:paraId="41F8E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Merge w:val="continue"/>
            <w:vAlign w:val="center"/>
          </w:tcPr>
          <w:p w14:paraId="1912C09C">
            <w:pPr>
              <w:keepNext w:val="0"/>
              <w:keepLines w:val="0"/>
              <w:suppressLineNumbers w:val="0"/>
              <w:spacing w:before="0" w:beforeAutospacing="0" w:after="0" w:afterAutospacing="0"/>
              <w:ind w:left="0" w:right="0" w:firstLine="0" w:firstLineChars="0"/>
              <w:jc w:val="center"/>
              <w:rPr>
                <w:rFonts w:hint="default" w:cs="Times New Roman"/>
                <w:color w:val="auto"/>
                <w:sz w:val="21"/>
                <w:szCs w:val="21"/>
              </w:rPr>
            </w:pPr>
          </w:p>
        </w:tc>
        <w:tc>
          <w:tcPr>
            <w:tcW w:w="924" w:type="pct"/>
            <w:vAlign w:val="center"/>
          </w:tcPr>
          <w:p w14:paraId="4883C28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食堂废气</w:t>
            </w:r>
          </w:p>
        </w:tc>
        <w:tc>
          <w:tcPr>
            <w:tcW w:w="894" w:type="pct"/>
            <w:vAlign w:val="center"/>
          </w:tcPr>
          <w:p w14:paraId="577D920A">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油烟</w:t>
            </w:r>
          </w:p>
        </w:tc>
        <w:tc>
          <w:tcPr>
            <w:tcW w:w="1340" w:type="pct"/>
            <w:vAlign w:val="center"/>
          </w:tcPr>
          <w:p w14:paraId="2962A8B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油烟净化器+13m高排气筒（DA002）</w:t>
            </w:r>
          </w:p>
        </w:tc>
        <w:tc>
          <w:tcPr>
            <w:tcW w:w="1122" w:type="pct"/>
            <w:vAlign w:val="center"/>
          </w:tcPr>
          <w:p w14:paraId="5248538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《饮食业油烟排放标准》（试行）（GB18483-2001）</w:t>
            </w:r>
          </w:p>
        </w:tc>
      </w:tr>
      <w:tr w14:paraId="5784A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Merge w:val="restart"/>
            <w:vAlign w:val="center"/>
          </w:tcPr>
          <w:p w14:paraId="34C1CE3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地表水环境</w:t>
            </w:r>
          </w:p>
        </w:tc>
        <w:tc>
          <w:tcPr>
            <w:tcW w:w="924" w:type="pct"/>
            <w:vAlign w:val="center"/>
          </w:tcPr>
          <w:p w14:paraId="45AA1004">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生活污水</w:t>
            </w:r>
          </w:p>
        </w:tc>
        <w:tc>
          <w:tcPr>
            <w:tcW w:w="894" w:type="pct"/>
            <w:vAlign w:val="center"/>
          </w:tcPr>
          <w:p w14:paraId="7284F773">
            <w:pPr>
              <w:keepNext w:val="0"/>
              <w:keepLines w:val="0"/>
              <w:suppressLineNumbers w:val="0"/>
              <w:wordWrap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CODcr、NH</w:t>
            </w:r>
            <w:r>
              <w:rPr>
                <w:rFonts w:hint="default" w:cs="Times New Roman"/>
                <w:color w:val="auto"/>
                <w:sz w:val="21"/>
                <w:szCs w:val="21"/>
                <w:vertAlign w:val="subscript"/>
              </w:rPr>
              <w:t>3</w:t>
            </w:r>
            <w:r>
              <w:rPr>
                <w:rFonts w:hint="default" w:cs="Times New Roman"/>
                <w:color w:val="auto"/>
                <w:sz w:val="21"/>
                <w:szCs w:val="21"/>
              </w:rPr>
              <w:t>-N、BOD</w:t>
            </w:r>
            <w:r>
              <w:rPr>
                <w:rFonts w:hint="default" w:cs="Times New Roman"/>
                <w:color w:val="auto"/>
                <w:sz w:val="21"/>
                <w:szCs w:val="21"/>
                <w:vertAlign w:val="subscript"/>
              </w:rPr>
              <w:t>5</w:t>
            </w:r>
            <w:r>
              <w:rPr>
                <w:rFonts w:hint="default" w:cs="Times New Roman"/>
                <w:color w:val="auto"/>
                <w:sz w:val="21"/>
                <w:szCs w:val="21"/>
              </w:rPr>
              <w:t>、SS、TP</w:t>
            </w:r>
          </w:p>
        </w:tc>
        <w:tc>
          <w:tcPr>
            <w:tcW w:w="1340" w:type="pct"/>
            <w:vAlign w:val="center"/>
          </w:tcPr>
          <w:p w14:paraId="1935C81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食堂废水设置隔油池处理后和办公区生活污水一起进入预处理池处理后通过管网进入普光工业园区污水处理厂</w:t>
            </w:r>
          </w:p>
        </w:tc>
        <w:tc>
          <w:tcPr>
            <w:tcW w:w="1122" w:type="pct"/>
            <w:vMerge w:val="restart"/>
            <w:vAlign w:val="center"/>
          </w:tcPr>
          <w:p w14:paraId="5C26BEDC">
            <w:pPr>
              <w:keepNext w:val="0"/>
              <w:keepLines w:val="0"/>
              <w:suppressLineNumbers w:val="0"/>
              <w:wordWrap w:val="0"/>
              <w:spacing w:before="0" w:beforeAutospacing="0" w:after="0" w:afterAutospacing="0" w:line="240" w:lineRule="auto"/>
              <w:ind w:left="0" w:right="0" w:firstLine="0" w:firstLineChars="0"/>
              <w:jc w:val="center"/>
              <w:rPr>
                <w:rFonts w:hint="default" w:cs="Times New Roman"/>
                <w:color w:val="auto"/>
                <w:sz w:val="21"/>
                <w:szCs w:val="21"/>
              </w:rPr>
            </w:pPr>
            <w:r>
              <w:rPr>
                <w:rFonts w:hint="eastAsia" w:cs="Times New Roman"/>
                <w:color w:val="auto"/>
                <w:sz w:val="21"/>
                <w:szCs w:val="21"/>
              </w:rPr>
              <w:t>《四川省化工园区水污染物排放标准》（DB51/3202-2024）表1标准</w:t>
            </w:r>
          </w:p>
        </w:tc>
      </w:tr>
      <w:tr w14:paraId="2C4CC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Merge w:val="continue"/>
            <w:vAlign w:val="center"/>
          </w:tcPr>
          <w:p w14:paraId="52E28B7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924" w:type="pct"/>
            <w:vAlign w:val="center"/>
          </w:tcPr>
          <w:p w14:paraId="55D9A51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生产废水（软水制备废水）</w:t>
            </w:r>
          </w:p>
        </w:tc>
        <w:tc>
          <w:tcPr>
            <w:tcW w:w="894" w:type="pct"/>
            <w:vAlign w:val="center"/>
          </w:tcPr>
          <w:p w14:paraId="2005B8EE">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COD、SS</w:t>
            </w:r>
          </w:p>
        </w:tc>
        <w:tc>
          <w:tcPr>
            <w:tcW w:w="1340" w:type="pct"/>
            <w:vAlign w:val="center"/>
          </w:tcPr>
          <w:p w14:paraId="166EB04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通过管网进入普光工业园区污水处理厂</w:t>
            </w:r>
          </w:p>
        </w:tc>
        <w:tc>
          <w:tcPr>
            <w:tcW w:w="1122" w:type="pct"/>
            <w:vMerge w:val="continue"/>
            <w:vAlign w:val="center"/>
          </w:tcPr>
          <w:p w14:paraId="13F9F50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14:paraId="3B036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Merge w:val="continue"/>
            <w:vAlign w:val="center"/>
          </w:tcPr>
          <w:p w14:paraId="0C8B2D5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924" w:type="pct"/>
            <w:vAlign w:val="center"/>
          </w:tcPr>
          <w:p w14:paraId="4A94705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初期雨水</w:t>
            </w:r>
          </w:p>
        </w:tc>
        <w:tc>
          <w:tcPr>
            <w:tcW w:w="894" w:type="pct"/>
            <w:vAlign w:val="center"/>
          </w:tcPr>
          <w:p w14:paraId="1B712F7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SS</w:t>
            </w:r>
          </w:p>
        </w:tc>
        <w:tc>
          <w:tcPr>
            <w:tcW w:w="1340" w:type="pct"/>
            <w:vAlign w:val="center"/>
          </w:tcPr>
          <w:p w14:paraId="473CA2C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设1个320m</w:t>
            </w:r>
            <w:r>
              <w:rPr>
                <w:rFonts w:hint="default" w:cs="Times New Roman"/>
                <w:color w:val="auto"/>
                <w:sz w:val="21"/>
                <w:szCs w:val="21"/>
                <w:vertAlign w:val="superscript"/>
              </w:rPr>
              <w:t>3</w:t>
            </w:r>
            <w:r>
              <w:rPr>
                <w:rFonts w:hint="default" w:cs="Times New Roman"/>
                <w:color w:val="auto"/>
                <w:sz w:val="21"/>
                <w:szCs w:val="21"/>
              </w:rPr>
              <w:t>的初期雨水收集池，经沉淀处理后通过管网进入普光工业园区污水处理厂</w:t>
            </w:r>
          </w:p>
        </w:tc>
        <w:tc>
          <w:tcPr>
            <w:tcW w:w="1122" w:type="pct"/>
            <w:vMerge w:val="continue"/>
            <w:vAlign w:val="center"/>
          </w:tcPr>
          <w:p w14:paraId="2193C91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14:paraId="572EC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pct"/>
            <w:vAlign w:val="center"/>
          </w:tcPr>
          <w:p w14:paraId="0DE8520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声环境</w:t>
            </w:r>
          </w:p>
        </w:tc>
        <w:tc>
          <w:tcPr>
            <w:tcW w:w="924" w:type="pct"/>
            <w:vAlign w:val="center"/>
          </w:tcPr>
          <w:p w14:paraId="7C335B4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生产设备</w:t>
            </w:r>
          </w:p>
        </w:tc>
        <w:tc>
          <w:tcPr>
            <w:tcW w:w="894" w:type="pct"/>
            <w:vAlign w:val="center"/>
          </w:tcPr>
          <w:p w14:paraId="42CB281E">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噪声</w:t>
            </w:r>
          </w:p>
        </w:tc>
        <w:tc>
          <w:tcPr>
            <w:tcW w:w="1340" w:type="pct"/>
            <w:vAlign w:val="center"/>
          </w:tcPr>
          <w:p w14:paraId="4357A2B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合理布局、利用厂房墙壁隔声、低噪声设备、基础减震</w:t>
            </w:r>
          </w:p>
        </w:tc>
        <w:tc>
          <w:tcPr>
            <w:tcW w:w="1122" w:type="pct"/>
            <w:vAlign w:val="center"/>
          </w:tcPr>
          <w:p w14:paraId="0B666FD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《工业企业厂界环境噪声排放标准》（GB12348-2008）3类标准。</w:t>
            </w:r>
          </w:p>
        </w:tc>
      </w:tr>
      <w:tr w14:paraId="7E017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0" w:type="pct"/>
            <w:vAlign w:val="center"/>
          </w:tcPr>
          <w:p w14:paraId="555ECB3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固体废物</w:t>
            </w:r>
          </w:p>
        </w:tc>
        <w:tc>
          <w:tcPr>
            <w:tcW w:w="4280" w:type="pct"/>
            <w:gridSpan w:val="4"/>
            <w:vAlign w:val="center"/>
          </w:tcPr>
          <w:p w14:paraId="70150003">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生活垃圾交由当地环卫部门统一清运处理；厨余垃圾及隔油池油脂交由有餐厨垃圾处置资质的单位回收处置；液硫池、2#循环水池及水膜循环池沉淀渣定期捞出送有资质的固废处理公司或销售给使用次品工业硫磺的工厂使用；提纯塔过滤废滤芯由生产厂家回收利用；废离子交换树脂交由设备厂商回收再生；初期雨水沉渣收集后交由环卫部门清运处理。水膜除尘液、废润滑油、废油桶、废含油手套、抹布等危险废物分类收集暂存至危废暂存间，交由有资质单位处置。</w:t>
            </w:r>
          </w:p>
        </w:tc>
      </w:tr>
      <w:tr w14:paraId="1F492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0" w:type="pct"/>
            <w:vAlign w:val="center"/>
          </w:tcPr>
          <w:p w14:paraId="0A9025B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土壤及地下水污染防治措施</w:t>
            </w:r>
          </w:p>
        </w:tc>
        <w:tc>
          <w:tcPr>
            <w:tcW w:w="4280" w:type="pct"/>
            <w:gridSpan w:val="4"/>
            <w:vAlign w:val="center"/>
          </w:tcPr>
          <w:p w14:paraId="00241B17">
            <w:pPr>
              <w:keepNext w:val="0"/>
              <w:keepLines w:val="0"/>
              <w:suppressLineNumbers w:val="0"/>
              <w:spacing w:before="0" w:beforeAutospacing="0" w:after="0" w:afterAutospacing="0" w:line="240" w:lineRule="auto"/>
              <w:ind w:left="0" w:right="0" w:firstLine="420"/>
              <w:jc w:val="center"/>
              <w:rPr>
                <w:rFonts w:hint="default" w:cs="Times New Roman"/>
                <w:color w:val="auto"/>
                <w:sz w:val="21"/>
                <w:szCs w:val="21"/>
              </w:rPr>
            </w:pPr>
            <w:r>
              <w:rPr>
                <w:rFonts w:hint="default" w:cs="Times New Roman"/>
                <w:color w:val="auto"/>
                <w:sz w:val="21"/>
                <w:szCs w:val="21"/>
              </w:rPr>
              <w:t>分区防渗</w:t>
            </w:r>
          </w:p>
        </w:tc>
      </w:tr>
      <w:tr w14:paraId="3E94F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0" w:type="pct"/>
            <w:vAlign w:val="center"/>
          </w:tcPr>
          <w:p w14:paraId="3AE3CC4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生态保护措施</w:t>
            </w:r>
          </w:p>
        </w:tc>
        <w:tc>
          <w:tcPr>
            <w:tcW w:w="4280" w:type="pct"/>
            <w:gridSpan w:val="4"/>
            <w:vAlign w:val="center"/>
          </w:tcPr>
          <w:p w14:paraId="5FF6F35D">
            <w:pPr>
              <w:keepNext w:val="0"/>
              <w:keepLines w:val="0"/>
              <w:suppressLineNumbers w:val="0"/>
              <w:spacing w:before="0" w:beforeAutospacing="0" w:after="0" w:afterAutospacing="0" w:line="240" w:lineRule="auto"/>
              <w:ind w:left="0" w:right="0" w:firstLine="420"/>
              <w:jc w:val="center"/>
              <w:rPr>
                <w:rFonts w:hint="default" w:cs="Times New Roman"/>
                <w:color w:val="auto"/>
                <w:sz w:val="21"/>
                <w:szCs w:val="21"/>
              </w:rPr>
            </w:pPr>
            <w:r>
              <w:rPr>
                <w:rFonts w:hint="default" w:cs="Times New Roman"/>
                <w:color w:val="auto"/>
                <w:sz w:val="21"/>
                <w:szCs w:val="21"/>
              </w:rPr>
              <w:t>本项目用地范围内无生态保护目标，无生态保护措施。</w:t>
            </w:r>
          </w:p>
        </w:tc>
      </w:tr>
      <w:tr w14:paraId="0A5EF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0" w:type="pct"/>
            <w:vAlign w:val="center"/>
          </w:tcPr>
          <w:p w14:paraId="4504DD8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环境风险</w:t>
            </w:r>
          </w:p>
          <w:p w14:paraId="3E84911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防范措施</w:t>
            </w:r>
          </w:p>
        </w:tc>
        <w:tc>
          <w:tcPr>
            <w:tcW w:w="4280" w:type="pct"/>
            <w:gridSpan w:val="4"/>
            <w:vAlign w:val="center"/>
          </w:tcPr>
          <w:p w14:paraId="1F04AE25">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cs="Times New Roman"/>
                <w:color w:val="auto"/>
                <w:sz w:val="21"/>
                <w:szCs w:val="21"/>
              </w:rPr>
            </w:pPr>
            <w:r>
              <w:rPr>
                <w:rFonts w:hint="default" w:cs="Times New Roman"/>
                <w:color w:val="auto"/>
                <w:sz w:val="21"/>
                <w:szCs w:val="21"/>
              </w:rPr>
              <w:t>1）设置符合标准的灭火设施。</w:t>
            </w:r>
          </w:p>
          <w:p w14:paraId="44DA0208">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cs="Times New Roman"/>
                <w:color w:val="auto"/>
                <w:sz w:val="21"/>
                <w:szCs w:val="21"/>
              </w:rPr>
            </w:pPr>
            <w:r>
              <w:rPr>
                <w:rFonts w:hint="default" w:cs="Times New Roman"/>
                <w:color w:val="auto"/>
                <w:sz w:val="21"/>
                <w:szCs w:val="21"/>
              </w:rPr>
              <w:t>2）加强对项目周围大气和水环境的检测，对油品的</w:t>
            </w:r>
            <w:r>
              <w:rPr>
                <w:rFonts w:hint="eastAsia" w:cs="Times New Roman"/>
                <w:color w:val="auto"/>
                <w:sz w:val="21"/>
                <w:szCs w:val="21"/>
              </w:rPr>
              <w:t>泄漏</w:t>
            </w:r>
            <w:r>
              <w:rPr>
                <w:rFonts w:hint="default" w:cs="Times New Roman"/>
                <w:color w:val="auto"/>
                <w:sz w:val="21"/>
                <w:szCs w:val="21"/>
              </w:rPr>
              <w:t>要及时掌握，防止油品的泄漏对周围大气、土壤、水环境造成危害。</w:t>
            </w:r>
          </w:p>
          <w:p w14:paraId="1E5D542C">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cs="Times New Roman"/>
                <w:color w:val="auto"/>
                <w:sz w:val="21"/>
                <w:szCs w:val="21"/>
              </w:rPr>
            </w:pPr>
            <w:r>
              <w:rPr>
                <w:rFonts w:hint="default" w:cs="Times New Roman"/>
                <w:color w:val="auto"/>
                <w:sz w:val="21"/>
                <w:szCs w:val="21"/>
              </w:rPr>
              <w:t>3）建立一套完善的安全管理制度，执行工业安全卫生、劳动保护、环保、消防等相关规定。</w:t>
            </w:r>
          </w:p>
          <w:p w14:paraId="3BEB6C91">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cs="Times New Roman"/>
                <w:color w:val="auto"/>
                <w:sz w:val="21"/>
                <w:szCs w:val="21"/>
              </w:rPr>
            </w:pPr>
            <w:r>
              <w:rPr>
                <w:rFonts w:hint="default" w:cs="Times New Roman"/>
                <w:color w:val="auto"/>
                <w:sz w:val="21"/>
                <w:szCs w:val="21"/>
              </w:rPr>
              <w:t>4）加强对废机油泄漏事故的防护，对法兰、阀门等进行定期检测。对泄漏的物料应使用临时抽吸系统尽快收集，减少蒸发量或引起爆炸和着火的机会。一旦发生火灾爆炸，要尽快使用已有的消防设施扑救，疏散周围非急救人员。远离事故区。</w:t>
            </w:r>
          </w:p>
          <w:p w14:paraId="4D7B88F5">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cs="Times New Roman"/>
                <w:color w:val="auto"/>
                <w:sz w:val="21"/>
                <w:szCs w:val="21"/>
              </w:rPr>
            </w:pPr>
            <w:r>
              <w:rPr>
                <w:rFonts w:hint="default" w:cs="Times New Roman"/>
                <w:color w:val="auto"/>
                <w:sz w:val="21"/>
                <w:szCs w:val="21"/>
              </w:rPr>
              <w:t>6）加强对灭火装置的日常管理，做到灭火装置完整有效，一旦发生火灾、爆炸事故时能及时启动，进行灭火。</w:t>
            </w:r>
          </w:p>
          <w:p w14:paraId="5DC23124">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7）厂区采取分区防渗措施，生产车间、危废暂存间、事故池、初期雨水池、柴油撬装站及装卸区采取重点防渗措施，进行重点防渗处理；干冰车间、食品级硫磺仓库、矩形料场、一般固废贮存库等属于一般防渗区，进行一般防渗处理。除绿化地带以外的地面均进行硬化。</w:t>
            </w:r>
          </w:p>
        </w:tc>
      </w:tr>
      <w:tr w14:paraId="6EE3F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20" w:type="pct"/>
            <w:vAlign w:val="center"/>
          </w:tcPr>
          <w:p w14:paraId="523983F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其他环境</w:t>
            </w:r>
          </w:p>
          <w:p w14:paraId="6572805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管理要求</w:t>
            </w:r>
          </w:p>
        </w:tc>
        <w:tc>
          <w:tcPr>
            <w:tcW w:w="4280" w:type="pct"/>
            <w:gridSpan w:val="4"/>
            <w:vAlign w:val="center"/>
          </w:tcPr>
          <w:p w14:paraId="3F3DD34A">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1、建议公司进一步完善和健全环境管理体系，更好地做到安全生产、风险防范、污染预防及持续改进各项环境保护、安全生产工作。</w:t>
            </w:r>
          </w:p>
          <w:p w14:paraId="548D4B8A">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2、建设单位应设置环保卫生管理人员，专职负责项目内的环保、卫生管理工作。</w:t>
            </w:r>
          </w:p>
          <w:p w14:paraId="75779412">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3、建议公司在保证生产的前提下，兼顾经济和技术的可行性，尽可能地选用有利于清洁生产的新工艺，选择有利于环境保护的污染处理技术和设备，进一步减轻对环境的影响。</w:t>
            </w:r>
          </w:p>
          <w:p w14:paraId="28D57418">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4、做好日常环境监督管理，使环保治理设施长期正常运行，防止各类污染物非正常排放。</w:t>
            </w:r>
          </w:p>
          <w:p w14:paraId="1F75058B">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1DB2206C">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498DB251">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0D59BF20">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1D08943E">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664006A2">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04D87CCC">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462333FA">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34D0DBAD">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647F0906">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0820FAA2">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p w14:paraId="653B513B">
            <w:pPr>
              <w:keepNext w:val="0"/>
              <w:keepLines w:val="0"/>
              <w:suppressLineNumbers w:val="0"/>
              <w:spacing w:before="0" w:beforeAutospacing="0" w:after="0" w:afterAutospacing="0" w:line="240" w:lineRule="auto"/>
              <w:ind w:left="0" w:right="0" w:firstLine="0" w:firstLineChars="0"/>
              <w:rPr>
                <w:rFonts w:hint="default" w:cs="Times New Roman"/>
                <w:color w:val="auto"/>
                <w:sz w:val="21"/>
                <w:szCs w:val="21"/>
              </w:rPr>
            </w:pPr>
          </w:p>
        </w:tc>
      </w:tr>
    </w:tbl>
    <w:p w14:paraId="24058654">
      <w:pPr>
        <w:ind w:firstLine="480"/>
        <w:rPr>
          <w:rFonts w:cs="Times New Roman"/>
          <w:color w:val="auto"/>
        </w:rPr>
        <w:sectPr>
          <w:pgSz w:w="11906" w:h="16838"/>
          <w:pgMar w:top="1440" w:right="1797" w:bottom="1440" w:left="1797" w:header="851" w:footer="992" w:gutter="0"/>
          <w:cols w:space="425" w:num="1"/>
          <w:docGrid w:type="lines" w:linePitch="326" w:charSpace="0"/>
        </w:sectPr>
      </w:pPr>
    </w:p>
    <w:p w14:paraId="68D12EF7">
      <w:pPr>
        <w:pStyle w:val="2"/>
        <w:ind w:firstLine="602"/>
        <w:rPr>
          <w:rFonts w:cs="Times New Roman"/>
          <w:color w:val="auto"/>
          <w:szCs w:val="24"/>
        </w:rPr>
      </w:pPr>
      <w:r>
        <w:rPr>
          <w:rFonts w:cs="Times New Roman"/>
          <w:color w:val="auto"/>
          <w:sz w:val="30"/>
          <w:szCs w:val="30"/>
        </w:rPr>
        <w:t>六、结论</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61CE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01A65D5">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黔孚化工（达州）有限公司拟在四川省达州市宣汉县普光工业园区建设5万吨/年食品级硫磺生产项目符合国家有关产业政策，符合相关规划，拟采取的污染防治措施可实现污染物稳定达标排放，环境风险处于可接受水平；项目对各环境要素的影响小，不会改变区域的环境功能。因此，在落实本次评价提出的各项二次污染防治措施和环境风险防范措施，严格执行“三同时”制度，确保项目所产生的污染物达标排放的前提下，项目拟选地进行建设从环保角度可行。</w:t>
            </w:r>
          </w:p>
          <w:p w14:paraId="00194C02">
            <w:pPr>
              <w:keepNext w:val="0"/>
              <w:keepLines w:val="0"/>
              <w:suppressLineNumbers w:val="0"/>
              <w:spacing w:before="0" w:beforeAutospacing="0" w:after="0" w:afterAutospacing="0"/>
              <w:ind w:left="0" w:right="0" w:firstLine="480"/>
              <w:rPr>
                <w:rFonts w:hint="default" w:cs="Times New Roman"/>
                <w:color w:val="auto"/>
              </w:rPr>
            </w:pPr>
          </w:p>
          <w:p w14:paraId="2942ED7C">
            <w:pPr>
              <w:keepNext w:val="0"/>
              <w:keepLines w:val="0"/>
              <w:suppressLineNumbers w:val="0"/>
              <w:spacing w:before="0" w:beforeAutospacing="0" w:after="0" w:afterAutospacing="0"/>
              <w:ind w:left="0" w:right="0" w:firstLine="480"/>
              <w:rPr>
                <w:rFonts w:hint="default" w:cs="Times New Roman"/>
                <w:color w:val="auto"/>
              </w:rPr>
            </w:pPr>
          </w:p>
          <w:p w14:paraId="1A745482">
            <w:pPr>
              <w:keepNext w:val="0"/>
              <w:keepLines w:val="0"/>
              <w:suppressLineNumbers w:val="0"/>
              <w:spacing w:before="0" w:beforeAutospacing="0" w:after="0" w:afterAutospacing="0"/>
              <w:ind w:left="0" w:right="0" w:firstLine="480"/>
              <w:rPr>
                <w:rFonts w:hint="default" w:cs="Times New Roman"/>
                <w:color w:val="auto"/>
              </w:rPr>
            </w:pPr>
          </w:p>
          <w:p w14:paraId="72A8C739">
            <w:pPr>
              <w:keepNext w:val="0"/>
              <w:keepLines w:val="0"/>
              <w:suppressLineNumbers w:val="0"/>
              <w:spacing w:before="0" w:beforeAutospacing="0" w:after="0" w:afterAutospacing="0"/>
              <w:ind w:left="0" w:right="0" w:firstLine="480"/>
              <w:rPr>
                <w:rFonts w:hint="default" w:cs="Times New Roman"/>
                <w:color w:val="auto"/>
              </w:rPr>
            </w:pPr>
          </w:p>
          <w:p w14:paraId="4002FFA4">
            <w:pPr>
              <w:keepNext w:val="0"/>
              <w:keepLines w:val="0"/>
              <w:suppressLineNumbers w:val="0"/>
              <w:spacing w:before="0" w:beforeAutospacing="0" w:after="0" w:afterAutospacing="0"/>
              <w:ind w:left="0" w:right="0" w:firstLine="480"/>
              <w:rPr>
                <w:rFonts w:hint="default" w:cs="Times New Roman"/>
                <w:color w:val="auto"/>
              </w:rPr>
            </w:pPr>
          </w:p>
          <w:p w14:paraId="00A73AFB">
            <w:pPr>
              <w:keepNext w:val="0"/>
              <w:keepLines w:val="0"/>
              <w:suppressLineNumbers w:val="0"/>
              <w:spacing w:before="0" w:beforeAutospacing="0" w:after="0" w:afterAutospacing="0"/>
              <w:ind w:left="0" w:right="0" w:firstLine="480"/>
              <w:rPr>
                <w:rFonts w:hint="default" w:cs="Times New Roman"/>
                <w:color w:val="auto"/>
              </w:rPr>
            </w:pPr>
          </w:p>
          <w:p w14:paraId="589D6BB8">
            <w:pPr>
              <w:keepNext w:val="0"/>
              <w:keepLines w:val="0"/>
              <w:suppressLineNumbers w:val="0"/>
              <w:spacing w:before="0" w:beforeAutospacing="0" w:after="0" w:afterAutospacing="0"/>
              <w:ind w:left="0" w:right="0" w:firstLine="480"/>
              <w:rPr>
                <w:rFonts w:hint="default" w:cs="Times New Roman"/>
                <w:color w:val="auto"/>
              </w:rPr>
            </w:pPr>
          </w:p>
          <w:p w14:paraId="306EC2D0">
            <w:pPr>
              <w:keepNext w:val="0"/>
              <w:keepLines w:val="0"/>
              <w:suppressLineNumbers w:val="0"/>
              <w:spacing w:before="0" w:beforeAutospacing="0" w:after="0" w:afterAutospacing="0"/>
              <w:ind w:left="0" w:right="0" w:firstLine="480"/>
              <w:rPr>
                <w:rFonts w:hint="default" w:cs="Times New Roman"/>
                <w:color w:val="auto"/>
              </w:rPr>
            </w:pPr>
          </w:p>
          <w:p w14:paraId="2FF37A7A">
            <w:pPr>
              <w:keepNext w:val="0"/>
              <w:keepLines w:val="0"/>
              <w:suppressLineNumbers w:val="0"/>
              <w:spacing w:before="0" w:beforeAutospacing="0" w:after="0" w:afterAutospacing="0"/>
              <w:ind w:left="0" w:right="0" w:firstLine="480"/>
              <w:rPr>
                <w:rFonts w:hint="default" w:cs="Times New Roman"/>
                <w:color w:val="auto"/>
              </w:rPr>
            </w:pPr>
          </w:p>
          <w:p w14:paraId="3A20AB68">
            <w:pPr>
              <w:keepNext w:val="0"/>
              <w:keepLines w:val="0"/>
              <w:suppressLineNumbers w:val="0"/>
              <w:spacing w:before="0" w:beforeAutospacing="0" w:after="0" w:afterAutospacing="0"/>
              <w:ind w:left="0" w:right="0" w:firstLine="480"/>
              <w:rPr>
                <w:rFonts w:hint="default" w:cs="Times New Roman"/>
                <w:color w:val="auto"/>
              </w:rPr>
            </w:pPr>
          </w:p>
          <w:p w14:paraId="28EF444B">
            <w:pPr>
              <w:keepNext w:val="0"/>
              <w:keepLines w:val="0"/>
              <w:suppressLineNumbers w:val="0"/>
              <w:spacing w:before="0" w:beforeAutospacing="0" w:after="0" w:afterAutospacing="0"/>
              <w:ind w:left="0" w:right="0" w:firstLine="480"/>
              <w:rPr>
                <w:rFonts w:hint="default" w:cs="Times New Roman"/>
                <w:color w:val="auto"/>
              </w:rPr>
            </w:pPr>
          </w:p>
          <w:p w14:paraId="4C1AE41D">
            <w:pPr>
              <w:keepNext w:val="0"/>
              <w:keepLines w:val="0"/>
              <w:suppressLineNumbers w:val="0"/>
              <w:spacing w:before="0" w:beforeAutospacing="0" w:after="0" w:afterAutospacing="0"/>
              <w:ind w:left="0" w:right="0" w:firstLine="480"/>
              <w:rPr>
                <w:rFonts w:hint="default" w:cs="Times New Roman"/>
                <w:color w:val="auto"/>
              </w:rPr>
            </w:pPr>
          </w:p>
          <w:p w14:paraId="208BD907">
            <w:pPr>
              <w:keepNext w:val="0"/>
              <w:keepLines w:val="0"/>
              <w:suppressLineNumbers w:val="0"/>
              <w:spacing w:before="0" w:beforeAutospacing="0" w:after="0" w:afterAutospacing="0"/>
              <w:ind w:left="0" w:right="0" w:firstLine="480"/>
              <w:rPr>
                <w:rFonts w:hint="default" w:cs="Times New Roman"/>
                <w:color w:val="auto"/>
              </w:rPr>
            </w:pPr>
          </w:p>
          <w:p w14:paraId="0FA63E12">
            <w:pPr>
              <w:keepNext w:val="0"/>
              <w:keepLines w:val="0"/>
              <w:suppressLineNumbers w:val="0"/>
              <w:spacing w:before="0" w:beforeAutospacing="0" w:after="0" w:afterAutospacing="0"/>
              <w:ind w:left="0" w:right="0" w:firstLine="480"/>
              <w:rPr>
                <w:rFonts w:hint="default" w:cs="Times New Roman"/>
                <w:color w:val="auto"/>
              </w:rPr>
            </w:pPr>
          </w:p>
          <w:p w14:paraId="5335D5E8">
            <w:pPr>
              <w:keepNext w:val="0"/>
              <w:keepLines w:val="0"/>
              <w:suppressLineNumbers w:val="0"/>
              <w:spacing w:before="0" w:beforeAutospacing="0" w:after="0" w:afterAutospacing="0"/>
              <w:ind w:left="0" w:right="0" w:firstLine="480"/>
              <w:rPr>
                <w:rFonts w:hint="default" w:cs="Times New Roman"/>
                <w:color w:val="auto"/>
              </w:rPr>
            </w:pPr>
          </w:p>
          <w:p w14:paraId="20075EA3">
            <w:pPr>
              <w:keepNext w:val="0"/>
              <w:keepLines w:val="0"/>
              <w:suppressLineNumbers w:val="0"/>
              <w:spacing w:before="0" w:beforeAutospacing="0" w:after="0" w:afterAutospacing="0"/>
              <w:ind w:left="0" w:right="0" w:firstLine="480"/>
              <w:rPr>
                <w:rFonts w:hint="default" w:cs="Times New Roman"/>
                <w:color w:val="auto"/>
              </w:rPr>
            </w:pPr>
          </w:p>
          <w:p w14:paraId="4BDD5BBB">
            <w:pPr>
              <w:keepNext w:val="0"/>
              <w:keepLines w:val="0"/>
              <w:suppressLineNumbers w:val="0"/>
              <w:spacing w:before="0" w:beforeAutospacing="0" w:after="0" w:afterAutospacing="0"/>
              <w:ind w:left="0" w:right="0" w:firstLine="480"/>
              <w:rPr>
                <w:rFonts w:hint="default" w:cs="Times New Roman"/>
                <w:color w:val="auto"/>
              </w:rPr>
            </w:pPr>
          </w:p>
          <w:p w14:paraId="531D9159">
            <w:pPr>
              <w:keepNext w:val="0"/>
              <w:keepLines w:val="0"/>
              <w:suppressLineNumbers w:val="0"/>
              <w:spacing w:before="0" w:beforeAutospacing="0" w:after="0" w:afterAutospacing="0"/>
              <w:ind w:left="0" w:right="0" w:firstLine="480"/>
              <w:rPr>
                <w:rFonts w:hint="default" w:cs="Times New Roman"/>
                <w:color w:val="auto"/>
              </w:rPr>
            </w:pPr>
          </w:p>
        </w:tc>
      </w:tr>
    </w:tbl>
    <w:p w14:paraId="166EAA1D">
      <w:pPr>
        <w:ind w:firstLine="0" w:firstLineChars="0"/>
        <w:rPr>
          <w:rFonts w:cs="Times New Roman"/>
          <w:color w:val="auto"/>
        </w:rPr>
        <w:sectPr>
          <w:pgSz w:w="11906" w:h="16838"/>
          <w:pgMar w:top="1440" w:right="1797" w:bottom="1440" w:left="1797" w:header="851" w:footer="992" w:gutter="0"/>
          <w:cols w:space="425" w:num="1"/>
          <w:docGrid w:type="lines" w:linePitch="326" w:charSpace="0"/>
        </w:sectPr>
      </w:pPr>
    </w:p>
    <w:p w14:paraId="03A1E262">
      <w:pPr>
        <w:pStyle w:val="17"/>
        <w:adjustRightInd w:val="0"/>
        <w:snapToGrid w:val="0"/>
        <w:spacing w:before="0" w:beforeAutospacing="0" w:after="0" w:afterAutospacing="0" w:line="240" w:lineRule="auto"/>
        <w:ind w:firstLine="0" w:firstLineChars="0"/>
        <w:outlineLvl w:val="0"/>
        <w:rPr>
          <w:rFonts w:ascii="Times New Roman" w:hAnsi="Times New Roman" w:eastAsia="黑体" w:cs="Times New Roman"/>
          <w:snapToGrid w:val="0"/>
          <w:color w:val="auto"/>
          <w:sz w:val="32"/>
          <w:szCs w:val="32"/>
        </w:rPr>
      </w:pPr>
      <w:bookmarkStart w:id="123" w:name="_Toc444"/>
      <w:bookmarkStart w:id="124" w:name="_Toc29173"/>
      <w:r>
        <w:rPr>
          <w:rFonts w:ascii="Times New Roman" w:hAnsi="Times New Roman" w:eastAsia="黑体" w:cs="Times New Roman"/>
          <w:snapToGrid w:val="0"/>
          <w:color w:val="auto"/>
          <w:sz w:val="32"/>
          <w:szCs w:val="32"/>
        </w:rPr>
        <w:t>附表</w:t>
      </w:r>
      <w:bookmarkEnd w:id="123"/>
      <w:bookmarkEnd w:id="124"/>
    </w:p>
    <w:p w14:paraId="7FB8B247">
      <w:pPr>
        <w:pStyle w:val="17"/>
        <w:adjustRightInd w:val="0"/>
        <w:snapToGrid w:val="0"/>
        <w:spacing w:before="0" w:beforeAutospacing="0" w:after="0" w:afterAutospacing="0" w:line="240" w:lineRule="auto"/>
        <w:ind w:firstLine="0" w:firstLineChars="0"/>
        <w:jc w:val="center"/>
        <w:outlineLvl w:val="0"/>
        <w:rPr>
          <w:rFonts w:ascii="Times New Roman" w:hAnsi="Times New Roman" w:eastAsia="方正小标宋_GBK" w:cs="Times New Roman"/>
          <w:snapToGrid w:val="0"/>
          <w:color w:val="auto"/>
          <w:sz w:val="38"/>
          <w:szCs w:val="38"/>
        </w:rPr>
      </w:pPr>
      <w:bookmarkStart w:id="125" w:name="_Toc26105"/>
      <w:bookmarkStart w:id="126" w:name="_Toc30792"/>
      <w:r>
        <w:rPr>
          <w:rFonts w:ascii="Times New Roman" w:hAnsi="Times New Roman" w:eastAsia="方正小标宋_GBK" w:cs="Times New Roman"/>
          <w:snapToGrid w:val="0"/>
          <w:color w:val="auto"/>
          <w:sz w:val="38"/>
          <w:szCs w:val="38"/>
        </w:rPr>
        <w:t>建设项目污染物排放量汇总表</w:t>
      </w:r>
      <w:bookmarkEnd w:id="125"/>
      <w:bookmarkEnd w:id="126"/>
    </w:p>
    <w:tbl>
      <w:tblPr>
        <w:tblStyle w:val="18"/>
        <w:tblW w:w="136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4"/>
        <w:gridCol w:w="1498"/>
        <w:gridCol w:w="1276"/>
        <w:gridCol w:w="1701"/>
        <w:gridCol w:w="1559"/>
        <w:gridCol w:w="1543"/>
        <w:gridCol w:w="1559"/>
        <w:gridCol w:w="1222"/>
      </w:tblGrid>
      <w:tr w14:paraId="1CCF7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tcBorders>
              <w:tl2br w:val="single" w:color="auto" w:sz="4" w:space="0"/>
            </w:tcBorders>
            <w:tcMar>
              <w:left w:w="28" w:type="dxa"/>
              <w:right w:w="28" w:type="dxa"/>
            </w:tcMar>
            <w:vAlign w:val="center"/>
          </w:tcPr>
          <w:p w14:paraId="7DC59485">
            <w:pPr>
              <w:pStyle w:val="48"/>
              <w:keepNext w:val="0"/>
              <w:keepLines w:val="0"/>
              <w:suppressLineNumbers w:val="0"/>
              <w:spacing w:before="0" w:beforeLines="0" w:beforeAutospacing="0" w:after="0" w:afterLines="0" w:afterAutospacing="0" w:line="240" w:lineRule="auto"/>
              <w:ind w:left="0" w:right="0" w:firstLine="0" w:firstLineChars="0"/>
              <w:jc w:val="right"/>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项目</w:t>
            </w:r>
          </w:p>
          <w:p w14:paraId="50BF889A">
            <w:pPr>
              <w:keepNext w:val="0"/>
              <w:keepLines w:val="0"/>
              <w:suppressLineNumbers w:val="0"/>
              <w:spacing w:before="0" w:beforeAutospacing="0" w:after="0" w:afterAutospacing="0" w:line="240" w:lineRule="auto"/>
              <w:ind w:left="0" w:right="0" w:firstLine="420"/>
              <w:rPr>
                <w:rFonts w:hint="default" w:cs="Times New Roman"/>
                <w:color w:val="auto"/>
                <w:sz w:val="21"/>
                <w:szCs w:val="21"/>
              </w:rPr>
            </w:pPr>
          </w:p>
          <w:p w14:paraId="564B56F8">
            <w:pPr>
              <w:pStyle w:val="48"/>
              <w:keepNext w:val="0"/>
              <w:keepLines w:val="0"/>
              <w:suppressLineNumbers w:val="0"/>
              <w:spacing w:before="0" w:beforeLines="0" w:beforeAutospacing="0" w:after="0" w:afterLines="0" w:afterAutospacing="0" w:line="240" w:lineRule="auto"/>
              <w:ind w:left="0" w:right="0" w:firstLine="0" w:firstLineChars="0"/>
              <w:jc w:val="left"/>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分类</w:t>
            </w:r>
          </w:p>
        </w:tc>
        <w:tc>
          <w:tcPr>
            <w:tcW w:w="2494" w:type="dxa"/>
            <w:tcMar>
              <w:left w:w="28" w:type="dxa"/>
              <w:right w:w="28" w:type="dxa"/>
            </w:tcMar>
            <w:vAlign w:val="center"/>
          </w:tcPr>
          <w:p w14:paraId="7A114DE8">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污染物名称</w:t>
            </w:r>
          </w:p>
        </w:tc>
        <w:tc>
          <w:tcPr>
            <w:tcW w:w="1498" w:type="dxa"/>
            <w:tcMar>
              <w:left w:w="28" w:type="dxa"/>
              <w:right w:w="28" w:type="dxa"/>
            </w:tcMar>
            <w:vAlign w:val="center"/>
          </w:tcPr>
          <w:p w14:paraId="2F27E9E0">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现有工程</w:t>
            </w:r>
          </w:p>
          <w:p w14:paraId="5BD51794">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排放量（固体废物产生量）</w:t>
            </w:r>
            <w:r>
              <w:rPr>
                <w:rFonts w:hint="default" w:ascii="Times New Roman" w:cs="Times New Roman"/>
                <w:snapToGrid w:val="0"/>
                <w:color w:val="auto"/>
                <w:spacing w:val="-6"/>
                <w:kern w:val="21"/>
                <w:sz w:val="21"/>
                <w:szCs w:val="21"/>
              </w:rPr>
              <w:fldChar w:fldCharType="begin"/>
            </w:r>
            <w:r>
              <w:rPr>
                <w:rFonts w:hint="default" w:ascii="Times New Roman" w:cs="Times New Roman"/>
                <w:snapToGrid w:val="0"/>
                <w:color w:val="auto"/>
                <w:spacing w:val="-6"/>
                <w:kern w:val="21"/>
                <w:sz w:val="21"/>
                <w:szCs w:val="21"/>
              </w:rPr>
              <w:instrText xml:space="preserve"> = 1 \* GB3 \* MERGEFORMAT </w:instrText>
            </w:r>
            <w:r>
              <w:rPr>
                <w:rFonts w:hint="default" w:ascii="Times New Roman" w:cs="Times New Roman"/>
                <w:snapToGrid w:val="0"/>
                <w:color w:val="auto"/>
                <w:spacing w:val="-6"/>
                <w:kern w:val="21"/>
                <w:sz w:val="21"/>
                <w:szCs w:val="21"/>
              </w:rPr>
              <w:fldChar w:fldCharType="separate"/>
            </w:r>
            <w:r>
              <w:rPr>
                <w:rFonts w:hint="eastAsia" w:hAnsi="宋体" w:cs="宋体"/>
                <w:color w:val="auto"/>
                <w:kern w:val="2"/>
                <w:sz w:val="21"/>
                <w:szCs w:val="21"/>
              </w:rPr>
              <w:t>①</w:t>
            </w:r>
            <w:r>
              <w:rPr>
                <w:rFonts w:hint="default" w:ascii="Times New Roman" w:cs="Times New Roman"/>
                <w:snapToGrid w:val="0"/>
                <w:color w:val="auto"/>
                <w:spacing w:val="-6"/>
                <w:kern w:val="21"/>
                <w:sz w:val="21"/>
                <w:szCs w:val="21"/>
              </w:rPr>
              <w:fldChar w:fldCharType="end"/>
            </w:r>
          </w:p>
        </w:tc>
        <w:tc>
          <w:tcPr>
            <w:tcW w:w="1276" w:type="dxa"/>
            <w:tcMar>
              <w:left w:w="28" w:type="dxa"/>
              <w:right w:w="28" w:type="dxa"/>
            </w:tcMar>
            <w:vAlign w:val="center"/>
          </w:tcPr>
          <w:p w14:paraId="35F850C8">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现有工程</w:t>
            </w:r>
          </w:p>
          <w:p w14:paraId="2F46E286">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许可排放量</w:t>
            </w:r>
          </w:p>
          <w:p w14:paraId="22D7B9D6">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fldChar w:fldCharType="begin"/>
            </w:r>
            <w:r>
              <w:rPr>
                <w:rFonts w:hint="default" w:ascii="Times New Roman" w:cs="Times New Roman"/>
                <w:snapToGrid w:val="0"/>
                <w:color w:val="auto"/>
                <w:spacing w:val="-6"/>
                <w:kern w:val="21"/>
                <w:sz w:val="21"/>
                <w:szCs w:val="21"/>
              </w:rPr>
              <w:instrText xml:space="preserve"> = 2 \* GB3 \* MERGEFORMAT </w:instrText>
            </w:r>
            <w:r>
              <w:rPr>
                <w:rFonts w:hint="default" w:ascii="Times New Roman" w:cs="Times New Roman"/>
                <w:snapToGrid w:val="0"/>
                <w:color w:val="auto"/>
                <w:spacing w:val="-6"/>
                <w:kern w:val="21"/>
                <w:sz w:val="21"/>
                <w:szCs w:val="21"/>
              </w:rPr>
              <w:fldChar w:fldCharType="separate"/>
            </w:r>
            <w:r>
              <w:rPr>
                <w:rFonts w:hint="eastAsia" w:hAnsi="宋体" w:cs="宋体"/>
                <w:snapToGrid w:val="0"/>
                <w:color w:val="auto"/>
                <w:spacing w:val="-6"/>
                <w:kern w:val="21"/>
                <w:sz w:val="21"/>
                <w:szCs w:val="21"/>
              </w:rPr>
              <w:t>②</w:t>
            </w:r>
            <w:r>
              <w:rPr>
                <w:rFonts w:hint="default" w:ascii="Times New Roman" w:cs="Times New Roman"/>
                <w:snapToGrid w:val="0"/>
                <w:color w:val="auto"/>
                <w:spacing w:val="-6"/>
                <w:kern w:val="21"/>
                <w:sz w:val="21"/>
                <w:szCs w:val="21"/>
              </w:rPr>
              <w:fldChar w:fldCharType="end"/>
            </w:r>
          </w:p>
        </w:tc>
        <w:tc>
          <w:tcPr>
            <w:tcW w:w="1701" w:type="dxa"/>
            <w:tcMar>
              <w:left w:w="28" w:type="dxa"/>
              <w:right w:w="28" w:type="dxa"/>
            </w:tcMar>
            <w:vAlign w:val="center"/>
          </w:tcPr>
          <w:p w14:paraId="13A9C478">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在建工程</w:t>
            </w:r>
          </w:p>
          <w:p w14:paraId="15B1E738">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排放量（固体废物产生量）</w:t>
            </w:r>
            <w:r>
              <w:rPr>
                <w:rFonts w:hint="default" w:ascii="Times New Roman" w:cs="Times New Roman"/>
                <w:snapToGrid w:val="0"/>
                <w:color w:val="auto"/>
                <w:spacing w:val="-6"/>
                <w:kern w:val="21"/>
                <w:sz w:val="21"/>
                <w:szCs w:val="21"/>
              </w:rPr>
              <w:fldChar w:fldCharType="begin"/>
            </w:r>
            <w:r>
              <w:rPr>
                <w:rFonts w:hint="default" w:ascii="Times New Roman" w:cs="Times New Roman"/>
                <w:snapToGrid w:val="0"/>
                <w:color w:val="auto"/>
                <w:spacing w:val="-6"/>
                <w:kern w:val="21"/>
                <w:sz w:val="21"/>
                <w:szCs w:val="21"/>
              </w:rPr>
              <w:instrText xml:space="preserve"> = 3 \* GB3 \* MERGEFORMAT </w:instrText>
            </w:r>
            <w:r>
              <w:rPr>
                <w:rFonts w:hint="default" w:ascii="Times New Roman" w:cs="Times New Roman"/>
                <w:snapToGrid w:val="0"/>
                <w:color w:val="auto"/>
                <w:spacing w:val="-6"/>
                <w:kern w:val="21"/>
                <w:sz w:val="21"/>
                <w:szCs w:val="21"/>
              </w:rPr>
              <w:fldChar w:fldCharType="separate"/>
            </w:r>
            <w:r>
              <w:rPr>
                <w:rFonts w:hint="eastAsia" w:hAnsi="宋体" w:cs="宋体"/>
                <w:color w:val="auto"/>
                <w:kern w:val="2"/>
                <w:sz w:val="21"/>
                <w:szCs w:val="21"/>
              </w:rPr>
              <w:t>③</w:t>
            </w:r>
            <w:r>
              <w:rPr>
                <w:rFonts w:hint="default" w:ascii="Times New Roman" w:cs="Times New Roman"/>
                <w:snapToGrid w:val="0"/>
                <w:color w:val="auto"/>
                <w:spacing w:val="-6"/>
                <w:kern w:val="21"/>
                <w:sz w:val="21"/>
                <w:szCs w:val="21"/>
              </w:rPr>
              <w:fldChar w:fldCharType="end"/>
            </w:r>
          </w:p>
        </w:tc>
        <w:tc>
          <w:tcPr>
            <w:tcW w:w="1559" w:type="dxa"/>
            <w:tcMar>
              <w:left w:w="28" w:type="dxa"/>
              <w:right w:w="28" w:type="dxa"/>
            </w:tcMar>
            <w:vAlign w:val="center"/>
          </w:tcPr>
          <w:p w14:paraId="1B884A34">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本项目</w:t>
            </w:r>
          </w:p>
          <w:p w14:paraId="7462F1B9">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排放量（固体废物产生量）</w:t>
            </w:r>
            <w:r>
              <w:rPr>
                <w:rFonts w:hint="default" w:ascii="Times New Roman" w:cs="Times New Roman"/>
                <w:snapToGrid w:val="0"/>
                <w:color w:val="auto"/>
                <w:spacing w:val="-6"/>
                <w:kern w:val="21"/>
                <w:sz w:val="21"/>
                <w:szCs w:val="21"/>
              </w:rPr>
              <w:fldChar w:fldCharType="begin"/>
            </w:r>
            <w:r>
              <w:rPr>
                <w:rFonts w:hint="default" w:ascii="Times New Roman" w:cs="Times New Roman"/>
                <w:snapToGrid w:val="0"/>
                <w:color w:val="auto"/>
                <w:spacing w:val="-6"/>
                <w:kern w:val="21"/>
                <w:sz w:val="21"/>
                <w:szCs w:val="21"/>
              </w:rPr>
              <w:instrText xml:space="preserve"> = 4 \* GB3 \* MERGEFORMAT </w:instrText>
            </w:r>
            <w:r>
              <w:rPr>
                <w:rFonts w:hint="default" w:ascii="Times New Roman" w:cs="Times New Roman"/>
                <w:snapToGrid w:val="0"/>
                <w:color w:val="auto"/>
                <w:spacing w:val="-6"/>
                <w:kern w:val="21"/>
                <w:sz w:val="21"/>
                <w:szCs w:val="21"/>
              </w:rPr>
              <w:fldChar w:fldCharType="separate"/>
            </w:r>
            <w:r>
              <w:rPr>
                <w:rFonts w:hint="eastAsia" w:hAnsi="宋体" w:cs="宋体"/>
                <w:color w:val="auto"/>
                <w:kern w:val="2"/>
                <w:sz w:val="21"/>
                <w:szCs w:val="21"/>
              </w:rPr>
              <w:t>④</w:t>
            </w:r>
            <w:r>
              <w:rPr>
                <w:rFonts w:hint="default" w:ascii="Times New Roman" w:cs="Times New Roman"/>
                <w:snapToGrid w:val="0"/>
                <w:color w:val="auto"/>
                <w:spacing w:val="-6"/>
                <w:kern w:val="21"/>
                <w:sz w:val="21"/>
                <w:szCs w:val="21"/>
              </w:rPr>
              <w:fldChar w:fldCharType="end"/>
            </w:r>
          </w:p>
        </w:tc>
        <w:tc>
          <w:tcPr>
            <w:tcW w:w="1543" w:type="dxa"/>
            <w:tcMar>
              <w:left w:w="28" w:type="dxa"/>
              <w:right w:w="28" w:type="dxa"/>
            </w:tcMar>
            <w:vAlign w:val="center"/>
          </w:tcPr>
          <w:p w14:paraId="7C187B1B">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16"/>
                <w:kern w:val="21"/>
                <w:sz w:val="21"/>
                <w:szCs w:val="21"/>
              </w:rPr>
            </w:pPr>
            <w:r>
              <w:rPr>
                <w:rFonts w:hint="default" w:ascii="Times New Roman" w:cs="Times New Roman"/>
                <w:snapToGrid w:val="0"/>
                <w:color w:val="auto"/>
                <w:spacing w:val="-16"/>
                <w:kern w:val="21"/>
                <w:sz w:val="21"/>
                <w:szCs w:val="21"/>
              </w:rPr>
              <w:t>以新带老削减量</w:t>
            </w:r>
          </w:p>
          <w:p w14:paraId="4BE679F8">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16"/>
                <w:kern w:val="21"/>
                <w:sz w:val="21"/>
                <w:szCs w:val="21"/>
              </w:rPr>
            </w:pPr>
            <w:r>
              <w:rPr>
                <w:rFonts w:hint="default" w:ascii="Times New Roman" w:cs="Times New Roman"/>
                <w:snapToGrid w:val="0"/>
                <w:color w:val="auto"/>
                <w:spacing w:val="-16"/>
                <w:kern w:val="21"/>
                <w:sz w:val="21"/>
                <w:szCs w:val="21"/>
              </w:rPr>
              <w:t>（新建项目不填）</w:t>
            </w:r>
            <w:r>
              <w:rPr>
                <w:rFonts w:hint="default" w:ascii="Times New Roman" w:cs="Times New Roman"/>
                <w:snapToGrid w:val="0"/>
                <w:color w:val="auto"/>
                <w:spacing w:val="-16"/>
                <w:kern w:val="21"/>
                <w:sz w:val="21"/>
                <w:szCs w:val="21"/>
              </w:rPr>
              <w:fldChar w:fldCharType="begin"/>
            </w:r>
            <w:r>
              <w:rPr>
                <w:rFonts w:hint="default" w:ascii="Times New Roman" w:cs="Times New Roman"/>
                <w:snapToGrid w:val="0"/>
                <w:color w:val="auto"/>
                <w:spacing w:val="-16"/>
                <w:kern w:val="21"/>
                <w:sz w:val="21"/>
                <w:szCs w:val="21"/>
              </w:rPr>
              <w:instrText xml:space="preserve"> = 5 \* GB3 \* MERGEFORMAT </w:instrText>
            </w:r>
            <w:r>
              <w:rPr>
                <w:rFonts w:hint="default" w:ascii="Times New Roman" w:cs="Times New Roman"/>
                <w:snapToGrid w:val="0"/>
                <w:color w:val="auto"/>
                <w:spacing w:val="-16"/>
                <w:kern w:val="21"/>
                <w:sz w:val="21"/>
                <w:szCs w:val="21"/>
              </w:rPr>
              <w:fldChar w:fldCharType="separate"/>
            </w:r>
            <w:r>
              <w:rPr>
                <w:rFonts w:hint="eastAsia" w:hAnsi="宋体" w:cs="宋体"/>
                <w:color w:val="auto"/>
                <w:kern w:val="2"/>
                <w:sz w:val="21"/>
                <w:szCs w:val="21"/>
              </w:rPr>
              <w:t>⑤</w:t>
            </w:r>
            <w:r>
              <w:rPr>
                <w:rFonts w:hint="default" w:ascii="Times New Roman" w:cs="Times New Roman"/>
                <w:snapToGrid w:val="0"/>
                <w:color w:val="auto"/>
                <w:spacing w:val="-16"/>
                <w:kern w:val="21"/>
                <w:sz w:val="21"/>
                <w:szCs w:val="21"/>
              </w:rPr>
              <w:fldChar w:fldCharType="end"/>
            </w:r>
          </w:p>
        </w:tc>
        <w:tc>
          <w:tcPr>
            <w:tcW w:w="1559" w:type="dxa"/>
            <w:tcMar>
              <w:left w:w="28" w:type="dxa"/>
              <w:right w:w="28" w:type="dxa"/>
            </w:tcMar>
            <w:vAlign w:val="center"/>
          </w:tcPr>
          <w:p w14:paraId="7EAD386A">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16"/>
                <w:kern w:val="21"/>
                <w:sz w:val="21"/>
                <w:szCs w:val="21"/>
              </w:rPr>
            </w:pPr>
            <w:r>
              <w:rPr>
                <w:rFonts w:hint="default" w:ascii="Times New Roman" w:cs="Times New Roman"/>
                <w:snapToGrid w:val="0"/>
                <w:color w:val="auto"/>
                <w:spacing w:val="-16"/>
                <w:kern w:val="21"/>
                <w:sz w:val="21"/>
                <w:szCs w:val="21"/>
              </w:rPr>
              <w:t>本项目建成后</w:t>
            </w:r>
          </w:p>
          <w:p w14:paraId="490C09C5">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16"/>
                <w:kern w:val="21"/>
                <w:sz w:val="21"/>
                <w:szCs w:val="21"/>
              </w:rPr>
            </w:pPr>
            <w:r>
              <w:rPr>
                <w:rFonts w:hint="default" w:ascii="Times New Roman" w:cs="Times New Roman"/>
                <w:snapToGrid w:val="0"/>
                <w:color w:val="auto"/>
                <w:spacing w:val="-16"/>
                <w:kern w:val="21"/>
                <w:sz w:val="21"/>
                <w:szCs w:val="21"/>
              </w:rPr>
              <w:t>全厂排放量（固体废物产生量）</w:t>
            </w:r>
            <w:r>
              <w:rPr>
                <w:rFonts w:hint="default" w:ascii="Times New Roman" w:cs="Times New Roman"/>
                <w:snapToGrid w:val="0"/>
                <w:color w:val="auto"/>
                <w:spacing w:val="-16"/>
                <w:kern w:val="21"/>
                <w:sz w:val="21"/>
                <w:szCs w:val="21"/>
              </w:rPr>
              <w:fldChar w:fldCharType="begin"/>
            </w:r>
            <w:r>
              <w:rPr>
                <w:rFonts w:hint="default" w:ascii="Times New Roman" w:cs="Times New Roman"/>
                <w:snapToGrid w:val="0"/>
                <w:color w:val="auto"/>
                <w:spacing w:val="-16"/>
                <w:kern w:val="21"/>
                <w:sz w:val="21"/>
                <w:szCs w:val="21"/>
              </w:rPr>
              <w:instrText xml:space="preserve"> = 6 \* GB3 \* MERGEFORMAT </w:instrText>
            </w:r>
            <w:r>
              <w:rPr>
                <w:rFonts w:hint="default" w:ascii="Times New Roman" w:cs="Times New Roman"/>
                <w:snapToGrid w:val="0"/>
                <w:color w:val="auto"/>
                <w:spacing w:val="-16"/>
                <w:kern w:val="21"/>
                <w:sz w:val="21"/>
                <w:szCs w:val="21"/>
              </w:rPr>
              <w:fldChar w:fldCharType="separate"/>
            </w:r>
            <w:r>
              <w:rPr>
                <w:rFonts w:hint="eastAsia" w:hAnsi="宋体" w:cs="宋体"/>
                <w:color w:val="auto"/>
                <w:kern w:val="2"/>
                <w:sz w:val="21"/>
                <w:szCs w:val="21"/>
              </w:rPr>
              <w:t>⑥</w:t>
            </w:r>
            <w:r>
              <w:rPr>
                <w:rFonts w:hint="default" w:ascii="Times New Roman" w:cs="Times New Roman"/>
                <w:snapToGrid w:val="0"/>
                <w:color w:val="auto"/>
                <w:spacing w:val="-16"/>
                <w:kern w:val="21"/>
                <w:sz w:val="21"/>
                <w:szCs w:val="21"/>
              </w:rPr>
              <w:fldChar w:fldCharType="end"/>
            </w:r>
          </w:p>
        </w:tc>
        <w:tc>
          <w:tcPr>
            <w:tcW w:w="1222" w:type="dxa"/>
            <w:tcMar>
              <w:left w:w="28" w:type="dxa"/>
              <w:right w:w="28" w:type="dxa"/>
            </w:tcMar>
            <w:vAlign w:val="center"/>
          </w:tcPr>
          <w:p w14:paraId="5E66E2F6">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t>变化量</w:t>
            </w:r>
          </w:p>
          <w:p w14:paraId="28E311FF">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spacing w:val="-6"/>
                <w:kern w:val="21"/>
                <w:sz w:val="21"/>
                <w:szCs w:val="21"/>
              </w:rPr>
            </w:pPr>
            <w:r>
              <w:rPr>
                <w:rFonts w:hint="default" w:ascii="Times New Roman" w:cs="Times New Roman"/>
                <w:snapToGrid w:val="0"/>
                <w:color w:val="auto"/>
                <w:spacing w:val="-6"/>
                <w:kern w:val="21"/>
                <w:sz w:val="21"/>
                <w:szCs w:val="21"/>
              </w:rPr>
              <w:fldChar w:fldCharType="begin"/>
            </w:r>
            <w:r>
              <w:rPr>
                <w:rFonts w:hint="default" w:ascii="Times New Roman" w:cs="Times New Roman"/>
                <w:snapToGrid w:val="0"/>
                <w:color w:val="auto"/>
                <w:spacing w:val="-6"/>
                <w:kern w:val="21"/>
                <w:sz w:val="21"/>
                <w:szCs w:val="21"/>
              </w:rPr>
              <w:instrText xml:space="preserve"> = 7 \* GB3 \* MERGEFORMAT </w:instrText>
            </w:r>
            <w:r>
              <w:rPr>
                <w:rFonts w:hint="default" w:ascii="Times New Roman" w:cs="Times New Roman"/>
                <w:snapToGrid w:val="0"/>
                <w:color w:val="auto"/>
                <w:spacing w:val="-6"/>
                <w:kern w:val="21"/>
                <w:sz w:val="21"/>
                <w:szCs w:val="21"/>
              </w:rPr>
              <w:fldChar w:fldCharType="separate"/>
            </w:r>
            <w:r>
              <w:rPr>
                <w:rFonts w:hint="eastAsia" w:hAnsi="宋体" w:cs="宋体"/>
                <w:color w:val="auto"/>
                <w:kern w:val="2"/>
                <w:sz w:val="21"/>
                <w:szCs w:val="21"/>
              </w:rPr>
              <w:t>⑦</w:t>
            </w:r>
            <w:r>
              <w:rPr>
                <w:rFonts w:hint="default" w:ascii="Times New Roman" w:cs="Times New Roman"/>
                <w:snapToGrid w:val="0"/>
                <w:color w:val="auto"/>
                <w:spacing w:val="-6"/>
                <w:kern w:val="21"/>
                <w:sz w:val="21"/>
                <w:szCs w:val="21"/>
              </w:rPr>
              <w:fldChar w:fldCharType="end"/>
            </w:r>
          </w:p>
        </w:tc>
      </w:tr>
      <w:tr w14:paraId="5888E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vAlign w:val="center"/>
          </w:tcPr>
          <w:p w14:paraId="564EBB2B">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snapToGrid w:val="0"/>
                <w:color w:val="auto"/>
                <w:kern w:val="21"/>
                <w:sz w:val="21"/>
                <w:szCs w:val="21"/>
              </w:rPr>
              <w:t>废气</w:t>
            </w:r>
          </w:p>
        </w:tc>
        <w:tc>
          <w:tcPr>
            <w:tcW w:w="2494" w:type="dxa"/>
            <w:vAlign w:val="center"/>
          </w:tcPr>
          <w:p w14:paraId="37AB7AC6">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颗粒物（t/a）</w:t>
            </w:r>
          </w:p>
        </w:tc>
        <w:tc>
          <w:tcPr>
            <w:tcW w:w="1498" w:type="dxa"/>
            <w:vAlign w:val="center"/>
          </w:tcPr>
          <w:p w14:paraId="725F316F">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276" w:type="dxa"/>
            <w:vAlign w:val="center"/>
          </w:tcPr>
          <w:p w14:paraId="0D87795A">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color w:val="auto"/>
                <w:sz w:val="21"/>
                <w:szCs w:val="21"/>
              </w:rPr>
              <w:t>/</w:t>
            </w:r>
          </w:p>
        </w:tc>
        <w:tc>
          <w:tcPr>
            <w:tcW w:w="1701" w:type="dxa"/>
            <w:vAlign w:val="center"/>
          </w:tcPr>
          <w:p w14:paraId="23CBA5F5">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color w:val="auto"/>
                <w:sz w:val="21"/>
                <w:szCs w:val="21"/>
              </w:rPr>
              <w:t>/</w:t>
            </w:r>
          </w:p>
        </w:tc>
        <w:tc>
          <w:tcPr>
            <w:tcW w:w="1559" w:type="dxa"/>
            <w:vAlign w:val="center"/>
          </w:tcPr>
          <w:p w14:paraId="236EA9EE">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1.512</w:t>
            </w:r>
          </w:p>
        </w:tc>
        <w:tc>
          <w:tcPr>
            <w:tcW w:w="1543" w:type="dxa"/>
            <w:vAlign w:val="center"/>
          </w:tcPr>
          <w:p w14:paraId="6A24C8C8">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vAlign w:val="center"/>
          </w:tcPr>
          <w:p w14:paraId="2EEFDC0D">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1.512</w:t>
            </w:r>
          </w:p>
        </w:tc>
        <w:tc>
          <w:tcPr>
            <w:tcW w:w="1222" w:type="dxa"/>
            <w:shd w:val="clear" w:color="auto" w:fill="auto"/>
            <w:vAlign w:val="center"/>
          </w:tcPr>
          <w:p w14:paraId="45B6AFF5">
            <w:pPr>
              <w:pStyle w:val="28"/>
              <w:keepNext w:val="0"/>
              <w:keepLines w:val="0"/>
              <w:suppressLineNumbers w:val="0"/>
              <w:spacing w:before="0" w:beforeAutospacing="0" w:after="0" w:afterAutospacing="0"/>
              <w:ind w:left="0" w:right="0"/>
              <w:rPr>
                <w:rFonts w:hint="default"/>
                <w:color w:val="auto"/>
                <w:sz w:val="21"/>
                <w:szCs w:val="21"/>
              </w:rPr>
            </w:pPr>
          </w:p>
        </w:tc>
      </w:tr>
      <w:tr w14:paraId="717AE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29646646">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vAlign w:val="center"/>
          </w:tcPr>
          <w:p w14:paraId="4560F75B">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硫化氢（t/a）</w:t>
            </w:r>
          </w:p>
        </w:tc>
        <w:tc>
          <w:tcPr>
            <w:tcW w:w="1498" w:type="dxa"/>
            <w:vAlign w:val="center"/>
          </w:tcPr>
          <w:p w14:paraId="1A72E59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2C6CC3F7">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auto"/>
                <w:kern w:val="21"/>
                <w:sz w:val="21"/>
                <w:szCs w:val="21"/>
              </w:rPr>
            </w:pPr>
            <w:r>
              <w:rPr>
                <w:rFonts w:hint="default" w:cs="Times New Roman"/>
                <w:color w:val="auto"/>
                <w:sz w:val="21"/>
                <w:szCs w:val="21"/>
              </w:rPr>
              <w:t>/</w:t>
            </w:r>
          </w:p>
        </w:tc>
        <w:tc>
          <w:tcPr>
            <w:tcW w:w="1701" w:type="dxa"/>
            <w:vAlign w:val="center"/>
          </w:tcPr>
          <w:p w14:paraId="42722A2C">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auto"/>
                <w:kern w:val="21"/>
                <w:sz w:val="21"/>
                <w:szCs w:val="21"/>
              </w:rPr>
            </w:pPr>
            <w:r>
              <w:rPr>
                <w:rFonts w:hint="default" w:cs="Times New Roman"/>
                <w:color w:val="auto"/>
                <w:sz w:val="21"/>
                <w:szCs w:val="21"/>
              </w:rPr>
              <w:t>/</w:t>
            </w:r>
          </w:p>
        </w:tc>
        <w:tc>
          <w:tcPr>
            <w:tcW w:w="1559" w:type="dxa"/>
            <w:vAlign w:val="center"/>
          </w:tcPr>
          <w:p w14:paraId="30530B49">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0.541</w:t>
            </w:r>
          </w:p>
        </w:tc>
        <w:tc>
          <w:tcPr>
            <w:tcW w:w="1543" w:type="dxa"/>
            <w:vAlign w:val="center"/>
          </w:tcPr>
          <w:p w14:paraId="131665FD">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vAlign w:val="center"/>
          </w:tcPr>
          <w:p w14:paraId="309A4E5E">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0.541</w:t>
            </w:r>
          </w:p>
        </w:tc>
        <w:tc>
          <w:tcPr>
            <w:tcW w:w="1222" w:type="dxa"/>
            <w:shd w:val="clear" w:color="auto" w:fill="auto"/>
            <w:vAlign w:val="center"/>
          </w:tcPr>
          <w:p w14:paraId="0F77C27A">
            <w:pPr>
              <w:pStyle w:val="28"/>
              <w:keepNext w:val="0"/>
              <w:keepLines w:val="0"/>
              <w:suppressLineNumbers w:val="0"/>
              <w:spacing w:before="0" w:beforeAutospacing="0" w:after="0" w:afterAutospacing="0"/>
              <w:ind w:left="0" w:right="0"/>
              <w:rPr>
                <w:rFonts w:hint="default"/>
                <w:color w:val="auto"/>
                <w:sz w:val="21"/>
                <w:szCs w:val="21"/>
              </w:rPr>
            </w:pPr>
          </w:p>
        </w:tc>
      </w:tr>
      <w:tr w14:paraId="26A4B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158FDECB">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vAlign w:val="center"/>
          </w:tcPr>
          <w:p w14:paraId="3437F708">
            <w:pPr>
              <w:pStyle w:val="28"/>
              <w:keepNext w:val="0"/>
              <w:keepLines w:val="0"/>
              <w:suppressLineNumbers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挥发性有机物</w:t>
            </w:r>
          </w:p>
          <w:p w14:paraId="01E2B28F">
            <w:pPr>
              <w:pStyle w:val="28"/>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（非甲烷总烃）</w:t>
            </w:r>
          </w:p>
        </w:tc>
        <w:tc>
          <w:tcPr>
            <w:tcW w:w="1498" w:type="dxa"/>
            <w:vAlign w:val="center"/>
          </w:tcPr>
          <w:p w14:paraId="59D56995">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1276" w:type="dxa"/>
            <w:vAlign w:val="center"/>
          </w:tcPr>
          <w:p w14:paraId="58A0C89F">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1701" w:type="dxa"/>
            <w:vAlign w:val="center"/>
          </w:tcPr>
          <w:p w14:paraId="19B88263">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1559" w:type="dxa"/>
            <w:vAlign w:val="center"/>
          </w:tcPr>
          <w:p w14:paraId="14DC7A24">
            <w:pPr>
              <w:pStyle w:val="2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0.75</w:t>
            </w:r>
          </w:p>
        </w:tc>
        <w:tc>
          <w:tcPr>
            <w:tcW w:w="1543" w:type="dxa"/>
            <w:vAlign w:val="center"/>
          </w:tcPr>
          <w:p w14:paraId="4AD1D50C">
            <w:pPr>
              <w:pStyle w:val="28"/>
              <w:keepNext w:val="0"/>
              <w:keepLines w:val="0"/>
              <w:suppressLineNumbers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c>
          <w:tcPr>
            <w:tcW w:w="1559" w:type="dxa"/>
            <w:vAlign w:val="center"/>
          </w:tcPr>
          <w:p w14:paraId="3DE31E75">
            <w:pPr>
              <w:pStyle w:val="2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0.75</w:t>
            </w:r>
          </w:p>
        </w:tc>
        <w:tc>
          <w:tcPr>
            <w:tcW w:w="1222" w:type="dxa"/>
            <w:shd w:val="clear" w:color="auto" w:fill="auto"/>
            <w:vAlign w:val="center"/>
          </w:tcPr>
          <w:p w14:paraId="2633A612">
            <w:pPr>
              <w:pStyle w:val="28"/>
              <w:keepNext w:val="0"/>
              <w:keepLines w:val="0"/>
              <w:suppressLineNumbers w:val="0"/>
              <w:spacing w:before="0" w:beforeAutospacing="0" w:after="0" w:afterAutospacing="0"/>
              <w:ind w:left="0" w:right="0"/>
              <w:rPr>
                <w:rFonts w:hint="default"/>
                <w:color w:val="auto"/>
                <w:sz w:val="21"/>
                <w:szCs w:val="21"/>
              </w:rPr>
            </w:pPr>
          </w:p>
        </w:tc>
      </w:tr>
      <w:tr w14:paraId="46703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vAlign w:val="center"/>
          </w:tcPr>
          <w:p w14:paraId="27564B0C">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snapToGrid w:val="0"/>
                <w:color w:val="auto"/>
                <w:kern w:val="21"/>
                <w:sz w:val="21"/>
                <w:szCs w:val="21"/>
              </w:rPr>
              <w:t>废水</w:t>
            </w:r>
          </w:p>
        </w:tc>
        <w:tc>
          <w:tcPr>
            <w:tcW w:w="2494" w:type="dxa"/>
            <w:vAlign w:val="center"/>
          </w:tcPr>
          <w:p w14:paraId="54E58991">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废水量（t/a）</w:t>
            </w:r>
          </w:p>
        </w:tc>
        <w:tc>
          <w:tcPr>
            <w:tcW w:w="1498" w:type="dxa"/>
            <w:vAlign w:val="center"/>
          </w:tcPr>
          <w:p w14:paraId="6B45E07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5241C83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5A5DF1B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vAlign w:val="center"/>
          </w:tcPr>
          <w:p w14:paraId="2B1AA973">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10861.68</w:t>
            </w:r>
          </w:p>
        </w:tc>
        <w:tc>
          <w:tcPr>
            <w:tcW w:w="1543" w:type="dxa"/>
            <w:vAlign w:val="center"/>
          </w:tcPr>
          <w:p w14:paraId="352F4630">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5B3C98EC">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10861.68</w:t>
            </w:r>
          </w:p>
        </w:tc>
        <w:tc>
          <w:tcPr>
            <w:tcW w:w="1222" w:type="dxa"/>
            <w:shd w:val="clear" w:color="auto" w:fill="auto"/>
            <w:vAlign w:val="center"/>
          </w:tcPr>
          <w:p w14:paraId="168045AF">
            <w:pPr>
              <w:pStyle w:val="28"/>
              <w:keepNext w:val="0"/>
              <w:keepLines w:val="0"/>
              <w:suppressLineNumbers w:val="0"/>
              <w:spacing w:before="0" w:beforeAutospacing="0" w:after="0" w:afterAutospacing="0"/>
              <w:ind w:left="0" w:right="0"/>
              <w:rPr>
                <w:rFonts w:hint="default"/>
                <w:color w:val="auto"/>
                <w:sz w:val="21"/>
                <w:szCs w:val="21"/>
              </w:rPr>
            </w:pPr>
          </w:p>
        </w:tc>
      </w:tr>
      <w:tr w14:paraId="5779D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51BE61C2">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vAlign w:val="center"/>
          </w:tcPr>
          <w:p w14:paraId="16BB19E6">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COD（t/a</w:t>
            </w:r>
            <w:r>
              <w:rPr>
                <w:rFonts w:hint="eastAsia"/>
                <w:color w:val="auto"/>
                <w:sz w:val="21"/>
                <w:szCs w:val="21"/>
              </w:rPr>
              <w:t>)</w:t>
            </w:r>
          </w:p>
        </w:tc>
        <w:tc>
          <w:tcPr>
            <w:tcW w:w="1498" w:type="dxa"/>
            <w:vAlign w:val="center"/>
          </w:tcPr>
          <w:p w14:paraId="7574221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52AB022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0555C234">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vAlign w:val="center"/>
          </w:tcPr>
          <w:p w14:paraId="377CEAAF">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0.543</w:t>
            </w:r>
          </w:p>
        </w:tc>
        <w:tc>
          <w:tcPr>
            <w:tcW w:w="1543" w:type="dxa"/>
            <w:vAlign w:val="center"/>
          </w:tcPr>
          <w:p w14:paraId="5EA7DD5C">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1521C006">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0.543</w:t>
            </w:r>
          </w:p>
        </w:tc>
        <w:tc>
          <w:tcPr>
            <w:tcW w:w="1222" w:type="dxa"/>
            <w:shd w:val="clear" w:color="auto" w:fill="auto"/>
            <w:vAlign w:val="center"/>
          </w:tcPr>
          <w:p w14:paraId="09A5478E">
            <w:pPr>
              <w:pStyle w:val="28"/>
              <w:keepNext w:val="0"/>
              <w:keepLines w:val="0"/>
              <w:suppressLineNumbers w:val="0"/>
              <w:spacing w:before="0" w:beforeAutospacing="0" w:after="0" w:afterAutospacing="0"/>
              <w:ind w:left="0" w:right="0"/>
              <w:rPr>
                <w:rFonts w:hint="default"/>
                <w:color w:val="auto"/>
                <w:sz w:val="21"/>
                <w:szCs w:val="21"/>
              </w:rPr>
            </w:pPr>
          </w:p>
        </w:tc>
      </w:tr>
      <w:tr w14:paraId="3612A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22D6C259">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vAlign w:val="center"/>
          </w:tcPr>
          <w:p w14:paraId="16C92485">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-N（t/a</w:t>
            </w:r>
            <w:r>
              <w:rPr>
                <w:rFonts w:hint="eastAsia"/>
                <w:color w:val="auto"/>
                <w:sz w:val="21"/>
                <w:szCs w:val="21"/>
              </w:rPr>
              <w:t>)</w:t>
            </w:r>
          </w:p>
        </w:tc>
        <w:tc>
          <w:tcPr>
            <w:tcW w:w="1498" w:type="dxa"/>
            <w:vAlign w:val="center"/>
          </w:tcPr>
          <w:p w14:paraId="642096D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7A9981F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566233A4">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vAlign w:val="center"/>
          </w:tcPr>
          <w:p w14:paraId="06DA5F1E">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0.054</w:t>
            </w:r>
          </w:p>
        </w:tc>
        <w:tc>
          <w:tcPr>
            <w:tcW w:w="1543" w:type="dxa"/>
            <w:vAlign w:val="center"/>
          </w:tcPr>
          <w:p w14:paraId="653C9FAA">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66AD0230">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0.054</w:t>
            </w:r>
          </w:p>
        </w:tc>
        <w:tc>
          <w:tcPr>
            <w:tcW w:w="1222" w:type="dxa"/>
            <w:shd w:val="clear" w:color="auto" w:fill="auto"/>
            <w:vAlign w:val="center"/>
          </w:tcPr>
          <w:p w14:paraId="31775317">
            <w:pPr>
              <w:pStyle w:val="28"/>
              <w:keepNext w:val="0"/>
              <w:keepLines w:val="0"/>
              <w:suppressLineNumbers w:val="0"/>
              <w:spacing w:before="0" w:beforeAutospacing="0" w:after="0" w:afterAutospacing="0"/>
              <w:ind w:left="0" w:right="0"/>
              <w:rPr>
                <w:rFonts w:hint="default"/>
                <w:color w:val="auto"/>
                <w:sz w:val="21"/>
                <w:szCs w:val="21"/>
              </w:rPr>
            </w:pPr>
          </w:p>
        </w:tc>
      </w:tr>
      <w:tr w14:paraId="4BB2F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3DD14407">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vAlign w:val="center"/>
          </w:tcPr>
          <w:p w14:paraId="25F38332">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总磷（t/a）</w:t>
            </w:r>
          </w:p>
        </w:tc>
        <w:tc>
          <w:tcPr>
            <w:tcW w:w="1498" w:type="dxa"/>
            <w:vAlign w:val="center"/>
          </w:tcPr>
          <w:p w14:paraId="609E17D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6954C2E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55859E9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vAlign w:val="center"/>
          </w:tcPr>
          <w:p w14:paraId="3C9C35E9">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0.005</w:t>
            </w:r>
          </w:p>
        </w:tc>
        <w:tc>
          <w:tcPr>
            <w:tcW w:w="1543" w:type="dxa"/>
            <w:vAlign w:val="center"/>
          </w:tcPr>
          <w:p w14:paraId="7BC8D1E6">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2F7F1682">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0.005</w:t>
            </w:r>
          </w:p>
        </w:tc>
        <w:tc>
          <w:tcPr>
            <w:tcW w:w="1222" w:type="dxa"/>
            <w:shd w:val="clear" w:color="auto" w:fill="auto"/>
            <w:vAlign w:val="center"/>
          </w:tcPr>
          <w:p w14:paraId="2D20C905">
            <w:pPr>
              <w:pStyle w:val="28"/>
              <w:keepNext w:val="0"/>
              <w:keepLines w:val="0"/>
              <w:suppressLineNumbers w:val="0"/>
              <w:spacing w:before="0" w:beforeAutospacing="0" w:after="0" w:afterAutospacing="0"/>
              <w:ind w:left="0" w:right="0"/>
              <w:rPr>
                <w:rFonts w:hint="default"/>
                <w:color w:val="auto"/>
                <w:sz w:val="21"/>
                <w:szCs w:val="21"/>
              </w:rPr>
            </w:pPr>
          </w:p>
        </w:tc>
      </w:tr>
      <w:tr w14:paraId="588B3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vAlign w:val="center"/>
          </w:tcPr>
          <w:p w14:paraId="16069163">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snapToGrid w:val="0"/>
                <w:color w:val="auto"/>
                <w:kern w:val="21"/>
                <w:sz w:val="21"/>
                <w:szCs w:val="21"/>
              </w:rPr>
              <w:t>一般工业固体废物</w:t>
            </w:r>
          </w:p>
        </w:tc>
        <w:tc>
          <w:tcPr>
            <w:tcW w:w="2494" w:type="dxa"/>
            <w:shd w:val="clear" w:color="auto" w:fill="auto"/>
            <w:vAlign w:val="center"/>
          </w:tcPr>
          <w:p w14:paraId="2817F7B4">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生活垃圾（t/a）</w:t>
            </w:r>
          </w:p>
        </w:tc>
        <w:tc>
          <w:tcPr>
            <w:tcW w:w="1498" w:type="dxa"/>
            <w:vAlign w:val="center"/>
          </w:tcPr>
          <w:p w14:paraId="4F44C8B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56D05A9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40EE604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4D6BB7C5">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5.01</w:t>
            </w:r>
          </w:p>
        </w:tc>
        <w:tc>
          <w:tcPr>
            <w:tcW w:w="1543" w:type="dxa"/>
            <w:vAlign w:val="center"/>
          </w:tcPr>
          <w:p w14:paraId="333E206C">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4734F0B1">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5.01</w:t>
            </w:r>
          </w:p>
        </w:tc>
        <w:tc>
          <w:tcPr>
            <w:tcW w:w="1222" w:type="dxa"/>
            <w:shd w:val="clear" w:color="auto" w:fill="auto"/>
            <w:vAlign w:val="center"/>
          </w:tcPr>
          <w:p w14:paraId="61036E3B">
            <w:pPr>
              <w:pStyle w:val="26"/>
              <w:keepNext w:val="0"/>
              <w:keepLines w:val="0"/>
              <w:suppressLineNumbers w:val="0"/>
              <w:spacing w:before="0" w:beforeAutospacing="0" w:after="0" w:afterAutospacing="0"/>
              <w:ind w:left="0" w:right="0"/>
              <w:rPr>
                <w:rFonts w:hint="default"/>
                <w:sz w:val="21"/>
                <w:szCs w:val="21"/>
              </w:rPr>
            </w:pPr>
          </w:p>
        </w:tc>
      </w:tr>
      <w:tr w14:paraId="5A106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35E3C329">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511A17B0">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厨余垃圾及隔油池油脂（t/a）</w:t>
            </w:r>
          </w:p>
        </w:tc>
        <w:tc>
          <w:tcPr>
            <w:tcW w:w="1498" w:type="dxa"/>
            <w:vAlign w:val="center"/>
          </w:tcPr>
          <w:p w14:paraId="759AA073">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4725BE2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0AD5B57C">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05E13F86">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0.6</w:t>
            </w:r>
          </w:p>
        </w:tc>
        <w:tc>
          <w:tcPr>
            <w:tcW w:w="1543" w:type="dxa"/>
            <w:vAlign w:val="center"/>
          </w:tcPr>
          <w:p w14:paraId="75AF7BE8">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7B82E0DF">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0.6</w:t>
            </w:r>
          </w:p>
        </w:tc>
        <w:tc>
          <w:tcPr>
            <w:tcW w:w="1222" w:type="dxa"/>
            <w:shd w:val="clear" w:color="auto" w:fill="auto"/>
            <w:vAlign w:val="center"/>
          </w:tcPr>
          <w:p w14:paraId="47FDE930">
            <w:pPr>
              <w:pStyle w:val="26"/>
              <w:keepNext w:val="0"/>
              <w:keepLines w:val="0"/>
              <w:suppressLineNumbers w:val="0"/>
              <w:spacing w:before="0" w:beforeAutospacing="0" w:after="0" w:afterAutospacing="0"/>
              <w:ind w:left="0" w:right="0"/>
              <w:rPr>
                <w:rFonts w:hint="default"/>
                <w:sz w:val="21"/>
                <w:szCs w:val="21"/>
              </w:rPr>
            </w:pPr>
          </w:p>
        </w:tc>
      </w:tr>
      <w:tr w14:paraId="66C73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6733D264">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169717E2">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液硫池、2#循环水池及水膜循环池沉淀渣（t/a）</w:t>
            </w:r>
          </w:p>
        </w:tc>
        <w:tc>
          <w:tcPr>
            <w:tcW w:w="1498" w:type="dxa"/>
            <w:vAlign w:val="center"/>
          </w:tcPr>
          <w:p w14:paraId="18991F4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7792CDB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4674C4E0">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38DE85F7">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24.6</w:t>
            </w:r>
          </w:p>
        </w:tc>
        <w:tc>
          <w:tcPr>
            <w:tcW w:w="1543" w:type="dxa"/>
            <w:vAlign w:val="center"/>
          </w:tcPr>
          <w:p w14:paraId="6DA22D08">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627DACF8">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24.6</w:t>
            </w:r>
          </w:p>
        </w:tc>
        <w:tc>
          <w:tcPr>
            <w:tcW w:w="1222" w:type="dxa"/>
            <w:shd w:val="clear" w:color="auto" w:fill="auto"/>
            <w:vAlign w:val="center"/>
          </w:tcPr>
          <w:p w14:paraId="3B1AD19B">
            <w:pPr>
              <w:pStyle w:val="26"/>
              <w:keepNext w:val="0"/>
              <w:keepLines w:val="0"/>
              <w:suppressLineNumbers w:val="0"/>
              <w:spacing w:before="0" w:beforeAutospacing="0" w:after="0" w:afterAutospacing="0"/>
              <w:ind w:left="0" w:right="0"/>
              <w:rPr>
                <w:rFonts w:hint="default"/>
                <w:sz w:val="21"/>
                <w:szCs w:val="21"/>
              </w:rPr>
            </w:pPr>
          </w:p>
        </w:tc>
      </w:tr>
      <w:tr w14:paraId="52654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11768DBA">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0030E85B">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提纯塔过滤废滤芯（t/a）</w:t>
            </w:r>
          </w:p>
        </w:tc>
        <w:tc>
          <w:tcPr>
            <w:tcW w:w="1498" w:type="dxa"/>
            <w:vAlign w:val="center"/>
          </w:tcPr>
          <w:p w14:paraId="1692D27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6FC9B0E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2313DD6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15DBEF7D">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3t/次</w:t>
            </w:r>
          </w:p>
        </w:tc>
        <w:tc>
          <w:tcPr>
            <w:tcW w:w="1543" w:type="dxa"/>
            <w:vAlign w:val="center"/>
          </w:tcPr>
          <w:p w14:paraId="7759CC55">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3B578FE3">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3t/次</w:t>
            </w:r>
          </w:p>
        </w:tc>
        <w:tc>
          <w:tcPr>
            <w:tcW w:w="1222" w:type="dxa"/>
            <w:shd w:val="clear" w:color="auto" w:fill="auto"/>
            <w:vAlign w:val="center"/>
          </w:tcPr>
          <w:p w14:paraId="356C2617">
            <w:pPr>
              <w:pStyle w:val="26"/>
              <w:keepNext w:val="0"/>
              <w:keepLines w:val="0"/>
              <w:suppressLineNumbers w:val="0"/>
              <w:spacing w:before="0" w:beforeAutospacing="0" w:after="0" w:afterAutospacing="0"/>
              <w:ind w:left="0" w:right="0"/>
              <w:rPr>
                <w:rFonts w:hint="default"/>
                <w:sz w:val="21"/>
                <w:szCs w:val="21"/>
              </w:rPr>
            </w:pPr>
          </w:p>
        </w:tc>
      </w:tr>
      <w:tr w14:paraId="403D7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15C4D0ED">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44DB8B63">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废离子交换树脂（t/a）</w:t>
            </w:r>
          </w:p>
        </w:tc>
        <w:tc>
          <w:tcPr>
            <w:tcW w:w="1498" w:type="dxa"/>
            <w:vAlign w:val="center"/>
          </w:tcPr>
          <w:p w14:paraId="5322365A">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7984522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39ED7E0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479F1297">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0.1</w:t>
            </w:r>
          </w:p>
        </w:tc>
        <w:tc>
          <w:tcPr>
            <w:tcW w:w="1543" w:type="dxa"/>
            <w:vAlign w:val="center"/>
          </w:tcPr>
          <w:p w14:paraId="40505C7C">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0220BD91">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0.1</w:t>
            </w:r>
          </w:p>
        </w:tc>
        <w:tc>
          <w:tcPr>
            <w:tcW w:w="1222" w:type="dxa"/>
            <w:shd w:val="clear" w:color="auto" w:fill="auto"/>
            <w:vAlign w:val="center"/>
          </w:tcPr>
          <w:p w14:paraId="650290BE">
            <w:pPr>
              <w:pStyle w:val="26"/>
              <w:keepNext w:val="0"/>
              <w:keepLines w:val="0"/>
              <w:suppressLineNumbers w:val="0"/>
              <w:spacing w:before="0" w:beforeAutospacing="0" w:after="0" w:afterAutospacing="0"/>
              <w:ind w:left="0" w:right="0"/>
              <w:rPr>
                <w:rFonts w:hint="default"/>
                <w:sz w:val="21"/>
                <w:szCs w:val="21"/>
              </w:rPr>
            </w:pPr>
          </w:p>
        </w:tc>
      </w:tr>
      <w:tr w14:paraId="44A69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2A49F947">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28160DBF">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初期雨水沉渣（t/a）</w:t>
            </w:r>
          </w:p>
        </w:tc>
        <w:tc>
          <w:tcPr>
            <w:tcW w:w="1498" w:type="dxa"/>
            <w:shd w:val="clear" w:color="auto" w:fill="auto"/>
            <w:vAlign w:val="center"/>
          </w:tcPr>
          <w:p w14:paraId="385F493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shd w:val="clear" w:color="auto" w:fill="auto"/>
            <w:vAlign w:val="center"/>
          </w:tcPr>
          <w:p w14:paraId="4C2BF12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shd w:val="clear" w:color="auto" w:fill="auto"/>
            <w:vAlign w:val="center"/>
          </w:tcPr>
          <w:p w14:paraId="65DDBA7D">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0B3243EA">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0.3</w:t>
            </w:r>
          </w:p>
        </w:tc>
        <w:tc>
          <w:tcPr>
            <w:tcW w:w="1543" w:type="dxa"/>
            <w:vAlign w:val="center"/>
          </w:tcPr>
          <w:p w14:paraId="1A43CB71">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24AFAFB2">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0.3</w:t>
            </w:r>
          </w:p>
        </w:tc>
        <w:tc>
          <w:tcPr>
            <w:tcW w:w="1222" w:type="dxa"/>
            <w:shd w:val="clear" w:color="auto" w:fill="auto"/>
            <w:vAlign w:val="center"/>
          </w:tcPr>
          <w:p w14:paraId="3EE948C0">
            <w:pPr>
              <w:pStyle w:val="26"/>
              <w:keepNext w:val="0"/>
              <w:keepLines w:val="0"/>
              <w:suppressLineNumbers w:val="0"/>
              <w:spacing w:before="0" w:beforeAutospacing="0" w:after="0" w:afterAutospacing="0"/>
              <w:ind w:left="0" w:right="0"/>
              <w:rPr>
                <w:rFonts w:hint="default"/>
                <w:sz w:val="21"/>
                <w:szCs w:val="21"/>
              </w:rPr>
            </w:pPr>
          </w:p>
        </w:tc>
      </w:tr>
      <w:tr w14:paraId="482A8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vAlign w:val="center"/>
          </w:tcPr>
          <w:p w14:paraId="58CE1119">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r>
              <w:rPr>
                <w:rFonts w:hint="default" w:ascii="Times New Roman" w:cs="Times New Roman"/>
                <w:snapToGrid w:val="0"/>
                <w:color w:val="auto"/>
                <w:kern w:val="21"/>
                <w:sz w:val="21"/>
                <w:szCs w:val="21"/>
              </w:rPr>
              <w:t>危险废物</w:t>
            </w:r>
          </w:p>
        </w:tc>
        <w:tc>
          <w:tcPr>
            <w:tcW w:w="2494" w:type="dxa"/>
            <w:shd w:val="clear" w:color="auto" w:fill="auto"/>
            <w:vAlign w:val="center"/>
          </w:tcPr>
          <w:p w14:paraId="583FB46A">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水膜除尘液（t/a）</w:t>
            </w:r>
          </w:p>
        </w:tc>
        <w:tc>
          <w:tcPr>
            <w:tcW w:w="1498" w:type="dxa"/>
            <w:shd w:val="clear" w:color="auto" w:fill="auto"/>
            <w:vAlign w:val="center"/>
          </w:tcPr>
          <w:p w14:paraId="4B90A42D">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shd w:val="clear" w:color="auto" w:fill="auto"/>
            <w:vAlign w:val="center"/>
          </w:tcPr>
          <w:p w14:paraId="08A8EB6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shd w:val="clear" w:color="auto" w:fill="auto"/>
            <w:vAlign w:val="center"/>
          </w:tcPr>
          <w:p w14:paraId="43FDF00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3992D3F4">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36</w:t>
            </w:r>
          </w:p>
        </w:tc>
        <w:tc>
          <w:tcPr>
            <w:tcW w:w="1543" w:type="dxa"/>
            <w:vAlign w:val="center"/>
          </w:tcPr>
          <w:p w14:paraId="72C2087B">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4C61F87C">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36</w:t>
            </w:r>
          </w:p>
        </w:tc>
        <w:tc>
          <w:tcPr>
            <w:tcW w:w="1222" w:type="dxa"/>
            <w:shd w:val="clear" w:color="auto" w:fill="auto"/>
            <w:vAlign w:val="center"/>
          </w:tcPr>
          <w:p w14:paraId="63153D30">
            <w:pPr>
              <w:pStyle w:val="26"/>
              <w:keepNext w:val="0"/>
              <w:keepLines w:val="0"/>
              <w:suppressLineNumbers w:val="0"/>
              <w:spacing w:before="0" w:beforeAutospacing="0" w:after="0" w:afterAutospacing="0"/>
              <w:ind w:left="0" w:right="0"/>
              <w:rPr>
                <w:rFonts w:hint="default"/>
                <w:sz w:val="21"/>
                <w:szCs w:val="21"/>
              </w:rPr>
            </w:pPr>
          </w:p>
        </w:tc>
      </w:tr>
      <w:tr w14:paraId="191F1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495503F0">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2767960D">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废润滑油（t/a）</w:t>
            </w:r>
          </w:p>
        </w:tc>
        <w:tc>
          <w:tcPr>
            <w:tcW w:w="1498" w:type="dxa"/>
            <w:vAlign w:val="center"/>
          </w:tcPr>
          <w:p w14:paraId="50A63064">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49B628CE">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735CBA5F">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504647DF">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0.1</w:t>
            </w:r>
          </w:p>
        </w:tc>
        <w:tc>
          <w:tcPr>
            <w:tcW w:w="1543" w:type="dxa"/>
            <w:vAlign w:val="center"/>
          </w:tcPr>
          <w:p w14:paraId="2D0341A0">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3F8DAFC4">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0.1</w:t>
            </w:r>
          </w:p>
        </w:tc>
        <w:tc>
          <w:tcPr>
            <w:tcW w:w="1222" w:type="dxa"/>
            <w:shd w:val="clear" w:color="auto" w:fill="auto"/>
            <w:vAlign w:val="center"/>
          </w:tcPr>
          <w:p w14:paraId="2D4BFD3D">
            <w:pPr>
              <w:pStyle w:val="26"/>
              <w:keepNext w:val="0"/>
              <w:keepLines w:val="0"/>
              <w:suppressLineNumbers w:val="0"/>
              <w:spacing w:before="0" w:beforeAutospacing="0" w:after="0" w:afterAutospacing="0"/>
              <w:ind w:left="0" w:right="0"/>
              <w:rPr>
                <w:rFonts w:hint="default"/>
                <w:sz w:val="21"/>
                <w:szCs w:val="21"/>
              </w:rPr>
            </w:pPr>
          </w:p>
        </w:tc>
      </w:tr>
      <w:tr w14:paraId="40583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6BB3958A">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34A25846">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废机油桶（t/a）</w:t>
            </w:r>
          </w:p>
        </w:tc>
        <w:tc>
          <w:tcPr>
            <w:tcW w:w="1498" w:type="dxa"/>
            <w:vAlign w:val="center"/>
          </w:tcPr>
          <w:p w14:paraId="2C97C061">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313B71F9">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261BCF4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6CC745F8">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0.02</w:t>
            </w:r>
          </w:p>
        </w:tc>
        <w:tc>
          <w:tcPr>
            <w:tcW w:w="1543" w:type="dxa"/>
            <w:vAlign w:val="center"/>
          </w:tcPr>
          <w:p w14:paraId="50385D7B">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01824F73">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0.02</w:t>
            </w:r>
          </w:p>
        </w:tc>
        <w:tc>
          <w:tcPr>
            <w:tcW w:w="1222" w:type="dxa"/>
            <w:shd w:val="clear" w:color="auto" w:fill="auto"/>
            <w:vAlign w:val="center"/>
          </w:tcPr>
          <w:p w14:paraId="1D7C9E74">
            <w:pPr>
              <w:pStyle w:val="26"/>
              <w:keepNext w:val="0"/>
              <w:keepLines w:val="0"/>
              <w:suppressLineNumbers w:val="0"/>
              <w:spacing w:before="0" w:beforeAutospacing="0" w:after="0" w:afterAutospacing="0"/>
              <w:ind w:left="0" w:right="0"/>
              <w:rPr>
                <w:rFonts w:hint="default"/>
                <w:sz w:val="21"/>
                <w:szCs w:val="21"/>
              </w:rPr>
            </w:pPr>
          </w:p>
        </w:tc>
      </w:tr>
      <w:tr w14:paraId="5F5B6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14:paraId="5E07BE7E">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4408916A">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废含油手套、抹布（t/a）</w:t>
            </w:r>
          </w:p>
        </w:tc>
        <w:tc>
          <w:tcPr>
            <w:tcW w:w="1498" w:type="dxa"/>
            <w:vAlign w:val="center"/>
          </w:tcPr>
          <w:p w14:paraId="5EA90FB2">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7E4352E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5F7B7DAA">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0DA9E812">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0.05</w:t>
            </w:r>
          </w:p>
        </w:tc>
        <w:tc>
          <w:tcPr>
            <w:tcW w:w="1543" w:type="dxa"/>
            <w:vAlign w:val="center"/>
          </w:tcPr>
          <w:p w14:paraId="1258CBF9">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15F96B03">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0.05</w:t>
            </w:r>
          </w:p>
        </w:tc>
        <w:tc>
          <w:tcPr>
            <w:tcW w:w="1222" w:type="dxa"/>
            <w:shd w:val="clear" w:color="auto" w:fill="auto"/>
            <w:vAlign w:val="center"/>
          </w:tcPr>
          <w:p w14:paraId="21A90A5D">
            <w:pPr>
              <w:pStyle w:val="26"/>
              <w:keepNext w:val="0"/>
              <w:keepLines w:val="0"/>
              <w:suppressLineNumbers w:val="0"/>
              <w:spacing w:before="0" w:beforeAutospacing="0" w:after="0" w:afterAutospacing="0"/>
              <w:ind w:left="0" w:right="0"/>
              <w:rPr>
                <w:rFonts w:hint="default"/>
                <w:sz w:val="21"/>
                <w:szCs w:val="21"/>
              </w:rPr>
            </w:pPr>
          </w:p>
        </w:tc>
      </w:tr>
      <w:tr w14:paraId="7A1E6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tcPr>
          <w:p w14:paraId="3B1C06BA">
            <w:pPr>
              <w:pStyle w:val="48"/>
              <w:keepNext w:val="0"/>
              <w:keepLines w:val="0"/>
              <w:suppressLineNumbers w:val="0"/>
              <w:spacing w:before="0" w:beforeLines="0" w:beforeAutospacing="0" w:after="0" w:afterLines="0" w:afterAutospacing="0" w:line="240" w:lineRule="auto"/>
              <w:ind w:left="0" w:right="0" w:firstLine="0" w:firstLineChars="0"/>
              <w:rPr>
                <w:rFonts w:hint="default" w:ascii="Times New Roman" w:cs="Times New Roman"/>
                <w:snapToGrid w:val="0"/>
                <w:color w:val="auto"/>
                <w:kern w:val="21"/>
                <w:sz w:val="21"/>
                <w:szCs w:val="21"/>
              </w:rPr>
            </w:pPr>
          </w:p>
        </w:tc>
        <w:tc>
          <w:tcPr>
            <w:tcW w:w="2494" w:type="dxa"/>
            <w:shd w:val="clear" w:color="auto" w:fill="auto"/>
            <w:vAlign w:val="center"/>
          </w:tcPr>
          <w:p w14:paraId="30F1147C">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清罐废物</w:t>
            </w:r>
          </w:p>
        </w:tc>
        <w:tc>
          <w:tcPr>
            <w:tcW w:w="1498" w:type="dxa"/>
            <w:vAlign w:val="center"/>
          </w:tcPr>
          <w:p w14:paraId="1B3B0CEB">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276" w:type="dxa"/>
            <w:vAlign w:val="center"/>
          </w:tcPr>
          <w:p w14:paraId="0BB7B11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701" w:type="dxa"/>
            <w:vAlign w:val="center"/>
          </w:tcPr>
          <w:p w14:paraId="43B099C8">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w:t>
            </w:r>
          </w:p>
        </w:tc>
        <w:tc>
          <w:tcPr>
            <w:tcW w:w="1559" w:type="dxa"/>
            <w:shd w:val="clear" w:color="auto" w:fill="auto"/>
            <w:vAlign w:val="center"/>
          </w:tcPr>
          <w:p w14:paraId="039F6CC0">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0.016</w:t>
            </w:r>
          </w:p>
        </w:tc>
        <w:tc>
          <w:tcPr>
            <w:tcW w:w="1543" w:type="dxa"/>
            <w:vAlign w:val="center"/>
          </w:tcPr>
          <w:p w14:paraId="5A91EE33">
            <w:pPr>
              <w:pStyle w:val="2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w:t>
            </w:r>
          </w:p>
        </w:tc>
        <w:tc>
          <w:tcPr>
            <w:tcW w:w="1559" w:type="dxa"/>
            <w:shd w:val="clear" w:color="auto" w:fill="auto"/>
            <w:vAlign w:val="center"/>
          </w:tcPr>
          <w:p w14:paraId="03B745AC">
            <w:pPr>
              <w:pStyle w:val="26"/>
              <w:keepNext w:val="0"/>
              <w:keepLines w:val="0"/>
              <w:suppressLineNumbers w:val="0"/>
              <w:spacing w:before="0" w:beforeAutospacing="0" w:after="0" w:afterAutospacing="0"/>
              <w:ind w:left="0" w:right="0"/>
              <w:rPr>
                <w:rFonts w:hint="default"/>
                <w:sz w:val="21"/>
                <w:szCs w:val="21"/>
              </w:rPr>
            </w:pPr>
            <w:r>
              <w:rPr>
                <w:rFonts w:hint="default"/>
                <w:sz w:val="21"/>
                <w:szCs w:val="21"/>
              </w:rPr>
              <w:t>0.016</w:t>
            </w:r>
          </w:p>
        </w:tc>
        <w:tc>
          <w:tcPr>
            <w:tcW w:w="1222" w:type="dxa"/>
            <w:shd w:val="clear" w:color="auto" w:fill="auto"/>
            <w:vAlign w:val="center"/>
          </w:tcPr>
          <w:p w14:paraId="457C00FD">
            <w:pPr>
              <w:pStyle w:val="26"/>
              <w:keepNext w:val="0"/>
              <w:keepLines w:val="0"/>
              <w:suppressLineNumbers w:val="0"/>
              <w:spacing w:before="0" w:beforeAutospacing="0" w:after="0" w:afterAutospacing="0"/>
              <w:ind w:left="0" w:right="0"/>
              <w:rPr>
                <w:rFonts w:hint="default"/>
                <w:sz w:val="21"/>
                <w:szCs w:val="21"/>
              </w:rPr>
            </w:pPr>
          </w:p>
        </w:tc>
      </w:tr>
    </w:tbl>
    <w:p w14:paraId="5B29FE80">
      <w:pPr>
        <w:pStyle w:val="48"/>
        <w:spacing w:before="192" w:beforeLines="80" w:after="24"/>
        <w:ind w:firstLine="480"/>
        <w:jc w:val="left"/>
        <w:rPr>
          <w:rFonts w:ascii="Times New Roman" w:cs="Times New Roman"/>
          <w:color w:val="auto"/>
        </w:rPr>
      </w:pPr>
      <w:r>
        <w:rPr>
          <w:rFonts w:ascii="Times New Roman" w:cs="Times New Roman"/>
          <w:snapToGrid w:val="0"/>
          <w:color w:val="auto"/>
          <w:kern w:val="21"/>
          <w:szCs w:val="21"/>
        </w:rPr>
        <w:t>注：</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6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⑥</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1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①</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3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③</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4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④</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5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⑤</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7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⑦</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6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⑥</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1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①</w:t>
      </w:r>
      <w:r>
        <w:rPr>
          <w:rFonts w:ascii="Times New Roman" w:cs="Times New Roman"/>
          <w:snapToGrid w:val="0"/>
          <w:color w:val="auto"/>
          <w:spacing w:val="-6"/>
          <w:kern w:val="21"/>
          <w:szCs w:val="21"/>
        </w:rPr>
        <w:fldChar w:fldCharType="end"/>
      </w:r>
    </w:p>
    <w:sectPr>
      <w:footerReference r:id="rId14" w:type="default"/>
      <w:pgSz w:w="16838" w:h="11906" w:orient="landscape"/>
      <w:pgMar w:top="1797" w:right="1440" w:bottom="1797" w:left="1440"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3E63">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F5DE">
    <w:pPr>
      <w:pStyle w:val="13"/>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49563B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F0DE3">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88D3">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77EC">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25827">
    <w:pPr>
      <w:tabs>
        <w:tab w:val="center" w:pos="4153"/>
        <w:tab w:val="right" w:pos="8306"/>
      </w:tabs>
      <w:ind w:firstLine="42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515"/>
                          </w:sdtPr>
                          <w:sdtEndPr>
                            <w:rPr>
                              <w:sz w:val="21"/>
                              <w:szCs w:val="21"/>
                            </w:rPr>
                          </w:sdtEndPr>
                          <w:sdtContent>
                            <w:p w14:paraId="12C60CB2">
                              <w:pPr>
                                <w:tabs>
                                  <w:tab w:val="center" w:pos="4153"/>
                                  <w:tab w:val="right" w:pos="8306"/>
                                </w:tabs>
                                <w:ind w:firstLine="48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110</w:t>
                              </w:r>
                              <w:r>
                                <w:rPr>
                                  <w:sz w:val="21"/>
                                  <w:szCs w:val="21"/>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47461515"/>
                    </w:sdtPr>
                    <w:sdtEndPr>
                      <w:rPr>
                        <w:sz w:val="21"/>
                        <w:szCs w:val="21"/>
                      </w:rPr>
                    </w:sdtEndPr>
                    <w:sdtContent>
                      <w:p w14:paraId="12C60CB2">
                        <w:pPr>
                          <w:tabs>
                            <w:tab w:val="center" w:pos="4153"/>
                            <w:tab w:val="right" w:pos="8306"/>
                          </w:tabs>
                          <w:ind w:firstLine="48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110</w:t>
                        </w:r>
                        <w:r>
                          <w:rPr>
                            <w:sz w:val="21"/>
                            <w:szCs w:val="21"/>
                          </w:rPr>
                          <w:fldChar w:fldCharType="end"/>
                        </w:r>
                      </w:p>
                    </w:sdtContent>
                  </w:sdt>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A3B09">
    <w:pPr>
      <w:tabs>
        <w:tab w:val="center" w:pos="4153"/>
        <w:tab w:val="right" w:pos="8306"/>
      </w:tabs>
      <w:ind w:right="360"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5400B">
                          <w:pPr>
                            <w:tabs>
                              <w:tab w:val="center" w:pos="4153"/>
                              <w:tab w:val="right" w:pos="8306"/>
                            </w:tabs>
                            <w:ind w:firstLine="420"/>
                            <w:rPr>
                              <w:rFonts w:cs="Times New Roman"/>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122</w:t>
                          </w:r>
                          <w:r>
                            <w:rPr>
                              <w:rFonts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5395400B">
                    <w:pPr>
                      <w:tabs>
                        <w:tab w:val="center" w:pos="4153"/>
                        <w:tab w:val="right" w:pos="8306"/>
                      </w:tabs>
                      <w:ind w:firstLine="420"/>
                      <w:rPr>
                        <w:rFonts w:cs="Times New Roman"/>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122</w:t>
                    </w:r>
                    <w:r>
                      <w:rPr>
                        <w:rFonts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C235">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CD05">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145D2">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2938B"/>
    <w:multiLevelType w:val="multilevel"/>
    <w:tmpl w:val="94C2938B"/>
    <w:lvl w:ilvl="0" w:tentative="0">
      <w:start w:val="1"/>
      <w:numFmt w:val="decimal"/>
      <w:pStyle w:val="33"/>
      <w:lvlText w:val="表4-%1 "/>
      <w:lvlJc w:val="center"/>
      <w:pPr>
        <w:tabs>
          <w:tab w:val="left" w:pos="0"/>
        </w:tabs>
        <w:ind w:left="0" w:firstLine="0"/>
      </w:pPr>
      <w:rPr>
        <w:rFonts w:hint="default" w:ascii="Times New Roman" w:hAnsi="Times New Roman" w:eastAsia="宋体" w:cs="楷体_GB2312"/>
        <w:b/>
        <w:sz w:val="21"/>
      </w:rPr>
    </w:lvl>
    <w:lvl w:ilvl="1" w:tentative="0">
      <w:start w:val="1"/>
      <w:numFmt w:val="decimal"/>
      <w:lvlText w:val="%1.%2."/>
      <w:lvlJc w:val="left"/>
      <w:pPr>
        <w:ind w:left="575" w:hanging="575"/>
      </w:pPr>
      <w:rPr>
        <w:rFonts w:hint="default"/>
      </w:rPr>
    </w:lvl>
    <w:lvl w:ilvl="2" w:tentative="0">
      <w:start w:val="1"/>
      <w:numFmt w:val="decimal"/>
      <w:suff w:val="nothing"/>
      <w:lvlText w:val="%1.%2.%3."/>
      <w:lvlJc w:val="left"/>
      <w:pPr>
        <w:tabs>
          <w:tab w:val="left" w:pos="420"/>
        </w:tabs>
        <w:ind w:left="0" w:firstLine="0"/>
      </w:pPr>
      <w:rPr>
        <w:rFonts w:hint="default"/>
      </w:rPr>
    </w:lvl>
    <w:lvl w:ilvl="3" w:tentative="0">
      <w:start w:val="1"/>
      <w:numFmt w:val="decimal"/>
      <w:suff w:val="nothing"/>
      <w:lvlText w:val="%1.%2.%3.%4."/>
      <w:lvlJc w:val="left"/>
      <w:pPr>
        <w:tabs>
          <w:tab w:val="left" w:pos="420"/>
        </w:tabs>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DAE6A1D"/>
    <w:multiLevelType w:val="singleLevel"/>
    <w:tmpl w:val="BDAE6A1D"/>
    <w:lvl w:ilvl="0" w:tentative="0">
      <w:start w:val="1"/>
      <w:numFmt w:val="decimal"/>
      <w:pStyle w:val="36"/>
      <w:lvlText w:val="表 1-%1"/>
      <w:lvlJc w:val="left"/>
      <w:pPr>
        <w:tabs>
          <w:tab w:val="left" w:pos="420"/>
        </w:tabs>
        <w:ind w:left="425" w:hanging="425"/>
      </w:pPr>
      <w:rPr>
        <w:rFonts w:hint="default" w:ascii="Times New Roman" w:hAnsi="Times New Roman" w:eastAsia="黑体"/>
        <w:b w:val="0"/>
        <w:bCs w:val="0"/>
        <w:sz w:val="21"/>
        <w:szCs w:val="21"/>
      </w:rPr>
    </w:lvl>
  </w:abstractNum>
  <w:abstractNum w:abstractNumId="2">
    <w:nsid w:val="BF4AE910"/>
    <w:multiLevelType w:val="singleLevel"/>
    <w:tmpl w:val="BF4AE910"/>
    <w:lvl w:ilvl="0" w:tentative="0">
      <w:start w:val="1"/>
      <w:numFmt w:val="decimal"/>
      <w:pStyle w:val="31"/>
      <w:suff w:val="nothing"/>
      <w:lvlText w:val="图2-%1 "/>
      <w:lvlJc w:val="center"/>
      <w:pPr>
        <w:tabs>
          <w:tab w:val="left" w:pos="2127"/>
        </w:tabs>
        <w:ind w:left="2127" w:firstLine="0"/>
      </w:pPr>
      <w:rPr>
        <w:rFonts w:hint="default" w:ascii="Times New Roman" w:hAnsi="Times New Roman" w:eastAsia="宋体" w:cs="Times New Roman"/>
        <w:b/>
        <w:bCs/>
        <w:sz w:val="24"/>
        <w:szCs w:val="24"/>
      </w:rPr>
    </w:lvl>
  </w:abstractNum>
  <w:abstractNum w:abstractNumId="3">
    <w:nsid w:val="C0903316"/>
    <w:multiLevelType w:val="singleLevel"/>
    <w:tmpl w:val="C0903316"/>
    <w:lvl w:ilvl="0" w:tentative="0">
      <w:start w:val="1"/>
      <w:numFmt w:val="decimal"/>
      <w:suff w:val="nothing"/>
      <w:lvlText w:val="（%1）"/>
      <w:lvlJc w:val="left"/>
    </w:lvl>
  </w:abstractNum>
  <w:abstractNum w:abstractNumId="4">
    <w:nsid w:val="E322F6D6"/>
    <w:multiLevelType w:val="singleLevel"/>
    <w:tmpl w:val="E322F6D6"/>
    <w:lvl w:ilvl="0" w:tentative="0">
      <w:start w:val="1"/>
      <w:numFmt w:val="decimal"/>
      <w:pStyle w:val="30"/>
      <w:suff w:val="nothing"/>
      <w:lvlText w:val="表1-%1 "/>
      <w:lvlJc w:val="left"/>
      <w:pPr>
        <w:ind w:left="0" w:firstLine="0"/>
      </w:pPr>
      <w:rPr>
        <w:rFonts w:hint="default" w:ascii="Times New Roman" w:hAnsi="Times New Roman" w:eastAsia="宋体" w:cs="Times New Roman"/>
        <w:b/>
        <w:bCs/>
        <w:sz w:val="21"/>
        <w:szCs w:val="21"/>
      </w:rPr>
    </w:lvl>
  </w:abstractNum>
  <w:abstractNum w:abstractNumId="5">
    <w:nsid w:val="F8A9AEB2"/>
    <w:multiLevelType w:val="singleLevel"/>
    <w:tmpl w:val="F8A9AEB2"/>
    <w:lvl w:ilvl="0" w:tentative="0">
      <w:start w:val="1"/>
      <w:numFmt w:val="decimal"/>
      <w:pStyle w:val="34"/>
      <w:suff w:val="nothing"/>
      <w:lvlText w:val="表2-%1 "/>
      <w:lvlJc w:val="left"/>
      <w:pPr>
        <w:ind w:left="0" w:firstLine="420"/>
      </w:pPr>
      <w:rPr>
        <w:rFonts w:hint="default"/>
      </w:rPr>
    </w:lvl>
  </w:abstractNum>
  <w:abstractNum w:abstractNumId="6">
    <w:nsid w:val="0000000C"/>
    <w:multiLevelType w:val="multilevel"/>
    <w:tmpl w:val="0000000C"/>
    <w:lvl w:ilvl="0" w:tentative="0">
      <w:start w:val="1"/>
      <w:numFmt w:val="decimal"/>
      <w:suff w:val="space"/>
      <w:lvlText w:val="%1"/>
      <w:lvlJc w:val="left"/>
      <w:pPr>
        <w:tabs>
          <w:tab w:val="left" w:pos="432"/>
        </w:tabs>
        <w:ind w:left="432" w:hanging="432"/>
      </w:pPr>
      <w:rPr>
        <w:rFonts w:hint="default" w:ascii="Times New Roman" w:hAnsi="Times New Roman" w:eastAsia="宋体" w:cs="宋体"/>
      </w:rPr>
    </w:lvl>
    <w:lvl w:ilvl="1" w:tentative="0">
      <w:start w:val="1"/>
      <w:numFmt w:val="decimal"/>
      <w:lvlText w:val="%1.%2"/>
      <w:lvlJc w:val="left"/>
      <w:pPr>
        <w:tabs>
          <w:tab w:val="left" w:pos="575"/>
        </w:tabs>
        <w:ind w:left="575" w:hanging="575"/>
      </w:pPr>
      <w:rPr>
        <w:rFonts w:hint="default" w:ascii="Times New Roman" w:hAnsi="Times New Roman" w:eastAsia="宋体" w:cs="宋体"/>
      </w:rPr>
    </w:lvl>
    <w:lvl w:ilvl="2" w:tentative="0">
      <w:start w:val="1"/>
      <w:numFmt w:val="decimal"/>
      <w:suff w:val="space"/>
      <w:lvlText w:val="%1.%2.%3"/>
      <w:lvlJc w:val="left"/>
      <w:pPr>
        <w:tabs>
          <w:tab w:val="left" w:pos="720"/>
        </w:tabs>
        <w:ind w:left="720" w:hanging="720"/>
      </w:pPr>
      <w:rPr>
        <w:rFonts w:hint="default" w:ascii="Times New Roman" w:hAnsi="Times New Roman" w:eastAsia="宋体" w:cs="宋体"/>
      </w:rPr>
    </w:lvl>
    <w:lvl w:ilvl="3" w:tentative="0">
      <w:start w:val="1"/>
      <w:numFmt w:val="decimal"/>
      <w:pStyle w:val="5"/>
      <w:suff w:val="space"/>
      <w:lvlText w:val="%1.%2.%3.%4"/>
      <w:lvlJc w:val="left"/>
      <w:pPr>
        <w:tabs>
          <w:tab w:val="left" w:pos="864"/>
        </w:tabs>
        <w:ind w:left="864" w:hanging="864"/>
      </w:pPr>
      <w:rPr>
        <w:rFonts w:hint="default" w:ascii="Times New Roman" w:hAnsi="Times New Roman" w:eastAsia="宋体" w:cs="宋体"/>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7">
    <w:nsid w:val="021A457A"/>
    <w:multiLevelType w:val="multilevel"/>
    <w:tmpl w:val="021A457A"/>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8">
    <w:nsid w:val="125EC818"/>
    <w:multiLevelType w:val="singleLevel"/>
    <w:tmpl w:val="125EC818"/>
    <w:lvl w:ilvl="0" w:tentative="0">
      <w:start w:val="1"/>
      <w:numFmt w:val="decimalFullWidth"/>
      <w:pStyle w:val="55"/>
      <w:suff w:val="nothing"/>
      <w:lvlText w:val="图2-%1 "/>
      <w:lvlJc w:val="left"/>
      <w:rPr>
        <w:rFonts w:hint="eastAsia"/>
        <w:b/>
        <w:sz w:val="24"/>
        <w:szCs w:val="24"/>
      </w:rPr>
    </w:lvl>
  </w:abstractNum>
  <w:abstractNum w:abstractNumId="9">
    <w:nsid w:val="230A2BCA"/>
    <w:multiLevelType w:val="multilevel"/>
    <w:tmpl w:val="230A2BCA"/>
    <w:lvl w:ilvl="0" w:tentative="0">
      <w:start w:val="1"/>
      <w:numFmt w:val="decimal"/>
      <w:pStyle w:val="32"/>
      <w:lvlText w:val="表3-%1 "/>
      <w:lvlJc w:val="center"/>
      <w:pPr>
        <w:tabs>
          <w:tab w:val="left" w:pos="0"/>
        </w:tabs>
        <w:ind w:left="0" w:firstLine="0"/>
      </w:pPr>
      <w:rPr>
        <w:rFonts w:hint="default" w:ascii="Times New Roman" w:hAnsi="Times New Roman" w:eastAsia="宋体" w:cs="楷体_GB2312"/>
        <w:b/>
        <w:sz w:val="21"/>
      </w:rPr>
    </w:lvl>
    <w:lvl w:ilvl="1" w:tentative="0">
      <w:start w:val="1"/>
      <w:numFmt w:val="decimal"/>
      <w:lvlText w:val="%1.%2."/>
      <w:lvlJc w:val="left"/>
      <w:pPr>
        <w:ind w:left="575" w:hanging="575"/>
      </w:pPr>
      <w:rPr>
        <w:rFonts w:hint="default"/>
      </w:rPr>
    </w:lvl>
    <w:lvl w:ilvl="2" w:tentative="0">
      <w:start w:val="1"/>
      <w:numFmt w:val="decimal"/>
      <w:suff w:val="nothing"/>
      <w:lvlText w:val="%1.%2.%3."/>
      <w:lvlJc w:val="left"/>
      <w:pPr>
        <w:tabs>
          <w:tab w:val="left" w:pos="420"/>
        </w:tabs>
        <w:ind w:left="0" w:firstLine="0"/>
      </w:pPr>
      <w:rPr>
        <w:rFonts w:hint="default"/>
      </w:rPr>
    </w:lvl>
    <w:lvl w:ilvl="3" w:tentative="0">
      <w:start w:val="1"/>
      <w:numFmt w:val="decimal"/>
      <w:suff w:val="nothing"/>
      <w:lvlText w:val="%1.%2.%3.%4."/>
      <w:lvlJc w:val="left"/>
      <w:pPr>
        <w:tabs>
          <w:tab w:val="left" w:pos="420"/>
        </w:tabs>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0">
    <w:nsid w:val="2CFC0940"/>
    <w:multiLevelType w:val="multilevel"/>
    <w:tmpl w:val="2CFC094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1">
    <w:nsid w:val="356B10AC"/>
    <w:multiLevelType w:val="multilevel"/>
    <w:tmpl w:val="356B10A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2">
    <w:nsid w:val="53C61ECC"/>
    <w:multiLevelType w:val="multilevel"/>
    <w:tmpl w:val="53C61EC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3">
    <w:nsid w:val="5EEC530D"/>
    <w:multiLevelType w:val="multilevel"/>
    <w:tmpl w:val="5EEC530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pStyle w:val="6"/>
      <w:suff w:val="space"/>
      <w:lvlText w:val="(%5)"/>
      <w:lvlJc w:val="left"/>
      <w:pPr>
        <w:ind w:left="568" w:firstLine="0"/>
      </w:pPr>
    </w:lvl>
    <w:lvl w:ilvl="5" w:tentative="0">
      <w:start w:val="1"/>
      <w:numFmt w:val="decimal"/>
      <w:pStyle w:val="7"/>
      <w:suff w:val="space"/>
      <w:lvlText w:val="%6)"/>
      <w:lvlJc w:val="left"/>
      <w:pPr>
        <w:ind w:left="0" w:firstLine="567"/>
      </w:pPr>
    </w:lvl>
    <w:lvl w:ilvl="6" w:tentative="0">
      <w:start w:val="1"/>
      <w:numFmt w:val="decimal"/>
      <w:lvlRestart w:val="2"/>
      <w:suff w:val="space"/>
      <w:lvlText w:val="表 %1.%2-%7"/>
      <w:lvlJc w:val="left"/>
      <w:pPr>
        <w:ind w:left="0" w:firstLine="0"/>
      </w:pPr>
    </w:lvl>
    <w:lvl w:ilvl="7" w:tentative="0">
      <w:start w:val="1"/>
      <w:numFmt w:val="decimal"/>
      <w:lvlRestart w:val="4"/>
      <w:suff w:val="space"/>
      <w:lvlText w:val="图 %1.%2.%3-%8"/>
      <w:lvlJc w:val="left"/>
      <w:pPr>
        <w:ind w:left="2836" w:firstLine="0"/>
      </w:pPr>
    </w:lvl>
    <w:lvl w:ilvl="8" w:tentative="0">
      <w:start w:val="1"/>
      <w:numFmt w:val="decimal"/>
      <w:lvlText w:val="%1.%2.%3.%4.%5.%6.%7.%8.%9"/>
      <w:lvlJc w:val="left"/>
      <w:pPr>
        <w:ind w:left="5102" w:hanging="1700"/>
      </w:pPr>
    </w:lvl>
  </w:abstractNum>
  <w:abstractNum w:abstractNumId="14">
    <w:nsid w:val="6549A1AD"/>
    <w:multiLevelType w:val="singleLevel"/>
    <w:tmpl w:val="6549A1AD"/>
    <w:lvl w:ilvl="0" w:tentative="0">
      <w:start w:val="1"/>
      <w:numFmt w:val="decimal"/>
      <w:pStyle w:val="8"/>
      <w:suff w:val="space"/>
      <w:lvlText w:val="表7-%1"/>
      <w:lvlJc w:val="left"/>
      <w:pPr>
        <w:tabs>
          <w:tab w:val="left" w:pos="420"/>
        </w:tabs>
      </w:pPr>
      <w:rPr>
        <w:rFonts w:hint="default" w:ascii="Times New Roman" w:hAnsi="Times New Roman" w:eastAsia="黑体" w:cs="宋体"/>
      </w:rPr>
    </w:lvl>
  </w:abstractNum>
  <w:abstractNum w:abstractNumId="15">
    <w:nsid w:val="6BF2A15C"/>
    <w:multiLevelType w:val="singleLevel"/>
    <w:tmpl w:val="6BF2A15C"/>
    <w:lvl w:ilvl="0" w:tentative="0">
      <w:start w:val="1"/>
      <w:numFmt w:val="decimal"/>
      <w:suff w:val="nothing"/>
      <w:lvlText w:val="（%1）"/>
      <w:lvlJc w:val="left"/>
    </w:lvl>
  </w:abstractNum>
  <w:num w:numId="1">
    <w:abstractNumId w:val="6"/>
  </w:num>
  <w:num w:numId="2">
    <w:abstractNumId w:val="13"/>
  </w:num>
  <w:num w:numId="3">
    <w:abstractNumId w:val="14"/>
  </w:num>
  <w:num w:numId="4">
    <w:abstractNumId w:val="4"/>
  </w:num>
  <w:num w:numId="5">
    <w:abstractNumId w:val="2"/>
  </w:num>
  <w:num w:numId="6">
    <w:abstractNumId w:val="9"/>
  </w:num>
  <w:num w:numId="7">
    <w:abstractNumId w:val="0"/>
  </w:num>
  <w:num w:numId="8">
    <w:abstractNumId w:val="5"/>
  </w:num>
  <w:num w:numId="9">
    <w:abstractNumId w:val="1"/>
  </w:num>
  <w:num w:numId="10">
    <w:abstractNumId w:val="8"/>
  </w:num>
  <w:num w:numId="11">
    <w:abstractNumId w:val="15"/>
  </w:num>
  <w:num w:numId="12">
    <w:abstractNumId w:val="3"/>
  </w:num>
  <w:num w:numId="13">
    <w:abstractNumId w:val="10"/>
  </w:num>
  <w:num w:numId="14">
    <w:abstractNumId w:val="7"/>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5ZGRjNjRhMzIyZmY0Nzc3NGRmMzVjNzVhNjgxYzEifQ=="/>
  </w:docVars>
  <w:rsids>
    <w:rsidRoot w:val="00172A27"/>
    <w:rsid w:val="00006990"/>
    <w:rsid w:val="00010D0D"/>
    <w:rsid w:val="00012416"/>
    <w:rsid w:val="0001358F"/>
    <w:rsid w:val="000203D7"/>
    <w:rsid w:val="00021312"/>
    <w:rsid w:val="00024411"/>
    <w:rsid w:val="00025BD0"/>
    <w:rsid w:val="000272A8"/>
    <w:rsid w:val="000361C4"/>
    <w:rsid w:val="00036C1F"/>
    <w:rsid w:val="000435B2"/>
    <w:rsid w:val="0004680B"/>
    <w:rsid w:val="000471E5"/>
    <w:rsid w:val="00052C70"/>
    <w:rsid w:val="00073DDE"/>
    <w:rsid w:val="000759FF"/>
    <w:rsid w:val="0008736A"/>
    <w:rsid w:val="00092EE5"/>
    <w:rsid w:val="000977B8"/>
    <w:rsid w:val="000B79AA"/>
    <w:rsid w:val="000E048B"/>
    <w:rsid w:val="000E3DC8"/>
    <w:rsid w:val="000F2F47"/>
    <w:rsid w:val="000F2F91"/>
    <w:rsid w:val="001025C8"/>
    <w:rsid w:val="00107C8C"/>
    <w:rsid w:val="001119AE"/>
    <w:rsid w:val="00123DE7"/>
    <w:rsid w:val="00133BA2"/>
    <w:rsid w:val="00144CBC"/>
    <w:rsid w:val="00147805"/>
    <w:rsid w:val="00150752"/>
    <w:rsid w:val="00160056"/>
    <w:rsid w:val="00162D8B"/>
    <w:rsid w:val="0016436C"/>
    <w:rsid w:val="00166C8D"/>
    <w:rsid w:val="00172A27"/>
    <w:rsid w:val="00173BDC"/>
    <w:rsid w:val="00180320"/>
    <w:rsid w:val="00186EB6"/>
    <w:rsid w:val="001A056C"/>
    <w:rsid w:val="001A1346"/>
    <w:rsid w:val="001B3602"/>
    <w:rsid w:val="001D568F"/>
    <w:rsid w:val="001F3945"/>
    <w:rsid w:val="00200F2E"/>
    <w:rsid w:val="002027B1"/>
    <w:rsid w:val="002076A9"/>
    <w:rsid w:val="002206B2"/>
    <w:rsid w:val="002654AC"/>
    <w:rsid w:val="00271BFF"/>
    <w:rsid w:val="00284A7A"/>
    <w:rsid w:val="002947EF"/>
    <w:rsid w:val="00297FA9"/>
    <w:rsid w:val="002A7D96"/>
    <w:rsid w:val="002B3071"/>
    <w:rsid w:val="002C04C6"/>
    <w:rsid w:val="002D2567"/>
    <w:rsid w:val="002F3B8E"/>
    <w:rsid w:val="002F5716"/>
    <w:rsid w:val="002F71F1"/>
    <w:rsid w:val="003076AC"/>
    <w:rsid w:val="00316FF7"/>
    <w:rsid w:val="00343845"/>
    <w:rsid w:val="00352C8E"/>
    <w:rsid w:val="0035503E"/>
    <w:rsid w:val="00384925"/>
    <w:rsid w:val="003909A1"/>
    <w:rsid w:val="003B6A9A"/>
    <w:rsid w:val="003C23F2"/>
    <w:rsid w:val="003C40FA"/>
    <w:rsid w:val="003D0A34"/>
    <w:rsid w:val="003E1123"/>
    <w:rsid w:val="003E58FA"/>
    <w:rsid w:val="003F0CE1"/>
    <w:rsid w:val="003F6386"/>
    <w:rsid w:val="00402857"/>
    <w:rsid w:val="00410972"/>
    <w:rsid w:val="004139DD"/>
    <w:rsid w:val="00461A27"/>
    <w:rsid w:val="0047185C"/>
    <w:rsid w:val="00485429"/>
    <w:rsid w:val="00486F18"/>
    <w:rsid w:val="00497BD2"/>
    <w:rsid w:val="004B538A"/>
    <w:rsid w:val="004D022E"/>
    <w:rsid w:val="004E315D"/>
    <w:rsid w:val="004F5903"/>
    <w:rsid w:val="00501358"/>
    <w:rsid w:val="00517843"/>
    <w:rsid w:val="00530417"/>
    <w:rsid w:val="005451A5"/>
    <w:rsid w:val="005520B9"/>
    <w:rsid w:val="00555118"/>
    <w:rsid w:val="00556CB3"/>
    <w:rsid w:val="00560921"/>
    <w:rsid w:val="00566C39"/>
    <w:rsid w:val="00575317"/>
    <w:rsid w:val="00577DAB"/>
    <w:rsid w:val="00587D0B"/>
    <w:rsid w:val="005916CB"/>
    <w:rsid w:val="005A08ED"/>
    <w:rsid w:val="005A4988"/>
    <w:rsid w:val="005A79A6"/>
    <w:rsid w:val="005B0165"/>
    <w:rsid w:val="005B19A5"/>
    <w:rsid w:val="005B6792"/>
    <w:rsid w:val="005C0052"/>
    <w:rsid w:val="005D696B"/>
    <w:rsid w:val="005F6D7D"/>
    <w:rsid w:val="0061786C"/>
    <w:rsid w:val="006234EF"/>
    <w:rsid w:val="00637009"/>
    <w:rsid w:val="00646C67"/>
    <w:rsid w:val="00666550"/>
    <w:rsid w:val="006674C7"/>
    <w:rsid w:val="006921DC"/>
    <w:rsid w:val="006B550E"/>
    <w:rsid w:val="006C0A4E"/>
    <w:rsid w:val="006D0B3B"/>
    <w:rsid w:val="006F5519"/>
    <w:rsid w:val="00700781"/>
    <w:rsid w:val="00704D8B"/>
    <w:rsid w:val="007116C7"/>
    <w:rsid w:val="00742AC4"/>
    <w:rsid w:val="00747428"/>
    <w:rsid w:val="0075021C"/>
    <w:rsid w:val="00753E1F"/>
    <w:rsid w:val="007605AF"/>
    <w:rsid w:val="007618E8"/>
    <w:rsid w:val="00782172"/>
    <w:rsid w:val="007839DC"/>
    <w:rsid w:val="007A4EFE"/>
    <w:rsid w:val="007B02C4"/>
    <w:rsid w:val="007B237D"/>
    <w:rsid w:val="007B71C4"/>
    <w:rsid w:val="007C5DC8"/>
    <w:rsid w:val="007C6A18"/>
    <w:rsid w:val="007C717F"/>
    <w:rsid w:val="007E4098"/>
    <w:rsid w:val="007E650C"/>
    <w:rsid w:val="007F4862"/>
    <w:rsid w:val="00800B01"/>
    <w:rsid w:val="0080748C"/>
    <w:rsid w:val="00807FA6"/>
    <w:rsid w:val="00832DD3"/>
    <w:rsid w:val="008557AA"/>
    <w:rsid w:val="00867DE4"/>
    <w:rsid w:val="0087060B"/>
    <w:rsid w:val="008738B1"/>
    <w:rsid w:val="008738F4"/>
    <w:rsid w:val="00875331"/>
    <w:rsid w:val="00881CA6"/>
    <w:rsid w:val="00886813"/>
    <w:rsid w:val="00893503"/>
    <w:rsid w:val="00897537"/>
    <w:rsid w:val="008A5064"/>
    <w:rsid w:val="008B5AB6"/>
    <w:rsid w:val="008C5520"/>
    <w:rsid w:val="00906F0E"/>
    <w:rsid w:val="0090719D"/>
    <w:rsid w:val="00913232"/>
    <w:rsid w:val="009522F5"/>
    <w:rsid w:val="009704DE"/>
    <w:rsid w:val="009872CF"/>
    <w:rsid w:val="00994136"/>
    <w:rsid w:val="009A4AB0"/>
    <w:rsid w:val="009A7807"/>
    <w:rsid w:val="009C06C4"/>
    <w:rsid w:val="009F3F46"/>
    <w:rsid w:val="00A00EEA"/>
    <w:rsid w:val="00A01E08"/>
    <w:rsid w:val="00A025A7"/>
    <w:rsid w:val="00A0461F"/>
    <w:rsid w:val="00A1290A"/>
    <w:rsid w:val="00A41971"/>
    <w:rsid w:val="00A47A06"/>
    <w:rsid w:val="00A52796"/>
    <w:rsid w:val="00A571AF"/>
    <w:rsid w:val="00A61A90"/>
    <w:rsid w:val="00A64F77"/>
    <w:rsid w:val="00A75AB0"/>
    <w:rsid w:val="00AD1472"/>
    <w:rsid w:val="00AD3C65"/>
    <w:rsid w:val="00AD634A"/>
    <w:rsid w:val="00AD6449"/>
    <w:rsid w:val="00AE1A1C"/>
    <w:rsid w:val="00AE3347"/>
    <w:rsid w:val="00AE5ACE"/>
    <w:rsid w:val="00B079F8"/>
    <w:rsid w:val="00B1118C"/>
    <w:rsid w:val="00B3452D"/>
    <w:rsid w:val="00B363B1"/>
    <w:rsid w:val="00B46523"/>
    <w:rsid w:val="00B71C6D"/>
    <w:rsid w:val="00B726F3"/>
    <w:rsid w:val="00B76BD2"/>
    <w:rsid w:val="00B87CB8"/>
    <w:rsid w:val="00B87FF4"/>
    <w:rsid w:val="00BA7223"/>
    <w:rsid w:val="00BB32BA"/>
    <w:rsid w:val="00BB6D5D"/>
    <w:rsid w:val="00BC1A22"/>
    <w:rsid w:val="00BC34E2"/>
    <w:rsid w:val="00BD4CFB"/>
    <w:rsid w:val="00BD5EED"/>
    <w:rsid w:val="00BE5636"/>
    <w:rsid w:val="00C10B5C"/>
    <w:rsid w:val="00C276A0"/>
    <w:rsid w:val="00C3545D"/>
    <w:rsid w:val="00C36117"/>
    <w:rsid w:val="00C413D1"/>
    <w:rsid w:val="00C53B83"/>
    <w:rsid w:val="00C57B54"/>
    <w:rsid w:val="00C70035"/>
    <w:rsid w:val="00C75319"/>
    <w:rsid w:val="00C77B80"/>
    <w:rsid w:val="00C834E5"/>
    <w:rsid w:val="00CA0616"/>
    <w:rsid w:val="00CC3216"/>
    <w:rsid w:val="00CD51B9"/>
    <w:rsid w:val="00CD7B2D"/>
    <w:rsid w:val="00D07057"/>
    <w:rsid w:val="00D144B9"/>
    <w:rsid w:val="00D312DD"/>
    <w:rsid w:val="00D4485C"/>
    <w:rsid w:val="00D474E5"/>
    <w:rsid w:val="00D540A8"/>
    <w:rsid w:val="00D62D37"/>
    <w:rsid w:val="00D632CD"/>
    <w:rsid w:val="00D676B1"/>
    <w:rsid w:val="00D879FD"/>
    <w:rsid w:val="00DA2C83"/>
    <w:rsid w:val="00DA453B"/>
    <w:rsid w:val="00DA4845"/>
    <w:rsid w:val="00DA790A"/>
    <w:rsid w:val="00DC2261"/>
    <w:rsid w:val="00DC786B"/>
    <w:rsid w:val="00DE291B"/>
    <w:rsid w:val="00DE53DC"/>
    <w:rsid w:val="00DF041C"/>
    <w:rsid w:val="00E01A06"/>
    <w:rsid w:val="00E159E2"/>
    <w:rsid w:val="00E22B5F"/>
    <w:rsid w:val="00E308E3"/>
    <w:rsid w:val="00E3254D"/>
    <w:rsid w:val="00E34251"/>
    <w:rsid w:val="00E42939"/>
    <w:rsid w:val="00E46C69"/>
    <w:rsid w:val="00E55E85"/>
    <w:rsid w:val="00E635F9"/>
    <w:rsid w:val="00E63FF3"/>
    <w:rsid w:val="00E6471C"/>
    <w:rsid w:val="00E80EAD"/>
    <w:rsid w:val="00E922D8"/>
    <w:rsid w:val="00EB7256"/>
    <w:rsid w:val="00ED0529"/>
    <w:rsid w:val="00ED0979"/>
    <w:rsid w:val="00ED0D6E"/>
    <w:rsid w:val="00EF16FF"/>
    <w:rsid w:val="00EF188B"/>
    <w:rsid w:val="00EF4390"/>
    <w:rsid w:val="00F25D7B"/>
    <w:rsid w:val="00F35C44"/>
    <w:rsid w:val="00F43132"/>
    <w:rsid w:val="00F43779"/>
    <w:rsid w:val="00F570EF"/>
    <w:rsid w:val="00F710E4"/>
    <w:rsid w:val="00F85E8E"/>
    <w:rsid w:val="00F87D82"/>
    <w:rsid w:val="00FB3F6E"/>
    <w:rsid w:val="00FB69D2"/>
    <w:rsid w:val="00FB7801"/>
    <w:rsid w:val="00FC7B3A"/>
    <w:rsid w:val="00FE02DE"/>
    <w:rsid w:val="01014BD1"/>
    <w:rsid w:val="012A0989"/>
    <w:rsid w:val="013E1648"/>
    <w:rsid w:val="01611717"/>
    <w:rsid w:val="01755AB3"/>
    <w:rsid w:val="01A85D51"/>
    <w:rsid w:val="01D06B07"/>
    <w:rsid w:val="01E70628"/>
    <w:rsid w:val="022C2001"/>
    <w:rsid w:val="02581DA6"/>
    <w:rsid w:val="025F3147"/>
    <w:rsid w:val="028B483E"/>
    <w:rsid w:val="028C42D4"/>
    <w:rsid w:val="02BE582C"/>
    <w:rsid w:val="03220832"/>
    <w:rsid w:val="03327459"/>
    <w:rsid w:val="03497496"/>
    <w:rsid w:val="03650A96"/>
    <w:rsid w:val="036707DD"/>
    <w:rsid w:val="0374413D"/>
    <w:rsid w:val="038C76FD"/>
    <w:rsid w:val="04123CC2"/>
    <w:rsid w:val="04194CE4"/>
    <w:rsid w:val="041C0406"/>
    <w:rsid w:val="043E40D7"/>
    <w:rsid w:val="046737D9"/>
    <w:rsid w:val="04762137"/>
    <w:rsid w:val="04817429"/>
    <w:rsid w:val="04E11CA6"/>
    <w:rsid w:val="04FB0663"/>
    <w:rsid w:val="050E236F"/>
    <w:rsid w:val="054B711F"/>
    <w:rsid w:val="05515516"/>
    <w:rsid w:val="057523EE"/>
    <w:rsid w:val="059348DC"/>
    <w:rsid w:val="05B572BB"/>
    <w:rsid w:val="05B80C59"/>
    <w:rsid w:val="05E01E2E"/>
    <w:rsid w:val="05EA61AC"/>
    <w:rsid w:val="05FB0BD4"/>
    <w:rsid w:val="061C619F"/>
    <w:rsid w:val="064A387B"/>
    <w:rsid w:val="066A7A79"/>
    <w:rsid w:val="066F5B7A"/>
    <w:rsid w:val="06797B4A"/>
    <w:rsid w:val="06B331CE"/>
    <w:rsid w:val="06BE1F88"/>
    <w:rsid w:val="06C61153"/>
    <w:rsid w:val="06D50E5E"/>
    <w:rsid w:val="0717005F"/>
    <w:rsid w:val="0730192B"/>
    <w:rsid w:val="075229E7"/>
    <w:rsid w:val="076339FF"/>
    <w:rsid w:val="07797F74"/>
    <w:rsid w:val="07950B26"/>
    <w:rsid w:val="07B0770E"/>
    <w:rsid w:val="07D8746C"/>
    <w:rsid w:val="08114323"/>
    <w:rsid w:val="081A4268"/>
    <w:rsid w:val="084E7652"/>
    <w:rsid w:val="086A6259"/>
    <w:rsid w:val="087D5842"/>
    <w:rsid w:val="088411CF"/>
    <w:rsid w:val="08A46BE7"/>
    <w:rsid w:val="08A9165F"/>
    <w:rsid w:val="08BE63FA"/>
    <w:rsid w:val="08DC7E79"/>
    <w:rsid w:val="08E104C7"/>
    <w:rsid w:val="09166F09"/>
    <w:rsid w:val="09174568"/>
    <w:rsid w:val="091B49C3"/>
    <w:rsid w:val="09385C0D"/>
    <w:rsid w:val="094C2B98"/>
    <w:rsid w:val="09557FE2"/>
    <w:rsid w:val="095D54C9"/>
    <w:rsid w:val="096E422B"/>
    <w:rsid w:val="09750C0F"/>
    <w:rsid w:val="09FE6E56"/>
    <w:rsid w:val="0A125BED"/>
    <w:rsid w:val="0A137B98"/>
    <w:rsid w:val="0A65040E"/>
    <w:rsid w:val="0A6A6B05"/>
    <w:rsid w:val="0AC40DB3"/>
    <w:rsid w:val="0AC736EC"/>
    <w:rsid w:val="0AD61B81"/>
    <w:rsid w:val="0AD656DD"/>
    <w:rsid w:val="0AF76584"/>
    <w:rsid w:val="0B01732D"/>
    <w:rsid w:val="0B5807E8"/>
    <w:rsid w:val="0B914FBA"/>
    <w:rsid w:val="0BA92DA1"/>
    <w:rsid w:val="0BAE0BA9"/>
    <w:rsid w:val="0BC10559"/>
    <w:rsid w:val="0BC431A1"/>
    <w:rsid w:val="0C0B585A"/>
    <w:rsid w:val="0C3D6A52"/>
    <w:rsid w:val="0C5A15CF"/>
    <w:rsid w:val="0C5D1689"/>
    <w:rsid w:val="0C600A23"/>
    <w:rsid w:val="0C616F96"/>
    <w:rsid w:val="0C9615C8"/>
    <w:rsid w:val="0CA76120"/>
    <w:rsid w:val="0CAD1704"/>
    <w:rsid w:val="0D0831FC"/>
    <w:rsid w:val="0D2F0071"/>
    <w:rsid w:val="0D5A226B"/>
    <w:rsid w:val="0D7111BC"/>
    <w:rsid w:val="0D7314B4"/>
    <w:rsid w:val="0D8407DE"/>
    <w:rsid w:val="0D9B2259"/>
    <w:rsid w:val="0DBC03C3"/>
    <w:rsid w:val="0DC42EB2"/>
    <w:rsid w:val="0DC6615B"/>
    <w:rsid w:val="0DDB40CB"/>
    <w:rsid w:val="0E135FD1"/>
    <w:rsid w:val="0E39045D"/>
    <w:rsid w:val="0E42322F"/>
    <w:rsid w:val="0E484B44"/>
    <w:rsid w:val="0E553C61"/>
    <w:rsid w:val="0E59465B"/>
    <w:rsid w:val="0E6D0107"/>
    <w:rsid w:val="0EBE6BB4"/>
    <w:rsid w:val="0EC35F79"/>
    <w:rsid w:val="0EC436A4"/>
    <w:rsid w:val="0ECB3CD6"/>
    <w:rsid w:val="0ECC296B"/>
    <w:rsid w:val="0ED05493"/>
    <w:rsid w:val="0EDB4305"/>
    <w:rsid w:val="0EE7435D"/>
    <w:rsid w:val="0F017BB0"/>
    <w:rsid w:val="0F135B06"/>
    <w:rsid w:val="0F265124"/>
    <w:rsid w:val="0F274747"/>
    <w:rsid w:val="0F2E5AE8"/>
    <w:rsid w:val="0F4B264C"/>
    <w:rsid w:val="0F683E44"/>
    <w:rsid w:val="0F7D081D"/>
    <w:rsid w:val="0F9811B3"/>
    <w:rsid w:val="0F9B0CA3"/>
    <w:rsid w:val="0FB6371B"/>
    <w:rsid w:val="0FFC3E38"/>
    <w:rsid w:val="1021389E"/>
    <w:rsid w:val="1024127E"/>
    <w:rsid w:val="103433CE"/>
    <w:rsid w:val="10374E70"/>
    <w:rsid w:val="10663FDD"/>
    <w:rsid w:val="107309EB"/>
    <w:rsid w:val="107E484D"/>
    <w:rsid w:val="10801BFF"/>
    <w:rsid w:val="10861954"/>
    <w:rsid w:val="10882EFE"/>
    <w:rsid w:val="10E548CC"/>
    <w:rsid w:val="10EC17B7"/>
    <w:rsid w:val="10FD7E68"/>
    <w:rsid w:val="11201ECC"/>
    <w:rsid w:val="117619C8"/>
    <w:rsid w:val="11E903EC"/>
    <w:rsid w:val="11EB48D5"/>
    <w:rsid w:val="11F10C57"/>
    <w:rsid w:val="120B525B"/>
    <w:rsid w:val="12521AED"/>
    <w:rsid w:val="12696BD5"/>
    <w:rsid w:val="126E4C5E"/>
    <w:rsid w:val="12A44082"/>
    <w:rsid w:val="12B5775C"/>
    <w:rsid w:val="1367781A"/>
    <w:rsid w:val="137D5290"/>
    <w:rsid w:val="139A71DC"/>
    <w:rsid w:val="13AE369B"/>
    <w:rsid w:val="13C62793"/>
    <w:rsid w:val="14142421"/>
    <w:rsid w:val="146975C2"/>
    <w:rsid w:val="147A2735"/>
    <w:rsid w:val="147C4B4A"/>
    <w:rsid w:val="148B227F"/>
    <w:rsid w:val="149363ED"/>
    <w:rsid w:val="14B5271B"/>
    <w:rsid w:val="14BA14E9"/>
    <w:rsid w:val="14D42C8D"/>
    <w:rsid w:val="14E153AA"/>
    <w:rsid w:val="150C64A4"/>
    <w:rsid w:val="152E1713"/>
    <w:rsid w:val="152E740E"/>
    <w:rsid w:val="15545B7C"/>
    <w:rsid w:val="15565D98"/>
    <w:rsid w:val="155D1150"/>
    <w:rsid w:val="157C1E90"/>
    <w:rsid w:val="15990329"/>
    <w:rsid w:val="15B768B8"/>
    <w:rsid w:val="15BB5BFB"/>
    <w:rsid w:val="15BD7BC5"/>
    <w:rsid w:val="15D86F31"/>
    <w:rsid w:val="15DD3DC4"/>
    <w:rsid w:val="16084EFA"/>
    <w:rsid w:val="16532A9E"/>
    <w:rsid w:val="169052DA"/>
    <w:rsid w:val="16A071E2"/>
    <w:rsid w:val="16DF3B6C"/>
    <w:rsid w:val="16E96798"/>
    <w:rsid w:val="16F70E77"/>
    <w:rsid w:val="170E3AE7"/>
    <w:rsid w:val="179901BE"/>
    <w:rsid w:val="17AF79E2"/>
    <w:rsid w:val="17C4348D"/>
    <w:rsid w:val="17C552AF"/>
    <w:rsid w:val="17C77C33"/>
    <w:rsid w:val="17DE2021"/>
    <w:rsid w:val="17E02057"/>
    <w:rsid w:val="187529D9"/>
    <w:rsid w:val="18B02783"/>
    <w:rsid w:val="18B21538"/>
    <w:rsid w:val="18B2778A"/>
    <w:rsid w:val="18C74E98"/>
    <w:rsid w:val="18D577C1"/>
    <w:rsid w:val="18F4335B"/>
    <w:rsid w:val="19037FE5"/>
    <w:rsid w:val="191D21ED"/>
    <w:rsid w:val="194A1DD5"/>
    <w:rsid w:val="198E5F19"/>
    <w:rsid w:val="19937F1A"/>
    <w:rsid w:val="199E386A"/>
    <w:rsid w:val="19A302C9"/>
    <w:rsid w:val="19AA66B3"/>
    <w:rsid w:val="19DB2D10"/>
    <w:rsid w:val="19FB2406"/>
    <w:rsid w:val="19FE255B"/>
    <w:rsid w:val="1A0901AE"/>
    <w:rsid w:val="1A581BFA"/>
    <w:rsid w:val="1A673B1D"/>
    <w:rsid w:val="1A7171D0"/>
    <w:rsid w:val="1AAE3F81"/>
    <w:rsid w:val="1ABF1CEA"/>
    <w:rsid w:val="1AF51BB0"/>
    <w:rsid w:val="1B2F4538"/>
    <w:rsid w:val="1B4641B9"/>
    <w:rsid w:val="1B5C57A0"/>
    <w:rsid w:val="1B754A9E"/>
    <w:rsid w:val="1B780C2C"/>
    <w:rsid w:val="1B941BC4"/>
    <w:rsid w:val="1BE7774A"/>
    <w:rsid w:val="1BEA3899"/>
    <w:rsid w:val="1C1D13BE"/>
    <w:rsid w:val="1C374162"/>
    <w:rsid w:val="1C474D41"/>
    <w:rsid w:val="1C572AAD"/>
    <w:rsid w:val="1C583E4C"/>
    <w:rsid w:val="1C5E373E"/>
    <w:rsid w:val="1C5E654A"/>
    <w:rsid w:val="1C6E1C1A"/>
    <w:rsid w:val="1CC1721A"/>
    <w:rsid w:val="1CEB50BE"/>
    <w:rsid w:val="1CFD4D4B"/>
    <w:rsid w:val="1D0B4E33"/>
    <w:rsid w:val="1D1A36F2"/>
    <w:rsid w:val="1D1D0F4A"/>
    <w:rsid w:val="1D27750C"/>
    <w:rsid w:val="1D2D1C1B"/>
    <w:rsid w:val="1D30218A"/>
    <w:rsid w:val="1D6357BE"/>
    <w:rsid w:val="1D953DC8"/>
    <w:rsid w:val="1DA376A1"/>
    <w:rsid w:val="1DD36722"/>
    <w:rsid w:val="1DDD62F3"/>
    <w:rsid w:val="1DF93765"/>
    <w:rsid w:val="1E320A25"/>
    <w:rsid w:val="1E463FF0"/>
    <w:rsid w:val="1E484506"/>
    <w:rsid w:val="1E8C282B"/>
    <w:rsid w:val="1EB47A0E"/>
    <w:rsid w:val="1EDE7B7B"/>
    <w:rsid w:val="1F176748"/>
    <w:rsid w:val="1F3B5CB8"/>
    <w:rsid w:val="1F6C08A3"/>
    <w:rsid w:val="1F720853"/>
    <w:rsid w:val="1F871F6A"/>
    <w:rsid w:val="1FA71A10"/>
    <w:rsid w:val="1FBE4C66"/>
    <w:rsid w:val="1FC14756"/>
    <w:rsid w:val="1FEC17D3"/>
    <w:rsid w:val="20433848"/>
    <w:rsid w:val="207733F4"/>
    <w:rsid w:val="20A876A5"/>
    <w:rsid w:val="20CA1787"/>
    <w:rsid w:val="20D37767"/>
    <w:rsid w:val="20D81349"/>
    <w:rsid w:val="20E72B14"/>
    <w:rsid w:val="21091F11"/>
    <w:rsid w:val="21294481"/>
    <w:rsid w:val="216E446A"/>
    <w:rsid w:val="21725D08"/>
    <w:rsid w:val="2174752F"/>
    <w:rsid w:val="219914E7"/>
    <w:rsid w:val="21E04BB8"/>
    <w:rsid w:val="21E317D3"/>
    <w:rsid w:val="221943D6"/>
    <w:rsid w:val="222F3BF9"/>
    <w:rsid w:val="222F59A7"/>
    <w:rsid w:val="223376FE"/>
    <w:rsid w:val="226C6BFB"/>
    <w:rsid w:val="227E692E"/>
    <w:rsid w:val="22882E5E"/>
    <w:rsid w:val="229C018D"/>
    <w:rsid w:val="22A31EF1"/>
    <w:rsid w:val="22CA2B76"/>
    <w:rsid w:val="22CE51C0"/>
    <w:rsid w:val="22D8047F"/>
    <w:rsid w:val="231731DD"/>
    <w:rsid w:val="23474F72"/>
    <w:rsid w:val="237D63F9"/>
    <w:rsid w:val="238255CE"/>
    <w:rsid w:val="23946C16"/>
    <w:rsid w:val="23CD326C"/>
    <w:rsid w:val="240F3CE2"/>
    <w:rsid w:val="240F5A90"/>
    <w:rsid w:val="24174E5A"/>
    <w:rsid w:val="2471674B"/>
    <w:rsid w:val="247D056D"/>
    <w:rsid w:val="24A00DDE"/>
    <w:rsid w:val="24AA57B9"/>
    <w:rsid w:val="24CC572F"/>
    <w:rsid w:val="24CF77D7"/>
    <w:rsid w:val="24E30CCB"/>
    <w:rsid w:val="25084995"/>
    <w:rsid w:val="25186BC6"/>
    <w:rsid w:val="25381A81"/>
    <w:rsid w:val="257A518B"/>
    <w:rsid w:val="25956469"/>
    <w:rsid w:val="25C1100C"/>
    <w:rsid w:val="25C50864"/>
    <w:rsid w:val="26012088"/>
    <w:rsid w:val="261F460C"/>
    <w:rsid w:val="2621161D"/>
    <w:rsid w:val="26415CA9"/>
    <w:rsid w:val="266D6A9E"/>
    <w:rsid w:val="2670658E"/>
    <w:rsid w:val="26AC48E1"/>
    <w:rsid w:val="26D446D7"/>
    <w:rsid w:val="26E63841"/>
    <w:rsid w:val="270F224B"/>
    <w:rsid w:val="270F56F6"/>
    <w:rsid w:val="27143CDB"/>
    <w:rsid w:val="273A1295"/>
    <w:rsid w:val="27493E8A"/>
    <w:rsid w:val="277502DC"/>
    <w:rsid w:val="27992E69"/>
    <w:rsid w:val="279D1605"/>
    <w:rsid w:val="279F09BD"/>
    <w:rsid w:val="27A33DD7"/>
    <w:rsid w:val="27B34984"/>
    <w:rsid w:val="27CB056C"/>
    <w:rsid w:val="280D62E7"/>
    <w:rsid w:val="28276075"/>
    <w:rsid w:val="28550131"/>
    <w:rsid w:val="285768A3"/>
    <w:rsid w:val="28BB4846"/>
    <w:rsid w:val="28CB36B6"/>
    <w:rsid w:val="28CF3A40"/>
    <w:rsid w:val="28D97EE4"/>
    <w:rsid w:val="28E4442F"/>
    <w:rsid w:val="28E77727"/>
    <w:rsid w:val="28F33BD2"/>
    <w:rsid w:val="29220014"/>
    <w:rsid w:val="294F692F"/>
    <w:rsid w:val="29A502AE"/>
    <w:rsid w:val="29AE0DEF"/>
    <w:rsid w:val="29B9024C"/>
    <w:rsid w:val="29C27101"/>
    <w:rsid w:val="29E4345F"/>
    <w:rsid w:val="2A1A6F3D"/>
    <w:rsid w:val="2A1B3E58"/>
    <w:rsid w:val="2A260567"/>
    <w:rsid w:val="2A4A5E53"/>
    <w:rsid w:val="2A8820F8"/>
    <w:rsid w:val="2AA34584"/>
    <w:rsid w:val="2AE3575B"/>
    <w:rsid w:val="2AEE311E"/>
    <w:rsid w:val="2AF75C9C"/>
    <w:rsid w:val="2B0A38B2"/>
    <w:rsid w:val="2B34402E"/>
    <w:rsid w:val="2B3E75BA"/>
    <w:rsid w:val="2B48304D"/>
    <w:rsid w:val="2B4C53E2"/>
    <w:rsid w:val="2B6150AD"/>
    <w:rsid w:val="2B763EB8"/>
    <w:rsid w:val="2B9D6077"/>
    <w:rsid w:val="2BB313F7"/>
    <w:rsid w:val="2C1C3440"/>
    <w:rsid w:val="2C804C09"/>
    <w:rsid w:val="2C8B2374"/>
    <w:rsid w:val="2C8C43C3"/>
    <w:rsid w:val="2CA156F3"/>
    <w:rsid w:val="2CC0729F"/>
    <w:rsid w:val="2CF62CA5"/>
    <w:rsid w:val="2D0D2D89"/>
    <w:rsid w:val="2D20116C"/>
    <w:rsid w:val="2D2D51D9"/>
    <w:rsid w:val="2D413639"/>
    <w:rsid w:val="2D5E4FD6"/>
    <w:rsid w:val="2D9E72AB"/>
    <w:rsid w:val="2D9F1045"/>
    <w:rsid w:val="2DE75388"/>
    <w:rsid w:val="2E057F04"/>
    <w:rsid w:val="2E077F5C"/>
    <w:rsid w:val="2E237010"/>
    <w:rsid w:val="2E3B3926"/>
    <w:rsid w:val="2EA513BD"/>
    <w:rsid w:val="2EB77450"/>
    <w:rsid w:val="2EB82CA4"/>
    <w:rsid w:val="2ED2702B"/>
    <w:rsid w:val="2ED578D6"/>
    <w:rsid w:val="2F067A90"/>
    <w:rsid w:val="2F104DB2"/>
    <w:rsid w:val="2F3B37D1"/>
    <w:rsid w:val="2F3F2FA2"/>
    <w:rsid w:val="2F9E02E9"/>
    <w:rsid w:val="2FBA7171"/>
    <w:rsid w:val="2FE73D65"/>
    <w:rsid w:val="2FFD64DA"/>
    <w:rsid w:val="30014B5D"/>
    <w:rsid w:val="300F38AF"/>
    <w:rsid w:val="30206483"/>
    <w:rsid w:val="30275A46"/>
    <w:rsid w:val="305767D4"/>
    <w:rsid w:val="307A24E3"/>
    <w:rsid w:val="308570DA"/>
    <w:rsid w:val="308C2216"/>
    <w:rsid w:val="309806DD"/>
    <w:rsid w:val="30AE0ED5"/>
    <w:rsid w:val="30BC0D4E"/>
    <w:rsid w:val="30C050A5"/>
    <w:rsid w:val="30CC6AB7"/>
    <w:rsid w:val="30E769B6"/>
    <w:rsid w:val="312A5399"/>
    <w:rsid w:val="31307046"/>
    <w:rsid w:val="31537518"/>
    <w:rsid w:val="31DD5420"/>
    <w:rsid w:val="32046DF3"/>
    <w:rsid w:val="320907A8"/>
    <w:rsid w:val="32305E09"/>
    <w:rsid w:val="32342B66"/>
    <w:rsid w:val="32451796"/>
    <w:rsid w:val="32A777DC"/>
    <w:rsid w:val="32C97752"/>
    <w:rsid w:val="32CE4D68"/>
    <w:rsid w:val="32D30E85"/>
    <w:rsid w:val="32D32CB9"/>
    <w:rsid w:val="32E0684A"/>
    <w:rsid w:val="331C5AD4"/>
    <w:rsid w:val="33266952"/>
    <w:rsid w:val="333F5C66"/>
    <w:rsid w:val="33435AC0"/>
    <w:rsid w:val="336E778A"/>
    <w:rsid w:val="336F02F9"/>
    <w:rsid w:val="33B2468A"/>
    <w:rsid w:val="33DB773D"/>
    <w:rsid w:val="344F71C4"/>
    <w:rsid w:val="345C0152"/>
    <w:rsid w:val="34674F14"/>
    <w:rsid w:val="349659FC"/>
    <w:rsid w:val="34E5037B"/>
    <w:rsid w:val="34E90070"/>
    <w:rsid w:val="356C7FFC"/>
    <w:rsid w:val="35711E07"/>
    <w:rsid w:val="359C2EFC"/>
    <w:rsid w:val="35AD5279"/>
    <w:rsid w:val="35DF60E0"/>
    <w:rsid w:val="35E27A2F"/>
    <w:rsid w:val="35EE5420"/>
    <w:rsid w:val="360F36CE"/>
    <w:rsid w:val="36142C67"/>
    <w:rsid w:val="36321AB2"/>
    <w:rsid w:val="36577023"/>
    <w:rsid w:val="366A034F"/>
    <w:rsid w:val="36730AC0"/>
    <w:rsid w:val="36991D0E"/>
    <w:rsid w:val="36A06C35"/>
    <w:rsid w:val="36DD01E2"/>
    <w:rsid w:val="36DE72F9"/>
    <w:rsid w:val="36E4569E"/>
    <w:rsid w:val="36EB51C6"/>
    <w:rsid w:val="36EF417B"/>
    <w:rsid w:val="371371EE"/>
    <w:rsid w:val="37296A11"/>
    <w:rsid w:val="373619EC"/>
    <w:rsid w:val="37555A58"/>
    <w:rsid w:val="376E6B1A"/>
    <w:rsid w:val="377C1237"/>
    <w:rsid w:val="37C27A26"/>
    <w:rsid w:val="37CD44D8"/>
    <w:rsid w:val="37D22C05"/>
    <w:rsid w:val="37DC1CD5"/>
    <w:rsid w:val="37F47148"/>
    <w:rsid w:val="380F5C07"/>
    <w:rsid w:val="381104DB"/>
    <w:rsid w:val="386D5023"/>
    <w:rsid w:val="38795776"/>
    <w:rsid w:val="387C7928"/>
    <w:rsid w:val="38B55C50"/>
    <w:rsid w:val="38BE5E78"/>
    <w:rsid w:val="38EB61CD"/>
    <w:rsid w:val="391D3E89"/>
    <w:rsid w:val="392C1112"/>
    <w:rsid w:val="39382F3B"/>
    <w:rsid w:val="39695070"/>
    <w:rsid w:val="39811125"/>
    <w:rsid w:val="39833969"/>
    <w:rsid w:val="39934616"/>
    <w:rsid w:val="39CE7BFF"/>
    <w:rsid w:val="39FA4695"/>
    <w:rsid w:val="3A30027D"/>
    <w:rsid w:val="3A35391F"/>
    <w:rsid w:val="3A3E6C77"/>
    <w:rsid w:val="3A47039F"/>
    <w:rsid w:val="3A52690A"/>
    <w:rsid w:val="3A830B2E"/>
    <w:rsid w:val="3AC5357D"/>
    <w:rsid w:val="3ACA4067"/>
    <w:rsid w:val="3ADD3471"/>
    <w:rsid w:val="3AEC169A"/>
    <w:rsid w:val="3AEE7F30"/>
    <w:rsid w:val="3AFC4912"/>
    <w:rsid w:val="3B16696F"/>
    <w:rsid w:val="3B443E1A"/>
    <w:rsid w:val="3B4F27BE"/>
    <w:rsid w:val="3B5129DA"/>
    <w:rsid w:val="3B5C3C1B"/>
    <w:rsid w:val="3B6224F2"/>
    <w:rsid w:val="3B955EF5"/>
    <w:rsid w:val="3C014BEF"/>
    <w:rsid w:val="3C0812EB"/>
    <w:rsid w:val="3C0F6DD9"/>
    <w:rsid w:val="3C17152E"/>
    <w:rsid w:val="3C201875"/>
    <w:rsid w:val="3C297E1A"/>
    <w:rsid w:val="3C421924"/>
    <w:rsid w:val="3C4D150F"/>
    <w:rsid w:val="3CB21257"/>
    <w:rsid w:val="3CBB635D"/>
    <w:rsid w:val="3CC701F0"/>
    <w:rsid w:val="3CCA4DE6"/>
    <w:rsid w:val="3CDE3DFA"/>
    <w:rsid w:val="3CE04446"/>
    <w:rsid w:val="3CFB4687"/>
    <w:rsid w:val="3D2959BD"/>
    <w:rsid w:val="3D2C3889"/>
    <w:rsid w:val="3D3D3216"/>
    <w:rsid w:val="3D5871C5"/>
    <w:rsid w:val="3D78255B"/>
    <w:rsid w:val="3D9F17DB"/>
    <w:rsid w:val="3DC2371B"/>
    <w:rsid w:val="3DCC459A"/>
    <w:rsid w:val="3DD516A1"/>
    <w:rsid w:val="3DE70F0C"/>
    <w:rsid w:val="3DE96EFA"/>
    <w:rsid w:val="3DF022AF"/>
    <w:rsid w:val="3E0A6591"/>
    <w:rsid w:val="3E1201FF"/>
    <w:rsid w:val="3E3671A0"/>
    <w:rsid w:val="3E3D0FF4"/>
    <w:rsid w:val="3E5F71BC"/>
    <w:rsid w:val="3E7F160D"/>
    <w:rsid w:val="3E950E30"/>
    <w:rsid w:val="3E95498C"/>
    <w:rsid w:val="3EAD1CD6"/>
    <w:rsid w:val="3EEA334C"/>
    <w:rsid w:val="3F0044FB"/>
    <w:rsid w:val="3F0E69C5"/>
    <w:rsid w:val="3F33668F"/>
    <w:rsid w:val="3F4C08B1"/>
    <w:rsid w:val="3F8A0269"/>
    <w:rsid w:val="3F8C1CD0"/>
    <w:rsid w:val="3FAE03FB"/>
    <w:rsid w:val="3FB83028"/>
    <w:rsid w:val="3FB84044"/>
    <w:rsid w:val="3FB97B2C"/>
    <w:rsid w:val="3FE414E5"/>
    <w:rsid w:val="3FEB51AC"/>
    <w:rsid w:val="3FF61CE9"/>
    <w:rsid w:val="402A681D"/>
    <w:rsid w:val="40493C80"/>
    <w:rsid w:val="4087625D"/>
    <w:rsid w:val="40955117"/>
    <w:rsid w:val="40B557B9"/>
    <w:rsid w:val="40BE18B1"/>
    <w:rsid w:val="40DA1607"/>
    <w:rsid w:val="40FA1B17"/>
    <w:rsid w:val="41274CAB"/>
    <w:rsid w:val="414406CC"/>
    <w:rsid w:val="41455FD5"/>
    <w:rsid w:val="415961E0"/>
    <w:rsid w:val="41674AC2"/>
    <w:rsid w:val="41890DDE"/>
    <w:rsid w:val="41B812DD"/>
    <w:rsid w:val="41FC2A4E"/>
    <w:rsid w:val="420132A7"/>
    <w:rsid w:val="423821FE"/>
    <w:rsid w:val="427E5CA6"/>
    <w:rsid w:val="4290203A"/>
    <w:rsid w:val="42A50274"/>
    <w:rsid w:val="42BA45F0"/>
    <w:rsid w:val="42D14645"/>
    <w:rsid w:val="43013588"/>
    <w:rsid w:val="430F6BBE"/>
    <w:rsid w:val="430F7403"/>
    <w:rsid w:val="43476B9D"/>
    <w:rsid w:val="438F09FE"/>
    <w:rsid w:val="43947908"/>
    <w:rsid w:val="43D032E5"/>
    <w:rsid w:val="448C6831"/>
    <w:rsid w:val="4499762F"/>
    <w:rsid w:val="44A91191"/>
    <w:rsid w:val="44B4325F"/>
    <w:rsid w:val="453942C3"/>
    <w:rsid w:val="454809AA"/>
    <w:rsid w:val="458559F8"/>
    <w:rsid w:val="459C7B2D"/>
    <w:rsid w:val="45AA6F6F"/>
    <w:rsid w:val="45AF27D7"/>
    <w:rsid w:val="45B95404"/>
    <w:rsid w:val="45D00ABC"/>
    <w:rsid w:val="45DC1628"/>
    <w:rsid w:val="45F3486E"/>
    <w:rsid w:val="45F621B4"/>
    <w:rsid w:val="46132EB7"/>
    <w:rsid w:val="46685ED1"/>
    <w:rsid w:val="46F74436"/>
    <w:rsid w:val="4705213A"/>
    <w:rsid w:val="471F0E3D"/>
    <w:rsid w:val="47257438"/>
    <w:rsid w:val="47414FC8"/>
    <w:rsid w:val="475A7BB6"/>
    <w:rsid w:val="47C64490"/>
    <w:rsid w:val="47C86CBC"/>
    <w:rsid w:val="47E807A5"/>
    <w:rsid w:val="481742E1"/>
    <w:rsid w:val="485853A8"/>
    <w:rsid w:val="487A3570"/>
    <w:rsid w:val="489B7B1D"/>
    <w:rsid w:val="48C04CFB"/>
    <w:rsid w:val="48C57B58"/>
    <w:rsid w:val="48D94EA7"/>
    <w:rsid w:val="48DA7B6B"/>
    <w:rsid w:val="4901395C"/>
    <w:rsid w:val="491D3EFC"/>
    <w:rsid w:val="492343BD"/>
    <w:rsid w:val="49337553"/>
    <w:rsid w:val="49417EAE"/>
    <w:rsid w:val="49420B00"/>
    <w:rsid w:val="495F2766"/>
    <w:rsid w:val="497B16FA"/>
    <w:rsid w:val="49BE123B"/>
    <w:rsid w:val="49D833B3"/>
    <w:rsid w:val="4A02381D"/>
    <w:rsid w:val="4A032D87"/>
    <w:rsid w:val="4A6E1AF1"/>
    <w:rsid w:val="4A8E3303"/>
    <w:rsid w:val="4A9F2ECE"/>
    <w:rsid w:val="4ACF7478"/>
    <w:rsid w:val="4AEE3DA2"/>
    <w:rsid w:val="4AF55130"/>
    <w:rsid w:val="4B2B38F6"/>
    <w:rsid w:val="4B5E0F27"/>
    <w:rsid w:val="4B6B71A0"/>
    <w:rsid w:val="4B7D0C82"/>
    <w:rsid w:val="4B826729"/>
    <w:rsid w:val="4BBE22DE"/>
    <w:rsid w:val="4C0A07FA"/>
    <w:rsid w:val="4C2171C8"/>
    <w:rsid w:val="4C2C4B82"/>
    <w:rsid w:val="4C6D1D22"/>
    <w:rsid w:val="4C9A1F5F"/>
    <w:rsid w:val="4CAF130F"/>
    <w:rsid w:val="4CE33410"/>
    <w:rsid w:val="4D07739D"/>
    <w:rsid w:val="4D276D24"/>
    <w:rsid w:val="4D377285"/>
    <w:rsid w:val="4D5A127B"/>
    <w:rsid w:val="4D6A1997"/>
    <w:rsid w:val="4D7311B2"/>
    <w:rsid w:val="4D8602C2"/>
    <w:rsid w:val="4DAB590F"/>
    <w:rsid w:val="4DCB6551"/>
    <w:rsid w:val="4DD523D1"/>
    <w:rsid w:val="4DD958BA"/>
    <w:rsid w:val="4DED20EF"/>
    <w:rsid w:val="4DFD5061"/>
    <w:rsid w:val="4E094A4F"/>
    <w:rsid w:val="4E21448E"/>
    <w:rsid w:val="4E2201C1"/>
    <w:rsid w:val="4E41243B"/>
    <w:rsid w:val="4E632204"/>
    <w:rsid w:val="4EA368E2"/>
    <w:rsid w:val="4EB175C0"/>
    <w:rsid w:val="4EC70B92"/>
    <w:rsid w:val="4EE16469"/>
    <w:rsid w:val="4EE33E75"/>
    <w:rsid w:val="4EF162D8"/>
    <w:rsid w:val="4F14350B"/>
    <w:rsid w:val="4F1B6D4A"/>
    <w:rsid w:val="4F5145AF"/>
    <w:rsid w:val="4F74239C"/>
    <w:rsid w:val="4FA87857"/>
    <w:rsid w:val="4FB355BA"/>
    <w:rsid w:val="4FEE65F2"/>
    <w:rsid w:val="4FF82EF1"/>
    <w:rsid w:val="50146059"/>
    <w:rsid w:val="50306C0B"/>
    <w:rsid w:val="50D253CB"/>
    <w:rsid w:val="50D7144B"/>
    <w:rsid w:val="50E84DEF"/>
    <w:rsid w:val="50F9524E"/>
    <w:rsid w:val="51134562"/>
    <w:rsid w:val="51295B34"/>
    <w:rsid w:val="514F2DAA"/>
    <w:rsid w:val="51526D24"/>
    <w:rsid w:val="51545C27"/>
    <w:rsid w:val="51603E97"/>
    <w:rsid w:val="51815A38"/>
    <w:rsid w:val="51903D7C"/>
    <w:rsid w:val="51A76853"/>
    <w:rsid w:val="51D03D1F"/>
    <w:rsid w:val="51E8779D"/>
    <w:rsid w:val="51FA74D0"/>
    <w:rsid w:val="52141D9C"/>
    <w:rsid w:val="525C4642"/>
    <w:rsid w:val="527F1783"/>
    <w:rsid w:val="528C0A20"/>
    <w:rsid w:val="52A25C20"/>
    <w:rsid w:val="52C866C0"/>
    <w:rsid w:val="52CB7904"/>
    <w:rsid w:val="52CD6993"/>
    <w:rsid w:val="52D65641"/>
    <w:rsid w:val="52DB7417"/>
    <w:rsid w:val="5317453A"/>
    <w:rsid w:val="53294465"/>
    <w:rsid w:val="532A389D"/>
    <w:rsid w:val="533D4B9F"/>
    <w:rsid w:val="535D3873"/>
    <w:rsid w:val="5362532D"/>
    <w:rsid w:val="537868FE"/>
    <w:rsid w:val="539F20DD"/>
    <w:rsid w:val="53B84BFD"/>
    <w:rsid w:val="53BA3CE2"/>
    <w:rsid w:val="53C67540"/>
    <w:rsid w:val="53FA37B7"/>
    <w:rsid w:val="53FF492A"/>
    <w:rsid w:val="540D48E8"/>
    <w:rsid w:val="54420CBA"/>
    <w:rsid w:val="54424EA8"/>
    <w:rsid w:val="544C57DE"/>
    <w:rsid w:val="546D21DB"/>
    <w:rsid w:val="54AD3CB4"/>
    <w:rsid w:val="54B76E15"/>
    <w:rsid w:val="551F1AA0"/>
    <w:rsid w:val="552705DC"/>
    <w:rsid w:val="552A59D6"/>
    <w:rsid w:val="55376098"/>
    <w:rsid w:val="55512888"/>
    <w:rsid w:val="555962BC"/>
    <w:rsid w:val="55627866"/>
    <w:rsid w:val="55945546"/>
    <w:rsid w:val="5595069F"/>
    <w:rsid w:val="55A66DA3"/>
    <w:rsid w:val="55D818D6"/>
    <w:rsid w:val="55E90043"/>
    <w:rsid w:val="561A1EEF"/>
    <w:rsid w:val="563F1955"/>
    <w:rsid w:val="5640122A"/>
    <w:rsid w:val="564D18D9"/>
    <w:rsid w:val="56586573"/>
    <w:rsid w:val="569A3F08"/>
    <w:rsid w:val="56A47BB9"/>
    <w:rsid w:val="56AB2B47"/>
    <w:rsid w:val="56E147BB"/>
    <w:rsid w:val="56F50266"/>
    <w:rsid w:val="573B7A20"/>
    <w:rsid w:val="5748483A"/>
    <w:rsid w:val="5765487C"/>
    <w:rsid w:val="57723665"/>
    <w:rsid w:val="577E025B"/>
    <w:rsid w:val="577E46FF"/>
    <w:rsid w:val="57CC3242"/>
    <w:rsid w:val="57EC6503"/>
    <w:rsid w:val="57FF062B"/>
    <w:rsid w:val="5814296E"/>
    <w:rsid w:val="58501F10"/>
    <w:rsid w:val="58B33BE7"/>
    <w:rsid w:val="58B845B8"/>
    <w:rsid w:val="58CB3F12"/>
    <w:rsid w:val="58CC7CD0"/>
    <w:rsid w:val="58CF3AAB"/>
    <w:rsid w:val="5919648E"/>
    <w:rsid w:val="593B0E03"/>
    <w:rsid w:val="595B6AA6"/>
    <w:rsid w:val="59842AF5"/>
    <w:rsid w:val="59906988"/>
    <w:rsid w:val="59A23E43"/>
    <w:rsid w:val="59A3044D"/>
    <w:rsid w:val="59A7242B"/>
    <w:rsid w:val="59AD7739"/>
    <w:rsid w:val="59D8684B"/>
    <w:rsid w:val="59D869A1"/>
    <w:rsid w:val="5A24333C"/>
    <w:rsid w:val="5A615BE8"/>
    <w:rsid w:val="5A985C6F"/>
    <w:rsid w:val="5AB62572"/>
    <w:rsid w:val="5AD11543"/>
    <w:rsid w:val="5AD92060"/>
    <w:rsid w:val="5AFC7E15"/>
    <w:rsid w:val="5B0C080A"/>
    <w:rsid w:val="5B413B4E"/>
    <w:rsid w:val="5B6854AA"/>
    <w:rsid w:val="5B7D3596"/>
    <w:rsid w:val="5B9938B6"/>
    <w:rsid w:val="5B9B762E"/>
    <w:rsid w:val="5B9C2ADE"/>
    <w:rsid w:val="5BA504AD"/>
    <w:rsid w:val="5BF06B5A"/>
    <w:rsid w:val="5C221AFD"/>
    <w:rsid w:val="5C3D2493"/>
    <w:rsid w:val="5C4952DC"/>
    <w:rsid w:val="5C751D0F"/>
    <w:rsid w:val="5C814A76"/>
    <w:rsid w:val="5CAF63E9"/>
    <w:rsid w:val="5CB01471"/>
    <w:rsid w:val="5CC11B0B"/>
    <w:rsid w:val="5CEF713C"/>
    <w:rsid w:val="5D0428DA"/>
    <w:rsid w:val="5D0B6EAB"/>
    <w:rsid w:val="5D32792B"/>
    <w:rsid w:val="5D526412"/>
    <w:rsid w:val="5D867621"/>
    <w:rsid w:val="5D912FBB"/>
    <w:rsid w:val="5DAB0700"/>
    <w:rsid w:val="5DC818E3"/>
    <w:rsid w:val="5DCD3CEB"/>
    <w:rsid w:val="5DEA21A7"/>
    <w:rsid w:val="5E4C1DD3"/>
    <w:rsid w:val="5E783C56"/>
    <w:rsid w:val="5EBF0D27"/>
    <w:rsid w:val="5ED35331"/>
    <w:rsid w:val="5F032708"/>
    <w:rsid w:val="5F3F09F3"/>
    <w:rsid w:val="5F6925D6"/>
    <w:rsid w:val="5FAB1E0A"/>
    <w:rsid w:val="5FB2423F"/>
    <w:rsid w:val="5FC5111D"/>
    <w:rsid w:val="5FCD1D80"/>
    <w:rsid w:val="5FCE4022"/>
    <w:rsid w:val="5FED5F7E"/>
    <w:rsid w:val="600C4FB5"/>
    <w:rsid w:val="601E082E"/>
    <w:rsid w:val="602045A6"/>
    <w:rsid w:val="6021169B"/>
    <w:rsid w:val="60536729"/>
    <w:rsid w:val="60635F68"/>
    <w:rsid w:val="60911C97"/>
    <w:rsid w:val="60934357"/>
    <w:rsid w:val="6094289E"/>
    <w:rsid w:val="60AC5E39"/>
    <w:rsid w:val="60BA6317"/>
    <w:rsid w:val="60FF065F"/>
    <w:rsid w:val="6115578D"/>
    <w:rsid w:val="61163A73"/>
    <w:rsid w:val="61434676"/>
    <w:rsid w:val="616B6A14"/>
    <w:rsid w:val="617B4C32"/>
    <w:rsid w:val="619C7C5C"/>
    <w:rsid w:val="61D05B58"/>
    <w:rsid w:val="620266B4"/>
    <w:rsid w:val="621E4B15"/>
    <w:rsid w:val="6227678F"/>
    <w:rsid w:val="62380563"/>
    <w:rsid w:val="62944DD7"/>
    <w:rsid w:val="62AC3ECF"/>
    <w:rsid w:val="62B64C80"/>
    <w:rsid w:val="62F80ABF"/>
    <w:rsid w:val="63514602"/>
    <w:rsid w:val="63604CB9"/>
    <w:rsid w:val="63913F53"/>
    <w:rsid w:val="63CF5F7F"/>
    <w:rsid w:val="63D65FB5"/>
    <w:rsid w:val="63E678B4"/>
    <w:rsid w:val="63F1388A"/>
    <w:rsid w:val="63F142B9"/>
    <w:rsid w:val="640454F6"/>
    <w:rsid w:val="64340620"/>
    <w:rsid w:val="644665A5"/>
    <w:rsid w:val="64540911"/>
    <w:rsid w:val="647861FA"/>
    <w:rsid w:val="64994927"/>
    <w:rsid w:val="64B64137"/>
    <w:rsid w:val="64C17C5F"/>
    <w:rsid w:val="64DF0EC5"/>
    <w:rsid w:val="64E536C8"/>
    <w:rsid w:val="65006754"/>
    <w:rsid w:val="65130235"/>
    <w:rsid w:val="652F2B95"/>
    <w:rsid w:val="653E2DAD"/>
    <w:rsid w:val="653E368B"/>
    <w:rsid w:val="65404DA2"/>
    <w:rsid w:val="655D7702"/>
    <w:rsid w:val="6593581A"/>
    <w:rsid w:val="65DF0762"/>
    <w:rsid w:val="65EF4235"/>
    <w:rsid w:val="65EF4E58"/>
    <w:rsid w:val="65F252B7"/>
    <w:rsid w:val="65F91B21"/>
    <w:rsid w:val="663F32AC"/>
    <w:rsid w:val="667A42E4"/>
    <w:rsid w:val="668148AD"/>
    <w:rsid w:val="66821369"/>
    <w:rsid w:val="668F5123"/>
    <w:rsid w:val="66B24BCA"/>
    <w:rsid w:val="66CD2666"/>
    <w:rsid w:val="670A2F0D"/>
    <w:rsid w:val="672030DD"/>
    <w:rsid w:val="67722AFF"/>
    <w:rsid w:val="677C6274"/>
    <w:rsid w:val="677C66A3"/>
    <w:rsid w:val="67A755AC"/>
    <w:rsid w:val="67AB0998"/>
    <w:rsid w:val="67B53825"/>
    <w:rsid w:val="67C6270C"/>
    <w:rsid w:val="67F72090"/>
    <w:rsid w:val="67F8638F"/>
    <w:rsid w:val="68064081"/>
    <w:rsid w:val="681C5653"/>
    <w:rsid w:val="68242759"/>
    <w:rsid w:val="683A01CF"/>
    <w:rsid w:val="683A06B9"/>
    <w:rsid w:val="68885872"/>
    <w:rsid w:val="68B32DE2"/>
    <w:rsid w:val="68B45BC5"/>
    <w:rsid w:val="68BE26D0"/>
    <w:rsid w:val="68F110E5"/>
    <w:rsid w:val="68F465CF"/>
    <w:rsid w:val="69164798"/>
    <w:rsid w:val="692844CB"/>
    <w:rsid w:val="6932184B"/>
    <w:rsid w:val="6941503B"/>
    <w:rsid w:val="695712CD"/>
    <w:rsid w:val="69575224"/>
    <w:rsid w:val="696049CB"/>
    <w:rsid w:val="696C1D01"/>
    <w:rsid w:val="69B22332"/>
    <w:rsid w:val="69BD2E65"/>
    <w:rsid w:val="69E540D2"/>
    <w:rsid w:val="69E76134"/>
    <w:rsid w:val="69F11830"/>
    <w:rsid w:val="6A1C729D"/>
    <w:rsid w:val="6A2B2C4A"/>
    <w:rsid w:val="6A4515A4"/>
    <w:rsid w:val="6A456D90"/>
    <w:rsid w:val="6A505A87"/>
    <w:rsid w:val="6A506A69"/>
    <w:rsid w:val="6A7C687C"/>
    <w:rsid w:val="6A9D2222"/>
    <w:rsid w:val="6AAA38B1"/>
    <w:rsid w:val="6AAB0F10"/>
    <w:rsid w:val="6ABE0C43"/>
    <w:rsid w:val="6B0A3E88"/>
    <w:rsid w:val="6B8F3943"/>
    <w:rsid w:val="6B9320D0"/>
    <w:rsid w:val="6B945E48"/>
    <w:rsid w:val="6B985938"/>
    <w:rsid w:val="6BBE618F"/>
    <w:rsid w:val="6BDF3567"/>
    <w:rsid w:val="6BE12155"/>
    <w:rsid w:val="6C1256EA"/>
    <w:rsid w:val="6C166100"/>
    <w:rsid w:val="6C1A459F"/>
    <w:rsid w:val="6C582BBA"/>
    <w:rsid w:val="6C853499"/>
    <w:rsid w:val="6C921C3C"/>
    <w:rsid w:val="6CAF404C"/>
    <w:rsid w:val="6CC31FE2"/>
    <w:rsid w:val="6CC82CD0"/>
    <w:rsid w:val="6CCE0EE6"/>
    <w:rsid w:val="6CD52274"/>
    <w:rsid w:val="6CE16E6B"/>
    <w:rsid w:val="6CFA7F2C"/>
    <w:rsid w:val="6CFC127E"/>
    <w:rsid w:val="6D0019E7"/>
    <w:rsid w:val="6D4406B3"/>
    <w:rsid w:val="6D4F64CA"/>
    <w:rsid w:val="6D576451"/>
    <w:rsid w:val="6D6B694B"/>
    <w:rsid w:val="6D7A3958"/>
    <w:rsid w:val="6D9B4673"/>
    <w:rsid w:val="6D9D5A27"/>
    <w:rsid w:val="6D9D7236"/>
    <w:rsid w:val="6DB70DD5"/>
    <w:rsid w:val="6DC12F1F"/>
    <w:rsid w:val="6DC5473B"/>
    <w:rsid w:val="6DD4629B"/>
    <w:rsid w:val="6DF10468"/>
    <w:rsid w:val="6E0F5B67"/>
    <w:rsid w:val="6E296D1B"/>
    <w:rsid w:val="6E405E13"/>
    <w:rsid w:val="6E505107"/>
    <w:rsid w:val="6E571008"/>
    <w:rsid w:val="6E655C21"/>
    <w:rsid w:val="6EA6501C"/>
    <w:rsid w:val="6EBD0B6D"/>
    <w:rsid w:val="6EC46CF0"/>
    <w:rsid w:val="6ED44E66"/>
    <w:rsid w:val="6ED95F98"/>
    <w:rsid w:val="6EFA2994"/>
    <w:rsid w:val="6EFA632B"/>
    <w:rsid w:val="6F111E0E"/>
    <w:rsid w:val="6F1969AF"/>
    <w:rsid w:val="6F280462"/>
    <w:rsid w:val="6F29042E"/>
    <w:rsid w:val="6F2B0871"/>
    <w:rsid w:val="6F2C60ED"/>
    <w:rsid w:val="6F4B0F13"/>
    <w:rsid w:val="6F7A7FB1"/>
    <w:rsid w:val="6F7B5355"/>
    <w:rsid w:val="6F7F381F"/>
    <w:rsid w:val="6FC923C6"/>
    <w:rsid w:val="6FE470E3"/>
    <w:rsid w:val="70014A53"/>
    <w:rsid w:val="701B6B38"/>
    <w:rsid w:val="70295AB0"/>
    <w:rsid w:val="702F5A8F"/>
    <w:rsid w:val="705236DC"/>
    <w:rsid w:val="708B7819"/>
    <w:rsid w:val="70926DFA"/>
    <w:rsid w:val="70B52AE8"/>
    <w:rsid w:val="70B650D1"/>
    <w:rsid w:val="70CA31A6"/>
    <w:rsid w:val="71017ADB"/>
    <w:rsid w:val="71175551"/>
    <w:rsid w:val="711D317F"/>
    <w:rsid w:val="714114F1"/>
    <w:rsid w:val="71551BD5"/>
    <w:rsid w:val="718E6A89"/>
    <w:rsid w:val="71AD7C63"/>
    <w:rsid w:val="71B615C9"/>
    <w:rsid w:val="71CE1FDE"/>
    <w:rsid w:val="71D945B4"/>
    <w:rsid w:val="71ED1E0E"/>
    <w:rsid w:val="71EF1187"/>
    <w:rsid w:val="71FB09CF"/>
    <w:rsid w:val="72077373"/>
    <w:rsid w:val="721244D7"/>
    <w:rsid w:val="72203F91"/>
    <w:rsid w:val="72283D67"/>
    <w:rsid w:val="722E78BF"/>
    <w:rsid w:val="722F6844"/>
    <w:rsid w:val="724573D2"/>
    <w:rsid w:val="72BD7A32"/>
    <w:rsid w:val="7309711B"/>
    <w:rsid w:val="730D0E41"/>
    <w:rsid w:val="73137F9A"/>
    <w:rsid w:val="73206BE8"/>
    <w:rsid w:val="732A3C85"/>
    <w:rsid w:val="733F3A4D"/>
    <w:rsid w:val="73520AC2"/>
    <w:rsid w:val="738B13C8"/>
    <w:rsid w:val="738D5882"/>
    <w:rsid w:val="73A22088"/>
    <w:rsid w:val="73AC0021"/>
    <w:rsid w:val="73D4630D"/>
    <w:rsid w:val="74177616"/>
    <w:rsid w:val="74432F8A"/>
    <w:rsid w:val="74477EFB"/>
    <w:rsid w:val="74566390"/>
    <w:rsid w:val="74602D6B"/>
    <w:rsid w:val="746B2CD3"/>
    <w:rsid w:val="74AB3C69"/>
    <w:rsid w:val="74ED3222"/>
    <w:rsid w:val="750E27C7"/>
    <w:rsid w:val="752D51FF"/>
    <w:rsid w:val="75320979"/>
    <w:rsid w:val="754733E1"/>
    <w:rsid w:val="75494F11"/>
    <w:rsid w:val="754F487F"/>
    <w:rsid w:val="757B3FF0"/>
    <w:rsid w:val="75803D37"/>
    <w:rsid w:val="75866D22"/>
    <w:rsid w:val="75905F51"/>
    <w:rsid w:val="75A90742"/>
    <w:rsid w:val="75B25848"/>
    <w:rsid w:val="760430CB"/>
    <w:rsid w:val="76132A8B"/>
    <w:rsid w:val="762776A0"/>
    <w:rsid w:val="7657688E"/>
    <w:rsid w:val="76AB22A0"/>
    <w:rsid w:val="76E87AC0"/>
    <w:rsid w:val="76EB3305"/>
    <w:rsid w:val="77047070"/>
    <w:rsid w:val="77277F01"/>
    <w:rsid w:val="77291B3A"/>
    <w:rsid w:val="775F555C"/>
    <w:rsid w:val="777C7EBC"/>
    <w:rsid w:val="77C026A0"/>
    <w:rsid w:val="780B56E4"/>
    <w:rsid w:val="780D4FB8"/>
    <w:rsid w:val="781658F3"/>
    <w:rsid w:val="78436C2C"/>
    <w:rsid w:val="78570929"/>
    <w:rsid w:val="78647F2C"/>
    <w:rsid w:val="786B73F6"/>
    <w:rsid w:val="7875061E"/>
    <w:rsid w:val="78784B37"/>
    <w:rsid w:val="78884F12"/>
    <w:rsid w:val="78A30D7A"/>
    <w:rsid w:val="78AC2A23"/>
    <w:rsid w:val="78AF42C1"/>
    <w:rsid w:val="78B83176"/>
    <w:rsid w:val="78C95915"/>
    <w:rsid w:val="78F41CD4"/>
    <w:rsid w:val="78FB2975"/>
    <w:rsid w:val="79515378"/>
    <w:rsid w:val="797572B9"/>
    <w:rsid w:val="797A042B"/>
    <w:rsid w:val="797C1055"/>
    <w:rsid w:val="7A8A0DD9"/>
    <w:rsid w:val="7A913F68"/>
    <w:rsid w:val="7A965738"/>
    <w:rsid w:val="7AE01B17"/>
    <w:rsid w:val="7AF07CDB"/>
    <w:rsid w:val="7AF92DCA"/>
    <w:rsid w:val="7B105458"/>
    <w:rsid w:val="7B1A2E99"/>
    <w:rsid w:val="7B4A20A9"/>
    <w:rsid w:val="7B4F45E4"/>
    <w:rsid w:val="7B5A6CB5"/>
    <w:rsid w:val="7B5F38D7"/>
    <w:rsid w:val="7B651AD5"/>
    <w:rsid w:val="7B6E3F3E"/>
    <w:rsid w:val="7BD02EF7"/>
    <w:rsid w:val="7BE1728E"/>
    <w:rsid w:val="7BE610B0"/>
    <w:rsid w:val="7C0020BF"/>
    <w:rsid w:val="7C295BA2"/>
    <w:rsid w:val="7C2D5C29"/>
    <w:rsid w:val="7C6F6241"/>
    <w:rsid w:val="7C790621"/>
    <w:rsid w:val="7C8C3EAE"/>
    <w:rsid w:val="7CD9190C"/>
    <w:rsid w:val="7CE7227B"/>
    <w:rsid w:val="7D037250"/>
    <w:rsid w:val="7D080312"/>
    <w:rsid w:val="7D0D15B6"/>
    <w:rsid w:val="7D0F532E"/>
    <w:rsid w:val="7D3905FD"/>
    <w:rsid w:val="7D532D0B"/>
    <w:rsid w:val="7D563587"/>
    <w:rsid w:val="7D707E66"/>
    <w:rsid w:val="7DA81950"/>
    <w:rsid w:val="7DAB64E5"/>
    <w:rsid w:val="7DC12ACC"/>
    <w:rsid w:val="7DD56578"/>
    <w:rsid w:val="7E17093E"/>
    <w:rsid w:val="7E1E228C"/>
    <w:rsid w:val="7E2E5C88"/>
    <w:rsid w:val="7E336242"/>
    <w:rsid w:val="7E3B2F89"/>
    <w:rsid w:val="7E4E326F"/>
    <w:rsid w:val="7E581746"/>
    <w:rsid w:val="7E6B6EDC"/>
    <w:rsid w:val="7E6F60A7"/>
    <w:rsid w:val="7E723DC7"/>
    <w:rsid w:val="7E757607"/>
    <w:rsid w:val="7E762A34"/>
    <w:rsid w:val="7E7B68DD"/>
    <w:rsid w:val="7E977CD1"/>
    <w:rsid w:val="7E9C508D"/>
    <w:rsid w:val="7EB91F1E"/>
    <w:rsid w:val="7EBA4E74"/>
    <w:rsid w:val="7EEE08F3"/>
    <w:rsid w:val="7F1135E0"/>
    <w:rsid w:val="7F774EB3"/>
    <w:rsid w:val="7FA73F44"/>
    <w:rsid w:val="7FB623D9"/>
    <w:rsid w:val="7FDA7E75"/>
    <w:rsid w:val="7FF54CAF"/>
    <w:rsid w:val="7FFE1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qFormat="1"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124" w:firstLineChars="200"/>
      <w:jc w:val="both"/>
    </w:pPr>
    <w:rPr>
      <w:rFonts w:ascii="Times New Roman" w:hAnsi="Times New Roman" w:eastAsia="宋体" w:cstheme="minorBidi"/>
      <w:color w:val="000000" w:themeColor="text1"/>
      <w:kern w:val="2"/>
      <w:sz w:val="24"/>
      <w:szCs w:val="24"/>
      <w:lang w:val="en-US" w:eastAsia="zh-CN" w:bidi="ar-SA"/>
      <w14:textFill>
        <w14:solidFill>
          <w14:schemeClr w14:val="tx1"/>
        </w14:solidFill>
      </w14:textFill>
    </w:rPr>
  </w:style>
  <w:style w:type="paragraph" w:styleId="2">
    <w:name w:val="heading 1"/>
    <w:basedOn w:val="1"/>
    <w:next w:val="1"/>
    <w:link w:val="22"/>
    <w:qFormat/>
    <w:uiPriority w:val="0"/>
    <w:pPr>
      <w:keepNext/>
      <w:jc w:val="center"/>
      <w:outlineLvl w:val="0"/>
    </w:pPr>
    <w:rPr>
      <w:b/>
      <w:bCs/>
      <w:kern w:val="44"/>
      <w:szCs w:val="44"/>
    </w:rPr>
  </w:style>
  <w:style w:type="paragraph" w:styleId="3">
    <w:name w:val="heading 2"/>
    <w:basedOn w:val="1"/>
    <w:next w:val="1"/>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0"/>
    <w:pPr>
      <w:keepNext/>
      <w:keepLines/>
      <w:ind w:firstLine="0" w:firstLineChars="0"/>
      <w:outlineLvl w:val="2"/>
    </w:pPr>
    <w:rPr>
      <w:b/>
    </w:rPr>
  </w:style>
  <w:style w:type="paragraph" w:styleId="5">
    <w:name w:val="heading 4"/>
    <w:basedOn w:val="1"/>
    <w:next w:val="1"/>
    <w:qFormat/>
    <w:uiPriority w:val="0"/>
    <w:pPr>
      <w:keepNext/>
      <w:keepLines/>
      <w:numPr>
        <w:ilvl w:val="3"/>
        <w:numId w:val="1"/>
      </w:numPr>
      <w:spacing w:before="156" w:beforeLines="50"/>
      <w:outlineLvl w:val="3"/>
    </w:pPr>
    <w:rPr>
      <w:rFonts w:ascii="Arial" w:hAnsi="Arial"/>
    </w:rPr>
  </w:style>
  <w:style w:type="paragraph" w:styleId="6">
    <w:name w:val="heading 5"/>
    <w:basedOn w:val="1"/>
    <w:next w:val="1"/>
    <w:unhideWhenUsed/>
    <w:qFormat/>
    <w:uiPriority w:val="0"/>
    <w:pPr>
      <w:numPr>
        <w:ilvl w:val="4"/>
        <w:numId w:val="2"/>
      </w:numPr>
      <w:ind w:left="0" w:firstLine="200"/>
      <w:outlineLvl w:val="4"/>
    </w:pPr>
    <w:rPr>
      <w:bCs/>
      <w:szCs w:val="28"/>
      <w:lang w:val="zh-CN"/>
    </w:rPr>
  </w:style>
  <w:style w:type="paragraph" w:styleId="7">
    <w:name w:val="heading 6"/>
    <w:basedOn w:val="1"/>
    <w:next w:val="1"/>
    <w:unhideWhenUsed/>
    <w:qFormat/>
    <w:uiPriority w:val="0"/>
    <w:pPr>
      <w:keepLines/>
      <w:numPr>
        <w:ilvl w:val="5"/>
        <w:numId w:val="2"/>
      </w:numPr>
      <w:ind w:firstLine="200"/>
      <w:outlineLvl w:val="5"/>
    </w:pPr>
    <w:rPr>
      <w:bCs/>
      <w:lang w:val="zh-CN"/>
    </w:rPr>
  </w:style>
  <w:style w:type="paragraph" w:styleId="8">
    <w:name w:val="heading 7"/>
    <w:basedOn w:val="1"/>
    <w:next w:val="1"/>
    <w:qFormat/>
    <w:uiPriority w:val="0"/>
    <w:pPr>
      <w:keepNext/>
      <w:keepLines/>
      <w:numPr>
        <w:ilvl w:val="0"/>
        <w:numId w:val="3"/>
      </w:numPr>
      <w:adjustRightInd w:val="0"/>
      <w:spacing w:line="240" w:lineRule="auto"/>
      <w:jc w:val="center"/>
      <w:textAlignment w:val="baseline"/>
      <w:outlineLvl w:val="6"/>
    </w:pPr>
    <w:rPr>
      <w:rFonts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9">
    <w:name w:val="caption"/>
    <w:basedOn w:val="1"/>
    <w:next w:val="1"/>
    <w:qFormat/>
    <w:uiPriority w:val="0"/>
    <w:rPr>
      <w:rFonts w:ascii="Arial" w:hAnsi="Arial" w:eastAsia="黑体"/>
      <w:sz w:val="20"/>
    </w:rPr>
  </w:style>
  <w:style w:type="paragraph" w:styleId="10">
    <w:name w:val="annotation text"/>
    <w:basedOn w:val="1"/>
    <w:qFormat/>
    <w:uiPriority w:val="0"/>
    <w:pPr>
      <w:jc w:val="left"/>
    </w:pPr>
  </w:style>
  <w:style w:type="paragraph" w:styleId="11">
    <w:name w:val="Plain Text"/>
    <w:basedOn w:val="1"/>
    <w:link w:val="70"/>
    <w:semiHidden/>
    <w:unhideWhenUsed/>
    <w:qFormat/>
    <w:uiPriority w:val="0"/>
    <w:rPr>
      <w:rFonts w:hAnsi="Courier New" w:cs="Courier New" w:asciiTheme="minorEastAsia" w:eastAsiaTheme="minorEastAsia"/>
    </w:rPr>
  </w:style>
  <w:style w:type="paragraph" w:styleId="12">
    <w:name w:val="Balloon Text"/>
    <w:basedOn w:val="1"/>
    <w:link w:val="65"/>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envelope return"/>
    <w:basedOn w:val="1"/>
    <w:semiHidden/>
    <w:qFormat/>
    <w:uiPriority w:val="0"/>
    <w:pPr>
      <w:snapToGrid w:val="0"/>
    </w:pPr>
    <w:rPr>
      <w:rFonts w:ascii="Arial" w:hAnsi="Arial" w:cs="Arial"/>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Body Text 2"/>
    <w:basedOn w:val="1"/>
    <w:qFormat/>
    <w:uiPriority w:val="0"/>
    <w:pPr>
      <w:spacing w:line="700" w:lineRule="exact"/>
      <w:ind w:firstLine="200"/>
      <w:jc w:val="left"/>
    </w:pPr>
    <w:rPr>
      <w:rFonts w:eastAsia="黑体" w:cs="Times New Roman"/>
      <w:sz w:val="52"/>
      <w:szCs w:val="22"/>
    </w:rPr>
  </w:style>
  <w:style w:type="paragraph" w:styleId="17">
    <w:name w:val="Normal (Web)"/>
    <w:basedOn w:val="1"/>
    <w:link w:val="72"/>
    <w:qFormat/>
    <w:uiPriority w:val="0"/>
    <w:pPr>
      <w:widowControl/>
      <w:spacing w:before="100" w:beforeAutospacing="1" w:after="100" w:afterAutospacing="1"/>
      <w:jc w:val="left"/>
    </w:pPr>
    <w:rPr>
      <w:rFonts w:ascii="宋体" w:hAnsi="宋体"/>
      <w:kern w:val="0"/>
    </w:rPr>
  </w:style>
  <w:style w:type="table" w:styleId="19">
    <w:name w:val="Table Grid"/>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page number"/>
    <w:basedOn w:val="20"/>
    <w:qFormat/>
    <w:uiPriority w:val="0"/>
  </w:style>
  <w:style w:type="character" w:customStyle="1" w:styleId="22">
    <w:name w:val="标题 1 字符"/>
    <w:link w:val="2"/>
    <w:qFormat/>
    <w:uiPriority w:val="0"/>
    <w:rPr>
      <w:b/>
      <w:bCs/>
      <w:kern w:val="44"/>
      <w:szCs w:val="44"/>
    </w:rPr>
  </w:style>
  <w:style w:type="paragraph" w:customStyle="1" w:styleId="23">
    <w:name w:val="表"/>
    <w:basedOn w:val="1"/>
    <w:next w:val="1"/>
    <w:qFormat/>
    <w:uiPriority w:val="0"/>
    <w:pPr>
      <w:tabs>
        <w:tab w:val="left" w:pos="420"/>
      </w:tabs>
      <w:spacing w:line="240" w:lineRule="auto"/>
      <w:ind w:firstLine="0" w:firstLineChars="0"/>
      <w:jc w:val="center"/>
    </w:pPr>
    <w:rPr>
      <w:rFonts w:eastAsia="黑体"/>
      <w:sz w:val="21"/>
      <w:szCs w:val="21"/>
    </w:rPr>
  </w:style>
  <w:style w:type="paragraph" w:customStyle="1" w:styleId="24">
    <w:name w:val="表格内容"/>
    <w:basedOn w:val="25"/>
    <w:next w:val="1"/>
    <w:qFormat/>
    <w:uiPriority w:val="0"/>
    <w:pPr>
      <w:widowControl/>
      <w:spacing w:line="280" w:lineRule="exact"/>
      <w:ind w:firstLine="0" w:firstLineChars="0"/>
      <w:textAlignment w:val="center"/>
    </w:pPr>
    <w:rPr>
      <w:rFonts w:ascii="宋体" w:hAnsi="宋体" w:eastAsia="宋体"/>
      <w:color w:val="000000"/>
      <w:sz w:val="18"/>
      <w:szCs w:val="18"/>
    </w:rPr>
  </w:style>
  <w:style w:type="paragraph" w:customStyle="1" w:styleId="25">
    <w:name w:val="表头"/>
    <w:basedOn w:val="9"/>
    <w:next w:val="1"/>
    <w:autoRedefine/>
    <w:qFormat/>
    <w:uiPriority w:val="0"/>
    <w:pPr>
      <w:adjustRightInd w:val="0"/>
      <w:spacing w:line="320" w:lineRule="atLeast"/>
      <w:ind w:firstLine="200"/>
      <w:jc w:val="center"/>
      <w:textAlignment w:val="baseline"/>
    </w:pPr>
    <w:rPr>
      <w:rFonts w:ascii="Calibri" w:hAnsi="Calibri" w:cs="Times New Roman"/>
      <w:spacing w:val="-10"/>
      <w:sz w:val="21"/>
      <w:szCs w:val="20"/>
    </w:rPr>
  </w:style>
  <w:style w:type="paragraph" w:customStyle="1" w:styleId="26">
    <w:name w:val="表格内容格式"/>
    <w:basedOn w:val="24"/>
    <w:autoRedefine/>
    <w:qFormat/>
    <w:uiPriority w:val="0"/>
    <w:pPr>
      <w:spacing w:line="240" w:lineRule="auto"/>
    </w:pPr>
    <w:rPr>
      <w:rFonts w:ascii="Times New Roman" w:hAnsi="Times New Roman"/>
      <w:color w:val="auto"/>
      <w:szCs w:val="22"/>
    </w:rPr>
  </w:style>
  <w:style w:type="paragraph" w:customStyle="1" w:styleId="27">
    <w:name w:val="表格内容格式1"/>
    <w:basedOn w:val="1"/>
    <w:qFormat/>
    <w:uiPriority w:val="0"/>
    <w:pPr>
      <w:adjustRightInd w:val="0"/>
      <w:spacing w:line="240" w:lineRule="auto"/>
      <w:ind w:firstLine="0" w:firstLineChars="0"/>
      <w:jc w:val="center"/>
    </w:pPr>
    <w:rPr>
      <w:rFonts w:cs="Times New Roman"/>
      <w:color w:val="000000"/>
      <w:kern w:val="0"/>
      <w:sz w:val="18"/>
      <w:szCs w:val="18"/>
    </w:rPr>
  </w:style>
  <w:style w:type="paragraph" w:customStyle="1" w:styleId="28">
    <w:name w:val="表中文字"/>
    <w:basedOn w:val="1"/>
    <w:next w:val="1"/>
    <w:link w:val="29"/>
    <w:qFormat/>
    <w:uiPriority w:val="0"/>
    <w:pPr>
      <w:spacing w:line="240" w:lineRule="auto"/>
      <w:ind w:firstLine="0" w:firstLineChars="0"/>
      <w:jc w:val="center"/>
    </w:pPr>
    <w:rPr>
      <w:rFonts w:cs="Times New Roman"/>
      <w:sz w:val="18"/>
      <w:szCs w:val="18"/>
    </w:rPr>
  </w:style>
  <w:style w:type="character" w:customStyle="1" w:styleId="29">
    <w:name w:val="表中文字 Char"/>
    <w:link w:val="28"/>
    <w:qFormat/>
    <w:uiPriority w:val="0"/>
    <w:rPr>
      <w:color w:val="000000" w:themeColor="text1"/>
      <w:kern w:val="2"/>
      <w:sz w:val="18"/>
      <w:szCs w:val="18"/>
      <w14:textFill>
        <w14:solidFill>
          <w14:schemeClr w14:val="tx1"/>
        </w14:solidFill>
      </w14:textFill>
    </w:rPr>
  </w:style>
  <w:style w:type="paragraph" w:customStyle="1" w:styleId="30">
    <w:name w:val="表1 表格标题格式"/>
    <w:basedOn w:val="1"/>
    <w:qFormat/>
    <w:uiPriority w:val="0"/>
    <w:pPr>
      <w:numPr>
        <w:ilvl w:val="0"/>
        <w:numId w:val="4"/>
      </w:numPr>
      <w:spacing w:line="240" w:lineRule="auto"/>
      <w:ind w:firstLineChars="0"/>
      <w:jc w:val="center"/>
    </w:pPr>
    <w:rPr>
      <w:rFonts w:hint="eastAsia" w:cs="Times New Roman"/>
      <w:b/>
      <w:sz w:val="21"/>
      <w:szCs w:val="21"/>
    </w:rPr>
  </w:style>
  <w:style w:type="paragraph" w:customStyle="1" w:styleId="31">
    <w:name w:val="图2 图名标题格式"/>
    <w:basedOn w:val="1"/>
    <w:qFormat/>
    <w:uiPriority w:val="0"/>
    <w:pPr>
      <w:numPr>
        <w:ilvl w:val="0"/>
        <w:numId w:val="5"/>
      </w:numPr>
      <w:tabs>
        <w:tab w:val="left" w:pos="0"/>
      </w:tabs>
      <w:ind w:firstLineChars="0"/>
      <w:jc w:val="center"/>
    </w:pPr>
    <w:rPr>
      <w:b/>
    </w:rPr>
  </w:style>
  <w:style w:type="paragraph" w:customStyle="1" w:styleId="32">
    <w:name w:val="表3表格标题格式"/>
    <w:basedOn w:val="1"/>
    <w:qFormat/>
    <w:uiPriority w:val="0"/>
    <w:pPr>
      <w:numPr>
        <w:ilvl w:val="0"/>
        <w:numId w:val="6"/>
      </w:numPr>
      <w:tabs>
        <w:tab w:val="left" w:pos="420"/>
      </w:tabs>
      <w:spacing w:line="240" w:lineRule="auto"/>
      <w:ind w:firstLineChars="0"/>
      <w:jc w:val="center"/>
    </w:pPr>
    <w:rPr>
      <w:b/>
      <w:sz w:val="21"/>
      <w:szCs w:val="21"/>
    </w:rPr>
  </w:style>
  <w:style w:type="paragraph" w:customStyle="1" w:styleId="33">
    <w:name w:val="表4表格标题格式"/>
    <w:basedOn w:val="1"/>
    <w:qFormat/>
    <w:uiPriority w:val="0"/>
    <w:pPr>
      <w:numPr>
        <w:ilvl w:val="0"/>
        <w:numId w:val="7"/>
      </w:numPr>
      <w:spacing w:line="240" w:lineRule="auto"/>
      <w:ind w:firstLineChars="0"/>
      <w:jc w:val="center"/>
    </w:pPr>
    <w:rPr>
      <w:b/>
      <w:color w:val="auto"/>
      <w:sz w:val="21"/>
    </w:rPr>
  </w:style>
  <w:style w:type="paragraph" w:customStyle="1" w:styleId="34">
    <w:name w:val="表2表格表格格式"/>
    <w:basedOn w:val="1"/>
    <w:next w:val="23"/>
    <w:qFormat/>
    <w:uiPriority w:val="0"/>
    <w:pPr>
      <w:numPr>
        <w:ilvl w:val="0"/>
        <w:numId w:val="8"/>
      </w:numPr>
      <w:topLinePunct/>
      <w:adjustRightInd w:val="0"/>
      <w:snapToGrid w:val="0"/>
      <w:spacing w:line="240" w:lineRule="auto"/>
      <w:ind w:firstLine="0" w:firstLineChars="0"/>
      <w:jc w:val="center"/>
      <w:textAlignment w:val="baseline"/>
    </w:pPr>
    <w:rPr>
      <w:rFonts w:cs="Times New Roman"/>
      <w:b/>
      <w:bCs/>
      <w:color w:val="000000"/>
      <w:sz w:val="21"/>
      <w:szCs w:val="21"/>
    </w:rPr>
  </w:style>
  <w:style w:type="paragraph" w:customStyle="1" w:styleId="35">
    <w:name w:val="简单回函地址"/>
    <w:basedOn w:val="1"/>
    <w:qFormat/>
    <w:uiPriority w:val="0"/>
    <w:pPr>
      <w:widowControl/>
    </w:pPr>
    <w:rPr>
      <w:rFonts w:ascii="宋体" w:hAnsi="宋体" w:cs="宋体"/>
      <w:kern w:val="0"/>
      <w:szCs w:val="20"/>
    </w:rPr>
  </w:style>
  <w:style w:type="paragraph" w:customStyle="1" w:styleId="36">
    <w:name w:val="3-表头"/>
    <w:basedOn w:val="1"/>
    <w:next w:val="1"/>
    <w:link w:val="37"/>
    <w:qFormat/>
    <w:uiPriority w:val="0"/>
    <w:pPr>
      <w:numPr>
        <w:ilvl w:val="0"/>
        <w:numId w:val="9"/>
      </w:numPr>
      <w:adjustRightInd w:val="0"/>
      <w:spacing w:line="240" w:lineRule="auto"/>
      <w:ind w:firstLine="0" w:firstLineChars="0"/>
      <w:jc w:val="center"/>
      <w:textAlignment w:val="baseline"/>
    </w:pPr>
    <w:rPr>
      <w:rFonts w:eastAsia="黑体"/>
      <w:kern w:val="0"/>
      <w:sz w:val="21"/>
      <w:szCs w:val="21"/>
    </w:rPr>
  </w:style>
  <w:style w:type="character" w:customStyle="1" w:styleId="37">
    <w:name w:val="3-表头 Char"/>
    <w:link w:val="36"/>
    <w:qFormat/>
    <w:uiPriority w:val="0"/>
    <w:rPr>
      <w:rFonts w:ascii="Times New Roman" w:hAnsi="Times New Roman" w:eastAsia="黑体"/>
      <w:kern w:val="0"/>
      <w:sz w:val="21"/>
      <w:szCs w:val="21"/>
    </w:rPr>
  </w:style>
  <w:style w:type="table" w:customStyle="1" w:styleId="38">
    <w:name w:val="网格型2"/>
    <w:basedOn w:val="18"/>
    <w:qFormat/>
    <w:uiPriority w:val="59"/>
    <w:rPr>
      <w:rFonts w:eastAsia="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39">
    <w:name w:val="表名+图名"/>
    <w:basedOn w:val="1"/>
    <w:next w:val="1"/>
    <w:link w:val="40"/>
    <w:qFormat/>
    <w:uiPriority w:val="0"/>
    <w:pPr>
      <w:spacing w:line="240" w:lineRule="auto"/>
      <w:ind w:firstLine="0" w:firstLineChars="0"/>
      <w:jc w:val="center"/>
    </w:pPr>
    <w:rPr>
      <w:rFonts w:eastAsia="黑体"/>
      <w:sz w:val="21"/>
      <w:szCs w:val="21"/>
    </w:rPr>
  </w:style>
  <w:style w:type="character" w:customStyle="1" w:styleId="40">
    <w:name w:val="表名+图名 Char"/>
    <w:link w:val="39"/>
    <w:qFormat/>
    <w:uiPriority w:val="0"/>
    <w:rPr>
      <w:rFonts w:ascii="Times New Roman" w:hAnsi="Times New Roman" w:eastAsia="黑体"/>
      <w:sz w:val="21"/>
      <w:szCs w:val="21"/>
    </w:rPr>
  </w:style>
  <w:style w:type="table" w:customStyle="1" w:styleId="41">
    <w:name w:val="网格型41"/>
    <w:basedOn w:val="18"/>
    <w:qFormat/>
    <w:uiPriority w:val="59"/>
    <w:rPr>
      <w:rFonts w:eastAsia="Times New Roman" w:asciiTheme="minorHAnsi" w:hAnsiTheme="minorHAnsi"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42">
    <w:name w:val="列出段落1"/>
    <w:basedOn w:val="1"/>
    <w:qFormat/>
    <w:uiPriority w:val="34"/>
  </w:style>
  <w:style w:type="paragraph" w:customStyle="1" w:styleId="43">
    <w:name w:val="报告"/>
    <w:basedOn w:val="1"/>
    <w:qFormat/>
    <w:uiPriority w:val="0"/>
    <w:pPr>
      <w:autoSpaceDE w:val="0"/>
      <w:autoSpaceDN w:val="0"/>
      <w:adjustRightInd w:val="0"/>
      <w:ind w:firstLine="505"/>
      <w:jc w:val="left"/>
      <w:textAlignment w:val="baseline"/>
    </w:pPr>
    <w:rPr>
      <w:rFonts w:ascii="Courier New" w:hAnsi="Courier New" w:eastAsia="仿宋_GB2312" w:cs="Courier New"/>
      <w:kern w:val="0"/>
      <w:szCs w:val="20"/>
    </w:rPr>
  </w:style>
  <w:style w:type="table" w:customStyle="1" w:styleId="44">
    <w:name w:val="Table Normal"/>
    <w:basedOn w:val="18"/>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45">
    <w:name w:val="图标题1"/>
    <w:basedOn w:val="1"/>
    <w:link w:val="46"/>
    <w:qFormat/>
    <w:uiPriority w:val="0"/>
    <w:pPr>
      <w:adjustRightInd w:val="0"/>
      <w:snapToGrid w:val="0"/>
      <w:ind w:firstLine="0" w:firstLineChars="0"/>
      <w:jc w:val="center"/>
    </w:pPr>
    <w:rPr>
      <w:rFonts w:eastAsia="黑体" w:cs="Times New Roman"/>
      <w:szCs w:val="36"/>
    </w:rPr>
  </w:style>
  <w:style w:type="character" w:customStyle="1" w:styleId="46">
    <w:name w:val="图标题1 Char"/>
    <w:link w:val="45"/>
    <w:qFormat/>
    <w:uiPriority w:val="0"/>
    <w:rPr>
      <w:rFonts w:eastAsia="黑体" w:cs="Times New Roman"/>
      <w:szCs w:val="36"/>
    </w:rPr>
  </w:style>
  <w:style w:type="paragraph" w:customStyle="1" w:styleId="47">
    <w:name w:val="表标题1"/>
    <w:basedOn w:val="1"/>
    <w:qFormat/>
    <w:uiPriority w:val="0"/>
    <w:pPr>
      <w:autoSpaceDE w:val="0"/>
      <w:autoSpaceDN w:val="0"/>
      <w:ind w:firstLine="0" w:firstLineChars="0"/>
      <w:jc w:val="center"/>
    </w:pPr>
    <w:rPr>
      <w:rFonts w:eastAsia="黑体"/>
      <w:kern w:val="0"/>
      <w:sz w:val="21"/>
    </w:rPr>
  </w:style>
  <w:style w:type="paragraph" w:customStyle="1" w:styleId="48">
    <w:name w:val="表格"/>
    <w:basedOn w:val="1"/>
    <w:qFormat/>
    <w:uiPriority w:val="0"/>
    <w:pPr>
      <w:adjustRightInd w:val="0"/>
      <w:snapToGrid w:val="0"/>
      <w:spacing w:beforeLines="10" w:afterLines="10" w:line="259" w:lineRule="auto"/>
      <w:jc w:val="center"/>
    </w:pPr>
    <w:rPr>
      <w:rFonts w:ascii="宋体"/>
      <w:kern w:val="0"/>
      <w:szCs w:val="20"/>
    </w:rPr>
  </w:style>
  <w:style w:type="table" w:customStyle="1" w:styleId="49">
    <w:name w:val="网格型1"/>
    <w:basedOn w:val="18"/>
    <w:qFormat/>
    <w:uiPriority w:val="59"/>
    <w:rPr>
      <w:rFonts w:eastAsia="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50">
    <w:name w:val="表格内文字1"/>
    <w:basedOn w:val="1"/>
    <w:next w:val="1"/>
    <w:qFormat/>
    <w:uiPriority w:val="0"/>
    <w:pPr>
      <w:widowControl/>
      <w:spacing w:line="280" w:lineRule="exact"/>
      <w:ind w:firstLine="0" w:firstLineChars="0"/>
      <w:jc w:val="center"/>
      <w:outlineLvl w:val="0"/>
    </w:pPr>
    <w:rPr>
      <w:kern w:val="0"/>
      <w:sz w:val="18"/>
      <w:szCs w:val="20"/>
    </w:rPr>
  </w:style>
  <w:style w:type="table" w:customStyle="1" w:styleId="51">
    <w:name w:val="网格型8"/>
    <w:basedOn w:val="18"/>
    <w:autoRedefine/>
    <w:qFormat/>
    <w:uiPriority w:val="59"/>
    <w:pPr>
      <w:spacing w:line="360" w:lineRule="exact"/>
      <w:jc w:val="center"/>
    </w:pPr>
    <w:rPr>
      <w:sz w:val="21"/>
    </w:rPr>
    <w:tblPr>
      <w:tblBorders>
        <w:top w:val="single" w:color="000000" w:sz="12" w:space="0"/>
        <w:bottom w:val="single" w:color="000000" w:sz="12" w:space="0"/>
        <w:insideH w:val="single" w:color="000000" w:sz="4" w:space="0"/>
        <w:insideV w:val="single" w:color="000000" w:sz="4" w:space="0"/>
      </w:tblBorders>
    </w:tblPr>
    <w:tcPr>
      <w:vAlign w:val="center"/>
    </w:tcPr>
  </w:style>
  <w:style w:type="table" w:customStyle="1" w:styleId="52">
    <w:name w:val="Table Grid_0"/>
    <w:basedOn w:val="1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表名"/>
    <w:basedOn w:val="1"/>
    <w:qFormat/>
    <w:uiPriority w:val="0"/>
    <w:pPr>
      <w:spacing w:line="324" w:lineRule="auto"/>
      <w:jc w:val="center"/>
      <w:outlineLvl w:val="4"/>
    </w:pPr>
    <w:rPr>
      <w:b/>
      <w:bCs/>
    </w:rPr>
  </w:style>
  <w:style w:type="paragraph" w:customStyle="1" w:styleId="54">
    <w:name w:val="样式1"/>
    <w:basedOn w:val="1"/>
    <w:qFormat/>
    <w:uiPriority w:val="0"/>
  </w:style>
  <w:style w:type="paragraph" w:customStyle="1" w:styleId="55">
    <w:name w:val="样式2"/>
    <w:basedOn w:val="1"/>
    <w:qFormat/>
    <w:uiPriority w:val="0"/>
    <w:pPr>
      <w:numPr>
        <w:ilvl w:val="0"/>
        <w:numId w:val="10"/>
      </w:numPr>
      <w:ind w:firstLine="0" w:firstLineChars="0"/>
    </w:pPr>
  </w:style>
  <w:style w:type="paragraph" w:customStyle="1" w:styleId="56">
    <w:name w:val="Default"/>
    <w:basedOn w:val="57"/>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纯文本1"/>
    <w:basedOn w:val="1"/>
    <w:autoRedefine/>
    <w:qFormat/>
    <w:uiPriority w:val="0"/>
    <w:rPr>
      <w:rFonts w:ascii="宋体" w:hAnsi="Courier New"/>
    </w:rPr>
  </w:style>
  <w:style w:type="paragraph" w:customStyle="1" w:styleId="58">
    <w:name w:val="报告正文"/>
    <w:basedOn w:val="1"/>
    <w:autoRedefine/>
    <w:qFormat/>
    <w:uiPriority w:val="0"/>
    <w:rPr>
      <w:rFonts w:ascii="宋体" w:hAnsi="宋体" w:cs="宋体"/>
      <w:szCs w:val="20"/>
    </w:rPr>
  </w:style>
  <w:style w:type="paragraph" w:customStyle="1" w:styleId="59">
    <w:name w:val="表格内正文文本"/>
    <w:basedOn w:val="1"/>
    <w:qFormat/>
    <w:uiPriority w:val="0"/>
    <w:pPr>
      <w:ind w:firstLine="480"/>
    </w:pPr>
  </w:style>
  <w:style w:type="paragraph" w:customStyle="1" w:styleId="60">
    <w:name w:val="标准正文"/>
    <w:qFormat/>
    <w:uiPriority w:val="0"/>
    <w:pPr>
      <w:keepNext/>
      <w:keepLines/>
      <w:snapToGrid w:val="0"/>
      <w:spacing w:before="156" w:beforeLines="50" w:after="156" w:afterLines="50" w:line="360" w:lineRule="auto"/>
      <w:ind w:firstLine="200" w:firstLineChars="200"/>
      <w:jc w:val="both"/>
    </w:pPr>
    <w:rPr>
      <w:rFonts w:ascii="Calibri" w:hAnsi="Calibri" w:eastAsia="宋体" w:cs="Times New Roman"/>
      <w:sz w:val="24"/>
      <w:szCs w:val="24"/>
      <w:lang w:val="en-US" w:eastAsia="zh-CN" w:bidi="ar-SA"/>
    </w:rPr>
  </w:style>
  <w:style w:type="character" w:customStyle="1" w:styleId="61">
    <w:name w:val="font41"/>
    <w:basedOn w:val="20"/>
    <w:qFormat/>
    <w:uiPriority w:val="0"/>
    <w:rPr>
      <w:rFonts w:hint="default" w:ascii="Times New Roman" w:hAnsi="Times New Roman" w:cs="Times New Roman"/>
      <w:color w:val="000000"/>
      <w:sz w:val="24"/>
      <w:szCs w:val="24"/>
      <w:u w:val="none"/>
      <w:vertAlign w:val="superscript"/>
    </w:rPr>
  </w:style>
  <w:style w:type="paragraph" w:customStyle="1" w:styleId="62">
    <w:name w:val="0正文"/>
    <w:autoRedefine/>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paragraph" w:customStyle="1" w:styleId="63">
    <w:name w:val="表格标题2.0"/>
    <w:basedOn w:val="1"/>
    <w:autoRedefine/>
    <w:qFormat/>
    <w:uiPriority w:val="0"/>
    <w:pPr>
      <w:spacing w:line="240" w:lineRule="auto"/>
      <w:ind w:firstLine="0" w:firstLineChars="0"/>
      <w:jc w:val="center"/>
    </w:pPr>
    <w:rPr>
      <w:rFonts w:eastAsia="黑体" w:cs="Times New Roman"/>
      <w:sz w:val="21"/>
      <w:szCs w:val="21"/>
    </w:rPr>
  </w:style>
  <w:style w:type="paragraph" w:customStyle="1" w:styleId="64">
    <w:name w:val="样式 小四 居中 行距: 固定值 24 磅"/>
    <w:basedOn w:val="1"/>
    <w:qFormat/>
    <w:uiPriority w:val="0"/>
    <w:pPr>
      <w:ind w:firstLine="0" w:firstLineChars="0"/>
      <w:jc w:val="center"/>
    </w:pPr>
    <w:rPr>
      <w:rFonts w:cs="宋体"/>
      <w:color w:val="auto"/>
      <w:szCs w:val="20"/>
    </w:rPr>
  </w:style>
  <w:style w:type="character" w:customStyle="1" w:styleId="65">
    <w:name w:val="批注框文本 字符"/>
    <w:basedOn w:val="20"/>
    <w:link w:val="12"/>
    <w:qFormat/>
    <w:uiPriority w:val="0"/>
    <w:rPr>
      <w:rFonts w:cstheme="minorBidi"/>
      <w:color w:val="000000" w:themeColor="text1"/>
      <w:kern w:val="2"/>
      <w:sz w:val="18"/>
      <w:szCs w:val="18"/>
      <w14:textFill>
        <w14:solidFill>
          <w14:schemeClr w14:val="tx1"/>
        </w14:solidFill>
      </w14:textFill>
    </w:rPr>
  </w:style>
  <w:style w:type="paragraph" w:customStyle="1" w:styleId="66">
    <w:name w:val="Table Text"/>
    <w:basedOn w:val="1"/>
    <w:semiHidden/>
    <w:qFormat/>
    <w:uiPriority w:val="0"/>
    <w:pPr>
      <w:spacing w:line="240" w:lineRule="auto"/>
      <w:ind w:firstLine="0" w:firstLineChars="0"/>
    </w:pPr>
    <w:rPr>
      <w:rFonts w:ascii="宋体" w:hAnsi="宋体" w:cs="宋体"/>
      <w:color w:val="auto"/>
      <w:lang w:eastAsia="en-US"/>
    </w:rPr>
  </w:style>
  <w:style w:type="paragraph" w:customStyle="1" w:styleId="67">
    <w:name w:val="Normal_0"/>
    <w:basedOn w:val="1"/>
    <w:qFormat/>
    <w:uiPriority w:val="0"/>
    <w:pPr>
      <w:ind w:firstLine="200"/>
    </w:pPr>
    <w:rPr>
      <w:rFonts w:eastAsia="仿宋" w:cs="Times New Roman"/>
      <w:sz w:val="28"/>
      <w:szCs w:val="21"/>
    </w:rPr>
  </w:style>
  <w:style w:type="paragraph" w:customStyle="1" w:styleId="68">
    <w:name w:val="Normal_0_0"/>
    <w:basedOn w:val="1"/>
    <w:qFormat/>
    <w:uiPriority w:val="0"/>
    <w:pPr>
      <w:ind w:firstLine="200"/>
    </w:pPr>
    <w:rPr>
      <w:rFonts w:eastAsia="仿宋" w:cs="Times New Roman"/>
      <w:sz w:val="28"/>
      <w:szCs w:val="21"/>
    </w:rPr>
  </w:style>
  <w:style w:type="paragraph" w:customStyle="1" w:styleId="69">
    <w:name w:val="Table Paragraph"/>
    <w:basedOn w:val="11"/>
    <w:qFormat/>
    <w:uiPriority w:val="1"/>
    <w:pPr>
      <w:spacing w:line="240" w:lineRule="auto"/>
      <w:ind w:firstLine="0" w:firstLineChars="0"/>
    </w:pPr>
    <w:rPr>
      <w:rFonts w:ascii="宋体" w:hAnsi="宋体" w:eastAsia="宋体" w:cs="宋体"/>
      <w:color w:val="auto"/>
      <w:sz w:val="21"/>
      <w:szCs w:val="21"/>
    </w:rPr>
  </w:style>
  <w:style w:type="character" w:customStyle="1" w:styleId="70">
    <w:name w:val="纯文本 字符"/>
    <w:basedOn w:val="20"/>
    <w:link w:val="11"/>
    <w:semiHidden/>
    <w:uiPriority w:val="0"/>
    <w:rPr>
      <w:rFonts w:hAnsi="Courier New" w:cs="Courier New" w:asciiTheme="minorEastAsia" w:eastAsiaTheme="minorEastAsia"/>
      <w:color w:val="000000" w:themeColor="text1"/>
      <w:kern w:val="2"/>
      <w:sz w:val="24"/>
      <w:szCs w:val="24"/>
      <w14:textFill>
        <w14:solidFill>
          <w14:schemeClr w14:val="tx1"/>
        </w14:solidFill>
      </w14:textFill>
    </w:rPr>
  </w:style>
  <w:style w:type="paragraph" w:customStyle="1" w:styleId="71">
    <w:name w:val="正文样式"/>
    <w:basedOn w:val="1"/>
    <w:qFormat/>
    <w:uiPriority w:val="0"/>
    <w:pPr>
      <w:tabs>
        <w:tab w:val="left" w:pos="1440"/>
        <w:tab w:val="left" w:pos="4368"/>
      </w:tabs>
      <w:spacing w:line="360" w:lineRule="auto"/>
      <w:ind w:firstLine="493"/>
    </w:pPr>
    <w:rPr>
      <w:color w:val="FF0000"/>
      <w:sz w:val="24"/>
    </w:rPr>
  </w:style>
  <w:style w:type="character" w:customStyle="1" w:styleId="72">
    <w:name w:val="普通(网站) Char"/>
    <w:basedOn w:val="20"/>
    <w:link w:val="17"/>
    <w:uiPriority w:val="0"/>
    <w:rPr>
      <w:rFonts w:hint="eastAsia" w:ascii="宋体" w:hAnsi="宋体" w:eastAsia="宋体" w:cs="宋体"/>
      <w:sz w:val="24"/>
      <w:lang w:val="en-US" w:eastAsia="zh-CN" w:bidi="ar"/>
    </w:rPr>
  </w:style>
  <w:style w:type="paragraph" w:customStyle="1" w:styleId="73">
    <w:name w:val="表格标题"/>
    <w:basedOn w:val="9"/>
    <w:autoRedefine/>
    <w:qFormat/>
    <w:uiPriority w:val="0"/>
    <w:pPr>
      <w:spacing w:before="120"/>
      <w:jc w:val="center"/>
    </w:pPr>
    <w:rPr>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wmf"/><Relationship Id="rId35" Type="http://schemas.openxmlformats.org/officeDocument/2006/relationships/oleObject" Target="embeddings/oleObject7.bin"/><Relationship Id="rId34" Type="http://schemas.openxmlformats.org/officeDocument/2006/relationships/image" Target="media/image13.wmf"/><Relationship Id="rId33" Type="http://schemas.openxmlformats.org/officeDocument/2006/relationships/oleObject" Target="embeddings/oleObject6.bin"/><Relationship Id="rId32" Type="http://schemas.openxmlformats.org/officeDocument/2006/relationships/image" Target="media/image12.wmf"/><Relationship Id="rId31" Type="http://schemas.openxmlformats.org/officeDocument/2006/relationships/oleObject" Target="embeddings/oleObject5.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0.emf"/><Relationship Id="rId27" Type="http://schemas.openxmlformats.org/officeDocument/2006/relationships/oleObject" Target="embeddings/oleObject3.bin"/><Relationship Id="rId26" Type="http://schemas.openxmlformats.org/officeDocument/2006/relationships/image" Target="media/image9.png"/><Relationship Id="rId25" Type="http://schemas.openxmlformats.org/officeDocument/2006/relationships/image" Target="media/image8.emf"/><Relationship Id="rId24" Type="http://schemas.openxmlformats.org/officeDocument/2006/relationships/oleObject" Target="embeddings/oleObject2.bin"/><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1.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129</Pages>
  <Words>120</Words>
  <Characters>146</Characters>
  <Lines>616</Lines>
  <Paragraphs>173</Paragraphs>
  <TotalTime>6</TotalTime>
  <ScaleCrop>false</ScaleCrop>
  <LinksUpToDate>false</LinksUpToDate>
  <CharactersWithSpaces>195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2025-07-16T08:06:00Z</dcterms:created>
  <dc:creator>SYGH202716</dc:creator>
  <cp:lastModifiedBy>Administrator</cp:lastModifiedBy>
  <dcterms:modified xsi:type="dcterms:W3CDTF">2025-07-25T06:03:15Z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BE2587790B9F46E6BBC7296150845584_13</vt:lpwstr>
  </property>
  <property fmtid="{D5CDD505-2E9C-101B-9397-08002B2CF9AE}" pid="4" name="KSOTemplateDocerSaveRecord">
    <vt:lpwstr>eyJoZGlkIjoiYjQyMjhkYTYyOTE5MzZkNTk3MjI4ZjVjYWI2MzM3NjkifQ==</vt:lpwstr>
  </property>
</Properties>
</file>