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1" w:name="_Toc15396475"/>
      <w:bookmarkStart w:id="2" w:name="_Toc15377193"/>
      <w:bookmarkStart w:id="3" w:name="_Toc15396597"/>
      <w:bookmarkStart w:id="4" w:name="_Toc15378441"/>
      <w:bookmarkStart w:id="5" w:name="_Toc15377425"/>
      <w:r>
        <w:rPr>
          <w:rFonts w:ascii="黑体" w:hAnsi="黑体" w:eastAsia="黑体"/>
          <w:color w:val="000000"/>
          <w:sz w:val="36"/>
          <w:szCs w:val="36"/>
        </w:rPr>
        <w:t>201</w:t>
      </w:r>
      <w:r>
        <w:rPr>
          <w:rFonts w:hint="eastAsia" w:ascii="黑体" w:hAnsi="黑体" w:eastAsia="黑体"/>
          <w:color w:val="000000"/>
          <w:sz w:val="36"/>
          <w:szCs w:val="36"/>
        </w:rPr>
        <w:t>8</w:t>
      </w:r>
      <w:r>
        <w:rPr>
          <w:rFonts w:hint="eastAsia" w:ascii="方正小标宋简体" w:hAnsi="宋体" w:eastAsia="方正小标宋简体"/>
          <w:color w:val="000000"/>
          <w:sz w:val="36"/>
          <w:szCs w:val="36"/>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36"/>
          <w:szCs w:val="36"/>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6" w:name="_Toc15396598"/>
      <w:bookmarkStart w:id="7" w:name="_Toc15377194"/>
      <w:bookmarkStart w:id="8" w:name="_Toc15378442"/>
      <w:bookmarkStart w:id="9" w:name="_Toc15377426"/>
      <w:bookmarkStart w:id="10" w:name="_Toc15396476"/>
      <w:r>
        <w:rPr>
          <w:rFonts w:hint="eastAsia" w:ascii="方正小标宋简体" w:hAnsi="宋体" w:eastAsia="方正小标宋简体"/>
          <w:color w:val="000000"/>
          <w:sz w:val="36"/>
          <w:szCs w:val="36"/>
        </w:rPr>
        <w:t>四川省</w:t>
      </w:r>
      <w:bookmarkEnd w:id="0"/>
      <w:bookmarkStart w:id="11" w:name="_Toc15306268"/>
      <w:r>
        <w:rPr>
          <w:rFonts w:hint="eastAsia" w:ascii="方正小标宋简体" w:hAnsi="宋体" w:eastAsia="方正小标宋简体"/>
          <w:color w:val="000000"/>
          <w:sz w:val="36"/>
          <w:szCs w:val="36"/>
        </w:rPr>
        <w:t>宣汉</w:t>
      </w:r>
      <w:r>
        <w:rPr>
          <w:rFonts w:hint="eastAsia" w:ascii="方正小标宋简体" w:hAnsi="宋体" w:eastAsia="方正小标宋简体"/>
          <w:color w:val="000000"/>
          <w:sz w:val="36"/>
          <w:szCs w:val="36"/>
          <w:lang w:val="en-US" w:eastAsia="zh-CN"/>
        </w:rPr>
        <w:t>漆碑乡中心</w:t>
      </w:r>
      <w:r>
        <w:rPr>
          <w:rFonts w:eastAsia="方正小标宋简体" w:asciiTheme="minorHAnsi" w:hAnsiTheme="minorHAnsi"/>
          <w:color w:val="000000"/>
          <w:sz w:val="36"/>
          <w:szCs w:val="36"/>
        </w:rPr>
        <w:t>校</w:t>
      </w:r>
      <w:r>
        <w:rPr>
          <w:rFonts w:hint="eastAsia" w:ascii="方正小标宋简体" w:hAnsi="宋体" w:eastAsia="方正小标宋简体"/>
          <w:color w:val="000000"/>
          <w:sz w:val="36"/>
          <w:szCs w:val="36"/>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line="600" w:lineRule="exact"/>
        <w:ind w:firstLine="588" w:firstLineChars="210"/>
        <w:rPr>
          <w:rFonts w:hint="eastAsia"/>
          <w:bCs/>
          <w:color w:val="000000"/>
          <w:sz w:val="32"/>
          <w:szCs w:val="32"/>
          <w:highlight w:val="yellow"/>
        </w:rPr>
      </w:pPr>
      <w:r>
        <w:rPr>
          <w:rFonts w:hint="eastAsia" w:hAnsi="仿宋_GB2312" w:cs="仿宋_GB2312"/>
          <w:sz w:val="28"/>
          <w:szCs w:val="28"/>
          <w:lang w:eastAsia="zh-CN"/>
        </w:rPr>
        <w:t>宣汉县漆碑乡中心校辖区内一所中心校和七个村小教学点，是一所集小学教育、初中教育为一体的九年一贯制学校。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4"/>
        <w:spacing w:before="0" w:after="0" w:line="578" w:lineRule="exact"/>
        <w:ind w:firstLine="560"/>
        <w:jc w:val="left"/>
        <w:rPr>
          <w:rFonts w:hint="eastAsia" w:ascii="仿宋_GB2312" w:hAnsi="仿宋_GB2312" w:eastAsia="仿宋_GB2312" w:cs="仿宋_GB2312"/>
          <w:sz w:val="28"/>
          <w:szCs w:val="28"/>
        </w:rPr>
      </w:pPr>
      <w:bookmarkStart w:id="20" w:name="_Toc15396601"/>
      <w:bookmarkStart w:id="21" w:name="_Toc15377200"/>
      <w:r>
        <w:rPr>
          <w:rFonts w:hint="eastAsia" w:ascii="仿宋_GB2312" w:hAnsi="仿宋_GB2312" w:eastAsia="仿宋_GB2312" w:cs="仿宋_GB2312"/>
          <w:sz w:val="28"/>
          <w:szCs w:val="28"/>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pStyle w:val="4"/>
        <w:spacing w:before="0" w:after="0" w:line="578" w:lineRule="exact"/>
        <w:ind w:firstLine="560"/>
        <w:jc w:val="left"/>
        <w:rPr>
          <w:rFonts w:hint="eastAsia"/>
          <w:bCs/>
          <w:color w:val="000000"/>
          <w:szCs w:val="32"/>
        </w:rPr>
      </w:pPr>
      <w:r>
        <w:rPr>
          <w:rFonts w:hint="eastAsia" w:ascii="仿宋_GB2312" w:hAnsi="仿宋_GB2312" w:eastAsia="仿宋_GB2312" w:cs="仿宋_GB2312"/>
          <w:sz w:val="28"/>
          <w:szCs w:val="28"/>
        </w:rPr>
        <w:t>一年来，学校先后获得“师德先进集体”、“教育教学先进集体”、 “星级平安学校”等殊荣。</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588" w:firstLineChars="210"/>
        <w:rPr>
          <w:color w:val="000000"/>
          <w:sz w:val="32"/>
          <w:szCs w:val="32"/>
        </w:rPr>
      </w:pPr>
      <w:bookmarkStart w:id="22" w:name="_Toc15396602"/>
      <w:bookmarkStart w:id="23" w:name="_Toc15377204"/>
      <w:r>
        <w:rPr>
          <w:rFonts w:hint="eastAsia" w:hAnsi="仿宋_GB2312" w:cs="仿宋_GB2312"/>
          <w:sz w:val="28"/>
          <w:szCs w:val="28"/>
        </w:rPr>
        <w:t>宣汉县</w:t>
      </w:r>
      <w:r>
        <w:rPr>
          <w:rFonts w:hint="eastAsia" w:hAnsi="仿宋_GB2312" w:cs="仿宋_GB2312"/>
          <w:sz w:val="28"/>
          <w:szCs w:val="28"/>
          <w:lang w:eastAsia="zh-CN"/>
        </w:rPr>
        <w:t>漆碑乡</w:t>
      </w:r>
      <w:r>
        <w:rPr>
          <w:rFonts w:hint="eastAsia" w:hAnsi="仿宋_GB2312" w:cs="仿宋_GB2312"/>
          <w:sz w:val="28"/>
          <w:szCs w:val="28"/>
        </w:rPr>
        <w:t>中心校属财政全额拨款事业单位</w:t>
      </w:r>
      <w:r>
        <w:rPr>
          <w:rFonts w:hint="eastAsia" w:hAnsi="仿宋_GB2312" w:cs="仿宋_GB2312"/>
          <w:sz w:val="28"/>
          <w:szCs w:val="28"/>
          <w:lang w:val="en-US" w:eastAsia="zh-CN"/>
        </w:rPr>
        <w:t>1个</w:t>
      </w:r>
      <w:r>
        <w:rPr>
          <w:rFonts w:hint="eastAsia"/>
          <w:color w:val="000000"/>
          <w:sz w:val="32"/>
          <w:szCs w:val="32"/>
        </w:rPr>
        <w:t>。</w:t>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w:t>
      </w:r>
      <w:r>
        <w:rPr>
          <w:rFonts w:ascii="仿宋" w:hAnsi="仿宋" w:eastAsia="仿宋"/>
          <w:color w:val="000000"/>
          <w:sz w:val="32"/>
          <w:szCs w:val="32"/>
        </w:rPr>
        <w:t>支</w:t>
      </w:r>
      <w:r>
        <w:rPr>
          <w:rFonts w:hint="eastAsia" w:ascii="仿宋" w:hAnsi="仿宋" w:eastAsia="仿宋"/>
          <w:color w:val="000000"/>
          <w:sz w:val="32"/>
          <w:szCs w:val="32"/>
        </w:rPr>
        <w:t>总</w:t>
      </w:r>
      <w:r>
        <w:rPr>
          <w:rFonts w:ascii="仿宋" w:hAnsi="仿宋" w:eastAsia="仿宋"/>
          <w:color w:val="000000"/>
          <w:sz w:val="32"/>
          <w:szCs w:val="32"/>
        </w:rPr>
        <w:t>计</w:t>
      </w:r>
      <w:r>
        <w:rPr>
          <w:rFonts w:hint="eastAsia" w:ascii="仿宋" w:hAnsi="仿宋" w:eastAsia="仿宋"/>
          <w:color w:val="000000"/>
          <w:sz w:val="32"/>
          <w:szCs w:val="32"/>
          <w:lang w:val="en-US" w:eastAsia="zh-CN"/>
        </w:rPr>
        <w:t>857.38</w:t>
      </w:r>
      <w:r>
        <w:rPr>
          <w:rFonts w:hint="eastAsia" w:ascii="仿宋" w:hAnsi="仿宋" w:eastAsia="仿宋"/>
          <w:color w:val="000000"/>
          <w:sz w:val="32"/>
          <w:szCs w:val="32"/>
        </w:rPr>
        <w:t>万</w:t>
      </w:r>
      <w:r>
        <w:rPr>
          <w:rFonts w:ascii="仿宋" w:hAnsi="仿宋" w:eastAsia="仿宋"/>
          <w:color w:val="000000"/>
          <w:sz w:val="32"/>
          <w:szCs w:val="32"/>
        </w:rPr>
        <w:t>元</w:t>
      </w:r>
      <w:r>
        <w:rPr>
          <w:rFonts w:hint="eastAsia" w:ascii="仿宋" w:hAnsi="仿宋" w:eastAsia="仿宋"/>
          <w:color w:val="000000"/>
          <w:sz w:val="32"/>
          <w:szCs w:val="32"/>
        </w:rPr>
        <w:t>。与2017年相比，收、支总计各减少</w:t>
      </w:r>
      <w:r>
        <w:rPr>
          <w:rFonts w:hint="eastAsia" w:ascii="仿宋" w:hAnsi="仿宋" w:eastAsia="仿宋"/>
          <w:color w:val="000000"/>
          <w:sz w:val="32"/>
          <w:szCs w:val="32"/>
          <w:lang w:val="en-US" w:eastAsia="zh-CN"/>
        </w:rPr>
        <w:t>37.04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。主要变动原因是由于城镇</w:t>
      </w:r>
      <w:r>
        <w:rPr>
          <w:rFonts w:ascii="仿宋" w:hAnsi="仿宋" w:eastAsia="仿宋"/>
          <w:color w:val="000000"/>
          <w:sz w:val="32"/>
          <w:szCs w:val="32"/>
        </w:rPr>
        <w:t>集中化，学生</w:t>
      </w:r>
      <w:r>
        <w:rPr>
          <w:rFonts w:hint="eastAsia" w:ascii="仿宋" w:hAnsi="仿宋" w:eastAsia="仿宋"/>
          <w:color w:val="000000"/>
          <w:sz w:val="32"/>
          <w:szCs w:val="32"/>
        </w:rPr>
        <w:t>随</w:t>
      </w:r>
      <w:r>
        <w:rPr>
          <w:rFonts w:ascii="仿宋" w:hAnsi="仿宋" w:eastAsia="仿宋"/>
          <w:color w:val="000000"/>
          <w:sz w:val="32"/>
          <w:szCs w:val="32"/>
        </w:rPr>
        <w:t>父母外出读书等原因学生</w:t>
      </w:r>
      <w:r>
        <w:rPr>
          <w:rFonts w:hint="eastAsia" w:ascii="仿宋" w:hAnsi="仿宋" w:eastAsia="仿宋"/>
          <w:color w:val="000000"/>
          <w:sz w:val="32"/>
          <w:szCs w:val="32"/>
        </w:rPr>
        <w:t>人</w:t>
      </w:r>
      <w:r>
        <w:rPr>
          <w:rFonts w:ascii="仿宋" w:hAnsi="仿宋" w:eastAsia="仿宋"/>
          <w:color w:val="000000"/>
          <w:sz w:val="32"/>
          <w:szCs w:val="32"/>
        </w:rPr>
        <w:t>数的减少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98425</wp:posOffset>
            </wp:positionH>
            <wp:positionV relativeFrom="paragraph">
              <wp:posOffset>206375</wp:posOffset>
            </wp:positionV>
            <wp:extent cx="5183505" cy="2120900"/>
            <wp:effectExtent l="4445" t="4445" r="8890" b="825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_GB2312" w:eastAsia="仿宋_GB2312"/>
          <w:color w:val="FF0000"/>
          <w:sz w:val="32"/>
          <w:szCs w:val="32"/>
        </w:rPr>
        <w:drawing>
          <wp:anchor distT="0" distB="0" distL="114300" distR="114300" simplePos="0" relativeHeight="251665408" behindDoc="0" locked="0" layoutInCell="1" allowOverlap="1">
            <wp:simplePos x="0" y="0"/>
            <wp:positionH relativeFrom="margin">
              <wp:align>left</wp:align>
            </wp:positionH>
            <wp:positionV relativeFrom="paragraph">
              <wp:posOffset>1143000</wp:posOffset>
            </wp:positionV>
            <wp:extent cx="5274310" cy="1586230"/>
            <wp:effectExtent l="0" t="0" r="2540" b="1397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857.38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857.38</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firstLineChars="200"/>
        <w:outlineLvl w:val="1"/>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857.38</w:t>
      </w:r>
      <w:r>
        <w:rPr>
          <w:rFonts w:hint="eastAsia" w:ascii="仿宋" w:hAnsi="仿宋" w:eastAsia="仿宋"/>
          <w:color w:val="000000"/>
          <w:sz w:val="32"/>
          <w:szCs w:val="32"/>
        </w:rPr>
        <w:t>万元，其中：基本支出</w:t>
      </w:r>
      <w:r>
        <w:rPr>
          <w:rFonts w:hint="default" w:ascii="仿宋_GB2312" w:eastAsia="仿宋_GB2312"/>
          <w:color w:val="FF0000"/>
          <w:sz w:val="32"/>
          <w:szCs w:val="32"/>
          <w:lang w:val="en-US"/>
        </w:rPr>
        <w:drawing>
          <wp:anchor distT="0" distB="0" distL="114300" distR="114300" simplePos="0" relativeHeight="251666432" behindDoc="1" locked="0" layoutInCell="1" allowOverlap="1">
            <wp:simplePos x="0" y="0"/>
            <wp:positionH relativeFrom="column">
              <wp:posOffset>408305</wp:posOffset>
            </wp:positionH>
            <wp:positionV relativeFrom="paragraph">
              <wp:posOffset>657860</wp:posOffset>
            </wp:positionV>
            <wp:extent cx="5274310" cy="1579245"/>
            <wp:effectExtent l="0" t="0" r="2540" b="1905"/>
            <wp:wrapTight wrapText="bothSides">
              <wp:wrapPolygon>
                <wp:start x="0" y="0"/>
                <wp:lineTo x="0" y="21366"/>
                <wp:lineTo x="21532" y="21366"/>
                <wp:lineTo x="21532" y="0"/>
                <wp:lineTo x="0" y="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olor w:val="FF0000"/>
          <w:sz w:val="32"/>
          <w:szCs w:val="32"/>
          <w:lang w:val="en-US" w:eastAsia="zh-CN"/>
        </w:rPr>
        <w:t>703.87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153.51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857.38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7年相比，财政拨款收、支总计减少</w:t>
      </w:r>
      <w:r>
        <w:rPr>
          <w:rFonts w:hint="eastAsia" w:ascii="仿宋" w:hAnsi="仿宋" w:eastAsia="仿宋"/>
          <w:color w:val="000000"/>
          <w:sz w:val="32"/>
          <w:szCs w:val="32"/>
          <w:lang w:val="en-US" w:eastAsia="zh-CN"/>
        </w:rPr>
        <w:t>37.04</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。主要变动原因是由于城镇</w:t>
      </w:r>
      <w:r>
        <w:rPr>
          <w:rFonts w:ascii="仿宋" w:hAnsi="仿宋" w:eastAsia="仿宋"/>
          <w:color w:val="000000"/>
          <w:sz w:val="32"/>
          <w:szCs w:val="32"/>
        </w:rPr>
        <w:t>集中化，学生</w:t>
      </w:r>
      <w:r>
        <w:rPr>
          <w:rFonts w:hint="eastAsia" w:ascii="仿宋" w:hAnsi="仿宋" w:eastAsia="仿宋"/>
          <w:color w:val="000000"/>
          <w:sz w:val="32"/>
          <w:szCs w:val="32"/>
        </w:rPr>
        <w:t>随</w:t>
      </w:r>
      <w:r>
        <w:rPr>
          <w:rFonts w:ascii="仿宋" w:hAnsi="仿宋" w:eastAsia="仿宋"/>
          <w:color w:val="000000"/>
          <w:sz w:val="32"/>
          <w:szCs w:val="32"/>
        </w:rPr>
        <w:t>父母外出读书等原因学生</w:t>
      </w:r>
      <w:r>
        <w:rPr>
          <w:rFonts w:hint="eastAsia" w:ascii="仿宋" w:hAnsi="仿宋" w:eastAsia="仿宋"/>
          <w:color w:val="000000"/>
          <w:sz w:val="32"/>
          <w:szCs w:val="32"/>
        </w:rPr>
        <w:t>人</w:t>
      </w:r>
      <w:r>
        <w:rPr>
          <w:rFonts w:ascii="仿宋" w:hAnsi="仿宋" w:eastAsia="仿宋"/>
          <w:color w:val="000000"/>
          <w:sz w:val="32"/>
          <w:szCs w:val="32"/>
        </w:rPr>
        <w:t>数的减少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8480" behindDoc="0" locked="0" layoutInCell="1" allowOverlap="1">
            <wp:simplePos x="0" y="0"/>
            <wp:positionH relativeFrom="column">
              <wp:posOffset>0</wp:posOffset>
            </wp:positionH>
            <wp:positionV relativeFrom="paragraph">
              <wp:posOffset>381000</wp:posOffset>
            </wp:positionV>
            <wp:extent cx="5274310" cy="1953895"/>
            <wp:effectExtent l="0" t="0" r="2540" b="825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857.38</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37.04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。主要变动原因是由于城镇</w:t>
      </w:r>
      <w:r>
        <w:rPr>
          <w:rFonts w:ascii="仿宋" w:hAnsi="仿宋" w:eastAsia="仿宋"/>
          <w:color w:val="000000"/>
          <w:sz w:val="32"/>
          <w:szCs w:val="32"/>
        </w:rPr>
        <w:t>集中</w:t>
      </w: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1" locked="0" layoutInCell="1" allowOverlap="1">
            <wp:simplePos x="0" y="0"/>
            <wp:positionH relativeFrom="margin">
              <wp:align>left</wp:align>
            </wp:positionH>
            <wp:positionV relativeFrom="paragraph">
              <wp:posOffset>650875</wp:posOffset>
            </wp:positionV>
            <wp:extent cx="4855845" cy="1981200"/>
            <wp:effectExtent l="0" t="0" r="1905"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化，学生</w:t>
      </w:r>
      <w:r>
        <w:rPr>
          <w:rFonts w:hint="eastAsia" w:ascii="仿宋" w:hAnsi="仿宋" w:eastAsia="仿宋"/>
          <w:color w:val="000000"/>
          <w:sz w:val="32"/>
          <w:szCs w:val="32"/>
        </w:rPr>
        <w:t>随</w:t>
      </w:r>
      <w:r>
        <w:rPr>
          <w:rFonts w:ascii="仿宋" w:hAnsi="仿宋" w:eastAsia="仿宋"/>
          <w:color w:val="000000"/>
          <w:sz w:val="32"/>
          <w:szCs w:val="32"/>
        </w:rPr>
        <w:t>父母外出读书等原因学生</w:t>
      </w:r>
      <w:r>
        <w:rPr>
          <w:rFonts w:hint="eastAsia" w:ascii="仿宋" w:hAnsi="仿宋" w:eastAsia="仿宋"/>
          <w:color w:val="000000"/>
          <w:sz w:val="32"/>
          <w:szCs w:val="32"/>
        </w:rPr>
        <w:t>人</w:t>
      </w:r>
      <w:r>
        <w:rPr>
          <w:rFonts w:ascii="仿宋" w:hAnsi="仿宋" w:eastAsia="仿宋"/>
          <w:color w:val="000000"/>
          <w:sz w:val="32"/>
          <w:szCs w:val="32"/>
        </w:rPr>
        <w:t>数的减少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857.38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727.78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84.88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63.89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7.45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2.46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44.71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1312" behindDoc="0" locked="0" layoutInCell="1" allowOverlap="1">
            <wp:simplePos x="0" y="0"/>
            <wp:positionH relativeFrom="margin">
              <wp:posOffset>53975</wp:posOffset>
            </wp:positionH>
            <wp:positionV relativeFrom="paragraph">
              <wp:posOffset>180340</wp:posOffset>
            </wp:positionV>
            <wp:extent cx="5929630" cy="2155190"/>
            <wp:effectExtent l="5080" t="4445" r="8890" b="1968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color w:val="000000"/>
          <w:sz w:val="32"/>
          <w:szCs w:val="32"/>
          <w:lang w:val="en-US" w:eastAsia="zh-CN"/>
        </w:rPr>
        <w:t>857.38</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教育（类）普通教育（款）学前</w:t>
      </w:r>
      <w:r>
        <w:rPr>
          <w:rStyle w:val="14"/>
          <w:rFonts w:ascii="仿宋" w:hAnsi="仿宋" w:eastAsia="仿宋"/>
          <w:bCs/>
          <w:color w:val="000000"/>
          <w:sz w:val="32"/>
          <w:szCs w:val="32"/>
        </w:rPr>
        <w:t>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31.33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教育（类）普通教育（款）小学</w:t>
      </w:r>
      <w:r>
        <w:rPr>
          <w:rStyle w:val="14"/>
          <w:rFonts w:ascii="仿宋" w:hAnsi="仿宋" w:eastAsia="仿宋"/>
          <w:bCs/>
          <w:color w:val="000000"/>
          <w:sz w:val="32"/>
          <w:szCs w:val="32"/>
        </w:rPr>
        <w:t>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693.95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教育（类）普通教育（款）其他普通教育支出（项）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2.5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教育（类）教育费附加安排的支出（款）其他教育费附加安排的支出（项）</w:t>
      </w:r>
      <w:r>
        <w:rPr>
          <w:rStyle w:val="14"/>
          <w:rFonts w:ascii="仿宋" w:hAnsi="仿宋" w:eastAsia="仿宋"/>
          <w:bCs/>
          <w:color w:val="000000"/>
          <w:sz w:val="32"/>
          <w:szCs w:val="32"/>
        </w:rPr>
        <w:t>:</w:t>
      </w:r>
    </w:p>
    <w:p>
      <w:pPr>
        <w:numPr>
          <w:ilvl w:val="0"/>
          <w:numId w:val="2"/>
        </w:num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文化体育与传媒（类）其他文化体育与传媒支出（款）其他文化体育与传媒支出（项）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p>
    <w:p>
      <w:pPr>
        <w:numPr>
          <w:ilvl w:val="0"/>
          <w:numId w:val="2"/>
        </w:num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63.89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社会保障和就业（类）行政事业单位离退休（款）机关事业单位职业年金缴费支出★（项）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63.89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医疗卫生与计划生育（类）行政事业单位医疗★（款）  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5</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44.71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703.88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590.39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113.49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2.69</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8年“三公”经费财政拨款支出决算中，公务接待费支出决算</w:t>
      </w:r>
      <w:r>
        <w:rPr>
          <w:rFonts w:hint="eastAsia" w:ascii="仿宋" w:hAnsi="仿宋" w:eastAsia="仿宋"/>
          <w:color w:val="000000"/>
          <w:sz w:val="32"/>
          <w:szCs w:val="32"/>
          <w:lang w:val="en-US" w:eastAsia="zh-CN"/>
        </w:rPr>
        <w:t>2.69</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2.69</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ascii="仿宋_GB2312" w:eastAsia="仿宋_GB2312"/>
          <w:color w:val="000000"/>
          <w:sz w:val="32"/>
          <w:szCs w:val="32"/>
        </w:rPr>
        <w:t>0.1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3.71</w:t>
      </w:r>
      <w:r>
        <w:rPr>
          <w:rFonts w:ascii="仿宋_GB2312" w:eastAsia="仿宋_GB2312"/>
          <w:color w:val="000000"/>
          <w:sz w:val="32"/>
          <w:szCs w:val="32"/>
        </w:rPr>
        <w:t>%</w:t>
      </w:r>
      <w:r>
        <w:rPr>
          <w:rFonts w:hint="eastAsia" w:ascii="仿宋_GB2312" w:eastAsia="仿宋_GB2312"/>
          <w:color w:val="000000"/>
          <w:sz w:val="32"/>
          <w:szCs w:val="32"/>
        </w:rPr>
        <w:t>。主要原因是学校严格</w:t>
      </w:r>
      <w:r>
        <w:rPr>
          <w:rFonts w:ascii="仿宋_GB2312" w:eastAsia="仿宋_GB2312"/>
          <w:color w:val="000000"/>
          <w:sz w:val="32"/>
          <w:szCs w:val="32"/>
        </w:rPr>
        <w:t>执行上级文</w:t>
      </w:r>
      <w:r>
        <w:rPr>
          <w:rFonts w:hint="eastAsia" w:ascii="仿宋_GB2312" w:eastAsia="仿宋_GB2312"/>
          <w:color w:val="000000"/>
          <w:sz w:val="32"/>
          <w:szCs w:val="32"/>
        </w:rPr>
        <w:t>件</w:t>
      </w:r>
      <w:r>
        <w:rPr>
          <w:rFonts w:ascii="仿宋_GB2312" w:eastAsia="仿宋_GB2312"/>
          <w:color w:val="000000"/>
          <w:sz w:val="32"/>
          <w:szCs w:val="32"/>
        </w:rPr>
        <w:t>精神，厉行节约</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45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850</w:t>
      </w:r>
      <w:r>
        <w:rPr>
          <w:rFonts w:hint="eastAsia" w:ascii="仿宋_GB2312" w:eastAsia="仿宋_GB2312"/>
          <w:color w:val="000000"/>
          <w:sz w:val="32"/>
          <w:szCs w:val="32"/>
        </w:rPr>
        <w:t>人次（不包括陪同人员），共计支出</w:t>
      </w:r>
      <w:r>
        <w:rPr>
          <w:rFonts w:hint="eastAsia" w:ascii="仿宋_GB2312" w:eastAsia="仿宋_GB2312"/>
          <w:color w:val="000000"/>
          <w:sz w:val="36"/>
          <w:szCs w:val="36"/>
          <w:lang w:val="en-US" w:eastAsia="zh-CN"/>
        </w:rPr>
        <w:t>2.69</w:t>
      </w:r>
      <w:r>
        <w:rPr>
          <w:rFonts w:hint="eastAsia" w:ascii="仿宋_GB2312" w:eastAsia="仿宋_GB2312"/>
          <w:color w:val="000000"/>
          <w:sz w:val="32"/>
          <w:szCs w:val="32"/>
        </w:rPr>
        <w:t>万元，具体内容包括：</w:t>
      </w:r>
      <w:bookmarkStart w:id="46" w:name="_Toc15377218"/>
      <w:bookmarkStart w:id="47" w:name="_Toc15396610"/>
      <w:r>
        <w:rPr>
          <w:rFonts w:hint="eastAsia" w:ascii="仿宋_GB2312" w:eastAsia="仿宋_GB2312"/>
          <w:color w:val="000000"/>
          <w:sz w:val="32"/>
          <w:szCs w:val="32"/>
        </w:rPr>
        <w:t>201</w:t>
      </w:r>
      <w:r>
        <w:rPr>
          <w:rFonts w:ascii="仿宋_GB2312" w:eastAsia="仿宋_GB2312"/>
          <w:color w:val="000000"/>
          <w:sz w:val="32"/>
          <w:szCs w:val="32"/>
        </w:rPr>
        <w:t>8</w:t>
      </w:r>
      <w:r>
        <w:rPr>
          <w:rFonts w:hint="eastAsia" w:ascii="仿宋_GB2312" w:eastAsia="仿宋_GB2312"/>
          <w:color w:val="000000"/>
          <w:sz w:val="32"/>
          <w:szCs w:val="32"/>
        </w:rPr>
        <w:t>年学校安全检查、食品卫生检查指导、学校发展检查指导等</w:t>
      </w:r>
      <w:r>
        <w:rPr>
          <w:rFonts w:hint="eastAsia" w:ascii="仿宋_GB2312" w:eastAsia="仿宋_GB2312"/>
          <w:color w:val="000000"/>
          <w:sz w:val="32"/>
          <w:szCs w:val="32"/>
          <w:lang w:val="en-US" w:eastAsia="zh-CN"/>
        </w:rPr>
        <w:t>1.91</w:t>
      </w:r>
      <w:r>
        <w:rPr>
          <w:rFonts w:hint="eastAsia" w:ascii="仿宋_GB2312" w:eastAsia="仿宋_GB2312"/>
          <w:color w:val="000000"/>
          <w:sz w:val="32"/>
          <w:szCs w:val="32"/>
        </w:rPr>
        <w:t>万元，用于接待指导我校教师业务能力培训、对学生能力检测等接待费用</w:t>
      </w:r>
      <w:r>
        <w:rPr>
          <w:rFonts w:hint="eastAsia" w:ascii="仿宋_GB2312" w:eastAsia="仿宋_GB2312"/>
          <w:color w:val="000000"/>
          <w:sz w:val="32"/>
          <w:szCs w:val="32"/>
          <w:lang w:val="en-US" w:eastAsia="zh-CN"/>
        </w:rPr>
        <w:t>0.78</w:t>
      </w:r>
      <w:r>
        <w:rPr>
          <w:rFonts w:hint="eastAsia" w:ascii="仿宋_GB2312" w:eastAsia="仿宋_GB2312"/>
          <w:color w:val="000000"/>
          <w:sz w:val="32"/>
          <w:szCs w:val="32"/>
        </w:rPr>
        <w:t>万元。</w:t>
      </w:r>
    </w:p>
    <w:p>
      <w:pPr>
        <w:spacing w:line="600" w:lineRule="exact"/>
        <w:ind w:firstLine="640" w:firstLineChars="200"/>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320" w:firstLineChars="100"/>
        <w:rPr>
          <w:rFonts w:ascii="黑体" w:hAnsi="黑体" w:eastAsia="黑体" w:cstheme="majorBidi"/>
          <w:bCs/>
          <w:sz w:val="32"/>
          <w:szCs w:val="32"/>
        </w:rPr>
      </w:pPr>
      <w:r>
        <w:rPr>
          <w:rFonts w:hint="eastAsia" w:ascii="黑体" w:hAnsi="黑体" w:eastAsia="黑体" w:cstheme="majorBidi"/>
          <w:bCs/>
          <w:sz w:val="32"/>
          <w:szCs w:val="32"/>
        </w:rPr>
        <w:t>（一）</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eastAsia="仿宋_GB2312"/>
          <w:color w:val="000000"/>
          <w:sz w:val="32"/>
          <w:szCs w:val="32"/>
        </w:rPr>
        <w:t>一般公共预算</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本部门按要求对2018年部门整体支出开展绩效自评，从评价情况来看各部门工作井然有序,教学工作成绩显著。</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下一步改进措施：加强对项目管理，提高项目绩效的社会效益、生态效益及其使用效率。</w:t>
      </w:r>
    </w:p>
    <w:p>
      <w:pPr>
        <w:spacing w:line="580" w:lineRule="exact"/>
        <w:rPr>
          <w:rFonts w:ascii="Calibri" w:hAnsi="Calibri"/>
        </w:rPr>
      </w:pP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p>
    <w:p>
      <w:pPr>
        <w:spacing w:line="580" w:lineRule="exact"/>
        <w:rPr>
          <w:rFonts w:ascii="仿宋_GB2312" w:hAnsi="仿宋_GB2312" w:eastAsia="仿宋_GB2312" w:cs="仿宋_GB2312"/>
          <w:sz w:val="32"/>
          <w:szCs w:val="32"/>
        </w:rPr>
      </w:pPr>
    </w:p>
    <w:p>
      <w:pPr>
        <w:pStyle w:val="23"/>
        <w:numPr>
          <w:ilvl w:val="0"/>
          <w:numId w:val="5"/>
        </w:numPr>
        <w:spacing w:line="580" w:lineRule="exact"/>
        <w:ind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23"/>
        <w:spacing w:line="580" w:lineRule="exact"/>
        <w:ind w:left="420"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本部门按要求对2018年部门整体支出绩效评价情况开展自评，《宣汉县</w:t>
      </w:r>
      <w:r>
        <w:rPr>
          <w:rFonts w:hint="eastAsia" w:ascii="仿宋_GB2312" w:hAnsi="仿宋_GB2312" w:eastAsia="仿宋_GB2312" w:cs="仿宋_GB2312"/>
          <w:sz w:val="32"/>
          <w:szCs w:val="32"/>
          <w:lang w:val="en-US" w:eastAsia="zh-CN"/>
        </w:rPr>
        <w:t>漆碑乡</w:t>
      </w:r>
      <w:r>
        <w:rPr>
          <w:rFonts w:ascii="仿宋_GB2312" w:hAnsi="仿宋_GB2312" w:eastAsia="仿宋_GB2312" w:cs="仿宋_GB2312"/>
          <w:sz w:val="32"/>
          <w:szCs w:val="32"/>
        </w:rPr>
        <w:t>中心校</w:t>
      </w:r>
      <w:r>
        <w:rPr>
          <w:rFonts w:hint="eastAsia" w:ascii="仿宋_GB2312" w:hAnsi="仿宋_GB2312" w:eastAsia="仿宋_GB2312" w:cs="仿宋_GB2312"/>
          <w:sz w:val="32"/>
          <w:szCs w:val="32"/>
        </w:rPr>
        <w:t>2018年部门整体支出绩效评价报告》见附件。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center"/>
        <w:outlineLvl w:val="0"/>
        <w:rPr>
          <w:rStyle w:val="24"/>
        </w:rPr>
      </w:pPr>
    </w:p>
    <w:p>
      <w:pPr>
        <w:pStyle w:val="3"/>
        <w:rPr>
          <w:rStyle w:val="24"/>
          <w:rFonts w:ascii="仿宋" w:hAnsi="仿宋" w:eastAsia="仿宋"/>
          <w:b w:val="0"/>
          <w:bCs w:val="0"/>
          <w:sz w:val="32"/>
          <w:szCs w:val="32"/>
        </w:rPr>
      </w:pPr>
      <w:bookmarkStart w:id="56" w:name="_Toc15396615"/>
      <w:r>
        <w:rPr>
          <w:rStyle w:val="24"/>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0"/>
          <w:szCs w:val="30"/>
        </w:rPr>
      </w:pPr>
      <w:r>
        <w:rPr>
          <w:rFonts w:hint="eastAsia" w:ascii="黑体" w:hAnsi="黑体" w:eastAsia="黑体" w:cs="方正小标宋简体"/>
          <w:sz w:val="30"/>
          <w:szCs w:val="30"/>
        </w:rPr>
        <w:t>宣汉县</w:t>
      </w:r>
      <w:r>
        <w:rPr>
          <w:rFonts w:hint="eastAsia" w:ascii="黑体" w:hAnsi="黑体" w:eastAsia="黑体" w:cs="方正小标宋简体"/>
          <w:sz w:val="30"/>
          <w:szCs w:val="30"/>
          <w:lang w:val="en-US" w:eastAsia="zh-CN"/>
        </w:rPr>
        <w:t>漆碑乡</w:t>
      </w:r>
      <w:r>
        <w:rPr>
          <w:rFonts w:ascii="黑体" w:hAnsi="黑体" w:eastAsia="黑体" w:cs="方正小标宋简体"/>
          <w:sz w:val="30"/>
          <w:szCs w:val="30"/>
        </w:rPr>
        <w:t>中心校</w:t>
      </w:r>
      <w:r>
        <w:rPr>
          <w:rFonts w:hint="eastAsia" w:ascii="黑体" w:hAnsi="黑体" w:eastAsia="黑体" w:cs="方正小标宋简体"/>
          <w:sz w:val="30"/>
          <w:szCs w:val="30"/>
        </w:rPr>
        <w:t>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w:t>
      </w:r>
      <w:r>
        <w:rPr>
          <w:rFonts w:hint="eastAsia" w:ascii="仿宋_GB2312" w:hAnsi="Calibri" w:eastAsia="仿宋_GB2312" w:cs="仿宋"/>
          <w:color w:val="000000"/>
          <w:kern w:val="0"/>
          <w:sz w:val="32"/>
          <w:szCs w:val="32"/>
          <w:lang w:val="en-US" w:eastAsia="zh-CN"/>
        </w:rPr>
        <w:t>漆碑乡</w:t>
      </w:r>
      <w:r>
        <w:rPr>
          <w:rFonts w:ascii="仿宋_GB2312" w:hAnsi="Calibri" w:eastAsia="仿宋_GB2312" w:cs="仿宋"/>
          <w:color w:val="000000"/>
          <w:kern w:val="0"/>
          <w:sz w:val="32"/>
          <w:szCs w:val="32"/>
        </w:rPr>
        <w:t>中心校</w:t>
      </w:r>
      <w:r>
        <w:rPr>
          <w:rFonts w:hint="eastAsia" w:ascii="仿宋_GB2312" w:hAnsi="Calibri" w:eastAsia="仿宋_GB2312" w:cs="仿宋"/>
          <w:color w:val="000000"/>
          <w:kern w:val="0"/>
          <w:sz w:val="32"/>
          <w:szCs w:val="32"/>
        </w:rPr>
        <w:t>是一所九年</w:t>
      </w:r>
      <w:r>
        <w:rPr>
          <w:rFonts w:ascii="仿宋_GB2312" w:hAnsi="Calibri" w:eastAsia="仿宋_GB2312" w:cs="仿宋"/>
          <w:color w:val="000000"/>
          <w:kern w:val="0"/>
          <w:sz w:val="32"/>
          <w:szCs w:val="32"/>
        </w:rPr>
        <w:t>一贯制学校</w:t>
      </w:r>
      <w:r>
        <w:rPr>
          <w:rFonts w:hint="eastAsia" w:ascii="仿宋_GB2312" w:hAnsi="Calibri" w:eastAsia="仿宋_GB2312" w:cs="仿宋"/>
          <w:color w:val="000000"/>
          <w:kern w:val="0"/>
          <w:sz w:val="32"/>
          <w:szCs w:val="32"/>
        </w:rPr>
        <w:t>,主管部门为宣汉县教育科技局。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napToGrid w:val="0"/>
        <w:spacing w:line="52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w:t>
      </w:r>
      <w:r>
        <w:rPr>
          <w:rFonts w:hint="eastAsia" w:ascii="仿宋_GB2312" w:hAnsi="Calibri" w:eastAsia="仿宋_GB2312" w:cs="仿宋"/>
          <w:color w:val="000000"/>
          <w:kern w:val="0"/>
          <w:sz w:val="32"/>
          <w:szCs w:val="32"/>
          <w:lang w:val="en-US" w:eastAsia="zh-CN"/>
        </w:rPr>
        <w:t>漆碑乡</w:t>
      </w:r>
      <w:r>
        <w:rPr>
          <w:rFonts w:ascii="仿宋_GB2312" w:hAnsi="Calibri" w:eastAsia="仿宋_GB2312" w:cs="仿宋"/>
          <w:color w:val="000000"/>
          <w:kern w:val="0"/>
          <w:sz w:val="32"/>
          <w:szCs w:val="32"/>
        </w:rPr>
        <w:t>中心校</w:t>
      </w:r>
      <w:r>
        <w:rPr>
          <w:rFonts w:hint="eastAsia" w:ascii="仿宋_GB2312" w:hAnsi="Calibri" w:eastAsia="仿宋_GB2312" w:cs="仿宋"/>
          <w:color w:val="000000"/>
          <w:kern w:val="0"/>
          <w:sz w:val="32"/>
          <w:szCs w:val="32"/>
        </w:rPr>
        <w:t>的基本职能和主要工作是：</w:t>
      </w:r>
      <w:r>
        <w:rPr>
          <w:rFonts w:hint="eastAsia" w:ascii="仿宋_GB2312" w:eastAsia="仿宋_GB2312"/>
          <w:color w:val="000000"/>
          <w:sz w:val="32"/>
          <w:szCs w:val="32"/>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napToGrid w:val="0"/>
        <w:spacing w:line="520" w:lineRule="exact"/>
        <w:ind w:firstLine="640" w:firstLineChars="200"/>
        <w:rPr>
          <w:rFonts w:ascii="仿宋" w:hAnsi="仿宋" w:eastAsia="仿宋" w:cs="仿宋_GB2312"/>
          <w:sz w:val="32"/>
          <w:szCs w:val="32"/>
        </w:rPr>
      </w:pPr>
      <w:r>
        <w:rPr>
          <w:rFonts w:hint="eastAsia" w:ascii="仿宋_GB2312" w:eastAsia="仿宋_GB2312"/>
          <w:color w:val="000000"/>
          <w:sz w:val="32"/>
          <w:szCs w:val="32"/>
          <w:lang w:val="en-US" w:eastAsia="zh-CN"/>
        </w:rPr>
        <w:t>宣汉县漆碑乡</w:t>
      </w:r>
      <w:r>
        <w:rPr>
          <w:rFonts w:hint="eastAsia" w:ascii="仿宋_GB2312" w:eastAsia="仿宋_GB2312"/>
          <w:color w:val="000000"/>
          <w:sz w:val="32"/>
          <w:szCs w:val="32"/>
        </w:rPr>
        <w:t>中心校是所集小学教育、初中教育为一体的九年一贯制义务教育学校。辖区内一所中心校和</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所村小</w:t>
      </w:r>
      <w:r>
        <w:rPr>
          <w:rFonts w:hint="eastAsia" w:ascii="仿宋_GB2312" w:eastAsia="仿宋_GB2312"/>
          <w:color w:val="000000"/>
          <w:sz w:val="32"/>
          <w:szCs w:val="32"/>
          <w:lang w:val="en-US" w:eastAsia="zh-CN"/>
        </w:rPr>
        <w:t>2个教学点</w:t>
      </w:r>
      <w:r>
        <w:rPr>
          <w:rFonts w:hint="eastAsia" w:ascii="仿宋_GB2312" w:eastAsia="仿宋_GB2312"/>
          <w:color w:val="000000"/>
          <w:sz w:val="32"/>
          <w:szCs w:val="32"/>
        </w:rPr>
        <w:t>。月溪中心校核编</w:t>
      </w:r>
      <w:r>
        <w:rPr>
          <w:rFonts w:hint="eastAsia" w:ascii="仿宋_GB2312" w:eastAsia="仿宋_GB2312"/>
          <w:color w:val="000000"/>
          <w:sz w:val="32"/>
          <w:szCs w:val="32"/>
          <w:lang w:val="en-US" w:eastAsia="zh-CN"/>
        </w:rPr>
        <w:t>54</w:t>
      </w:r>
      <w:r>
        <w:rPr>
          <w:rFonts w:hint="eastAsia" w:ascii="仿宋_GB2312" w:eastAsia="仿宋_GB2312"/>
          <w:color w:val="000000"/>
          <w:sz w:val="32"/>
          <w:szCs w:val="32"/>
        </w:rPr>
        <w:t>人，现有在岗职工</w:t>
      </w:r>
      <w:r>
        <w:rPr>
          <w:rFonts w:hint="eastAsia" w:ascii="仿宋_GB2312" w:eastAsia="仿宋_GB2312"/>
          <w:color w:val="000000"/>
          <w:sz w:val="32"/>
          <w:szCs w:val="32"/>
          <w:lang w:val="en-US" w:eastAsia="zh-CN"/>
        </w:rPr>
        <w:t>52</w:t>
      </w:r>
      <w:r>
        <w:rPr>
          <w:rFonts w:hint="eastAsia" w:ascii="仿宋_GB2312" w:eastAsia="仿宋_GB2312"/>
          <w:color w:val="000000"/>
          <w:sz w:val="32"/>
          <w:szCs w:val="32"/>
        </w:rPr>
        <w:t>人，其中在职职工</w:t>
      </w:r>
      <w:r>
        <w:rPr>
          <w:rFonts w:hint="eastAsia" w:ascii="仿宋_GB2312" w:eastAsia="仿宋_GB2312"/>
          <w:color w:val="000000"/>
          <w:sz w:val="32"/>
          <w:szCs w:val="32"/>
          <w:lang w:val="en-US" w:eastAsia="zh-CN"/>
        </w:rPr>
        <w:t>37</w:t>
      </w:r>
      <w:r>
        <w:rPr>
          <w:rFonts w:hint="eastAsia" w:ascii="仿宋_GB2312" w:eastAsia="仿宋_GB2312"/>
          <w:color w:val="000000"/>
          <w:sz w:val="32"/>
          <w:szCs w:val="32"/>
        </w:rPr>
        <w:t>人，特岗教师</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人，遗属</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2018年收入合计</w:t>
      </w:r>
      <w:r>
        <w:rPr>
          <w:rFonts w:hint="eastAsia" w:ascii="仿宋_GB2312" w:hAnsi="Calibri" w:eastAsia="仿宋_GB2312" w:cs="仿宋"/>
          <w:color w:val="000000"/>
          <w:kern w:val="0"/>
          <w:sz w:val="32"/>
          <w:szCs w:val="32"/>
          <w:lang w:val="en-US" w:eastAsia="zh-CN"/>
        </w:rPr>
        <w:t>857.38</w:t>
      </w:r>
      <w:r>
        <w:rPr>
          <w:rFonts w:hint="eastAsia" w:ascii="仿宋_GB2312" w:hAnsi="Calibri" w:eastAsia="仿宋_GB2312" w:cs="仿宋"/>
          <w:color w:val="000000"/>
          <w:kern w:val="0"/>
          <w:sz w:val="32"/>
          <w:szCs w:val="32"/>
        </w:rPr>
        <w:t>万元，全部为一般公共预算财政拨款收入。</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2018年一般公共预算财政拨款支出</w:t>
      </w:r>
      <w:r>
        <w:rPr>
          <w:rFonts w:hint="eastAsia" w:ascii="仿宋_GB2312" w:hAnsi="Calibri" w:eastAsia="仿宋_GB2312" w:cs="仿宋"/>
          <w:color w:val="000000"/>
          <w:kern w:val="0"/>
          <w:sz w:val="32"/>
          <w:szCs w:val="32"/>
          <w:lang w:val="en-US" w:eastAsia="zh-CN"/>
        </w:rPr>
        <w:t>857.38</w:t>
      </w:r>
      <w:r>
        <w:rPr>
          <w:rFonts w:hint="eastAsia" w:ascii="仿宋_GB2312" w:hAnsi="Calibri" w:eastAsia="仿宋_GB2312" w:cs="仿宋"/>
          <w:color w:val="000000"/>
          <w:kern w:val="0"/>
          <w:sz w:val="32"/>
          <w:szCs w:val="32"/>
        </w:rPr>
        <w:t>万元，主要用于以下方面:教育支出</w:t>
      </w:r>
      <w:r>
        <w:rPr>
          <w:rFonts w:hint="eastAsia" w:ascii="仿宋_GB2312" w:hAnsi="Calibri" w:eastAsia="仿宋_GB2312" w:cs="仿宋"/>
          <w:color w:val="000000"/>
          <w:kern w:val="0"/>
          <w:sz w:val="32"/>
          <w:szCs w:val="32"/>
          <w:lang w:val="en-US" w:eastAsia="zh-CN"/>
        </w:rPr>
        <w:t>727.78</w:t>
      </w:r>
      <w:r>
        <w:rPr>
          <w:rFonts w:hint="eastAsia" w:ascii="仿宋_GB2312" w:hAnsi="Calibri" w:eastAsia="仿宋_GB2312" w:cs="仿宋"/>
          <w:color w:val="000000"/>
          <w:kern w:val="0"/>
          <w:sz w:val="32"/>
          <w:szCs w:val="32"/>
        </w:rPr>
        <w:t>万元，社会保障和就业支出</w:t>
      </w:r>
      <w:r>
        <w:rPr>
          <w:rFonts w:hint="eastAsia" w:ascii="仿宋_GB2312" w:hAnsi="Calibri" w:eastAsia="仿宋_GB2312" w:cs="仿宋"/>
          <w:color w:val="000000"/>
          <w:kern w:val="0"/>
          <w:sz w:val="32"/>
          <w:szCs w:val="32"/>
          <w:lang w:val="en-US" w:eastAsia="zh-CN"/>
        </w:rPr>
        <w:t>63.89</w:t>
      </w:r>
      <w:r>
        <w:rPr>
          <w:rFonts w:hint="eastAsia" w:ascii="仿宋_GB2312" w:hAnsi="Calibri" w:eastAsia="仿宋_GB2312" w:cs="仿宋"/>
          <w:color w:val="000000"/>
          <w:kern w:val="0"/>
          <w:sz w:val="32"/>
          <w:szCs w:val="32"/>
        </w:rPr>
        <w:t>万元，医疗卫生与计划生育支出</w:t>
      </w:r>
      <w:r>
        <w:rPr>
          <w:rFonts w:hint="eastAsia" w:ascii="仿宋_GB2312" w:hAnsi="Calibri" w:eastAsia="仿宋_GB2312" w:cs="仿宋"/>
          <w:color w:val="000000"/>
          <w:kern w:val="0"/>
          <w:sz w:val="32"/>
          <w:szCs w:val="32"/>
          <w:lang w:val="en-US" w:eastAsia="zh-CN"/>
        </w:rPr>
        <w:t>21</w:t>
      </w:r>
      <w:r>
        <w:rPr>
          <w:rFonts w:hint="eastAsia" w:ascii="仿宋_GB2312" w:hAnsi="Calibri" w:eastAsia="仿宋_GB2312" w:cs="仿宋"/>
          <w:color w:val="000000"/>
          <w:kern w:val="0"/>
          <w:sz w:val="32"/>
          <w:szCs w:val="32"/>
        </w:rPr>
        <w:t>万元，住房保障支出</w:t>
      </w:r>
      <w:r>
        <w:rPr>
          <w:rFonts w:hint="eastAsia" w:ascii="仿宋_GB2312" w:hAnsi="Calibri" w:eastAsia="仿宋_GB2312" w:cs="仿宋"/>
          <w:color w:val="000000"/>
          <w:kern w:val="0"/>
          <w:sz w:val="32"/>
          <w:szCs w:val="32"/>
          <w:lang w:val="en-US" w:eastAsia="zh-CN"/>
        </w:rPr>
        <w:t>44.71</w:t>
      </w:r>
      <w:r>
        <w:rPr>
          <w:rFonts w:hint="eastAsia" w:ascii="仿宋_GB2312" w:hAnsi="Calibri" w:eastAsia="仿宋_GB2312" w:cs="仿宋"/>
          <w:color w:val="000000"/>
          <w:kern w:val="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w:t>
      </w:r>
      <w:r>
        <w:rPr>
          <w:rFonts w:hint="eastAsia" w:ascii="仿宋_GB2312" w:hAnsi="Calibri" w:eastAsia="仿宋_GB2312" w:cs="仿宋"/>
          <w:color w:val="000000"/>
          <w:kern w:val="0"/>
          <w:sz w:val="32"/>
          <w:szCs w:val="32"/>
          <w:lang w:val="en-US" w:eastAsia="zh-CN"/>
        </w:rPr>
        <w:t>漆碑乡</w:t>
      </w:r>
      <w:r>
        <w:rPr>
          <w:rFonts w:ascii="仿宋_GB2312" w:hAnsi="Calibri" w:eastAsia="仿宋_GB2312" w:cs="仿宋"/>
          <w:color w:val="000000"/>
          <w:kern w:val="0"/>
          <w:sz w:val="32"/>
          <w:szCs w:val="32"/>
        </w:rPr>
        <w:t>中心校</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贯彻落实中央八项规定和省、市相关文件精神。进一步加强“三公”经费管理，严格执行党政机关公务接待管理规定，尽力压</w:t>
      </w:r>
      <w:bookmarkStart w:id="71" w:name="_GoBack"/>
      <w:bookmarkEnd w:id="71"/>
      <w:r>
        <w:rPr>
          <w:rFonts w:hint="eastAsia" w:ascii="仿宋_GB2312" w:hAnsi="Calibri" w:eastAsia="仿宋_GB2312" w:cs="仿宋"/>
          <w:color w:val="000000"/>
          <w:kern w:val="0"/>
          <w:sz w:val="32"/>
          <w:szCs w:val="32"/>
        </w:rPr>
        <w:t>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由于我校缺编严重，交通闭塞，故而我校本年度聘请了很多临时代课老师，学校用于临聘教师资金较多，严重制约了学校的发展。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9"/>
    </w:p>
    <w:p>
      <w:pPr>
        <w:pStyle w:val="3"/>
        <w:rPr>
          <w:rFonts w:ascii="仿宋" w:hAnsi="仿宋" w:eastAsia="仿宋"/>
          <w:color w:val="000000"/>
        </w:rPr>
      </w:pPr>
      <w:bookmarkStart w:id="6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0"/>
    </w:p>
    <w:p>
      <w:pPr>
        <w:pStyle w:val="3"/>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14:textFill>
            <w14:solidFill>
              <w14:schemeClr w14:val="tx1"/>
            </w14:solidFill>
          </w14:textFill>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59AD9"/>
    <w:multiLevelType w:val="singleLevel"/>
    <w:tmpl w:val="CE359AD9"/>
    <w:lvl w:ilvl="0" w:tentative="0">
      <w:start w:val="2"/>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48BE5F42"/>
    <w:multiLevelType w:val="multilevel"/>
    <w:tmpl w:val="48BE5F42"/>
    <w:lvl w:ilvl="0" w:tentative="0">
      <w:start w:val="2"/>
      <w:numFmt w:val="japaneseCounting"/>
      <w:lvlText w:val="（%1）"/>
      <w:lvlJc w:val="left"/>
      <w:pPr>
        <w:ind w:left="1080" w:hanging="1080"/>
      </w:pPr>
      <w:rPr>
        <w:rFonts w:hint="default"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0EE9"/>
    <w:rsid w:val="000222C6"/>
    <w:rsid w:val="0002549F"/>
    <w:rsid w:val="00032764"/>
    <w:rsid w:val="00042827"/>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026DD"/>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3F5"/>
    <w:rsid w:val="00204B7A"/>
    <w:rsid w:val="0021101A"/>
    <w:rsid w:val="00220536"/>
    <w:rsid w:val="00224FA6"/>
    <w:rsid w:val="00235629"/>
    <w:rsid w:val="00247EB2"/>
    <w:rsid w:val="00260C38"/>
    <w:rsid w:val="002616C0"/>
    <w:rsid w:val="002662AA"/>
    <w:rsid w:val="00280496"/>
    <w:rsid w:val="00295495"/>
    <w:rsid w:val="002A2B82"/>
    <w:rsid w:val="002B25FE"/>
    <w:rsid w:val="002B2613"/>
    <w:rsid w:val="002F1818"/>
    <w:rsid w:val="002F567B"/>
    <w:rsid w:val="003216A9"/>
    <w:rsid w:val="0035192A"/>
    <w:rsid w:val="0037013F"/>
    <w:rsid w:val="00380C92"/>
    <w:rsid w:val="00391BBF"/>
    <w:rsid w:val="003A484F"/>
    <w:rsid w:val="003A6094"/>
    <w:rsid w:val="003B0BE0"/>
    <w:rsid w:val="003B0C1B"/>
    <w:rsid w:val="003B33FC"/>
    <w:rsid w:val="003B4C81"/>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2B79"/>
    <w:rsid w:val="004E0A2D"/>
    <w:rsid w:val="004E206B"/>
    <w:rsid w:val="004E6DF7"/>
    <w:rsid w:val="004F0FBD"/>
    <w:rsid w:val="00505A47"/>
    <w:rsid w:val="00512FDA"/>
    <w:rsid w:val="005170B0"/>
    <w:rsid w:val="00520DA0"/>
    <w:rsid w:val="005631B7"/>
    <w:rsid w:val="005664BB"/>
    <w:rsid w:val="0057481D"/>
    <w:rsid w:val="0058486E"/>
    <w:rsid w:val="005B2FB9"/>
    <w:rsid w:val="005C730D"/>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3F20"/>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62A"/>
    <w:rsid w:val="008B768C"/>
    <w:rsid w:val="008C4DB1"/>
    <w:rsid w:val="008C4EAF"/>
    <w:rsid w:val="008C5176"/>
    <w:rsid w:val="008C7FD0"/>
    <w:rsid w:val="008E1DE7"/>
    <w:rsid w:val="008E707C"/>
    <w:rsid w:val="00900B08"/>
    <w:rsid w:val="00902155"/>
    <w:rsid w:val="00902FA3"/>
    <w:rsid w:val="0090792B"/>
    <w:rsid w:val="009127C7"/>
    <w:rsid w:val="00923564"/>
    <w:rsid w:val="0092392E"/>
    <w:rsid w:val="009315F9"/>
    <w:rsid w:val="00946945"/>
    <w:rsid w:val="00950A86"/>
    <w:rsid w:val="00951248"/>
    <w:rsid w:val="0095152F"/>
    <w:rsid w:val="00954C49"/>
    <w:rsid w:val="0097099F"/>
    <w:rsid w:val="00971997"/>
    <w:rsid w:val="00971FFC"/>
    <w:rsid w:val="0098660A"/>
    <w:rsid w:val="009931C3"/>
    <w:rsid w:val="009B2C43"/>
    <w:rsid w:val="009B4EAE"/>
    <w:rsid w:val="009B7573"/>
    <w:rsid w:val="009C22F4"/>
    <w:rsid w:val="009C28B0"/>
    <w:rsid w:val="009C2E98"/>
    <w:rsid w:val="009D3447"/>
    <w:rsid w:val="009D3C5C"/>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19E6"/>
    <w:rsid w:val="00A93B00"/>
    <w:rsid w:val="00A93C21"/>
    <w:rsid w:val="00A9750B"/>
    <w:rsid w:val="00AC3C6A"/>
    <w:rsid w:val="00AD5620"/>
    <w:rsid w:val="00AD7C1B"/>
    <w:rsid w:val="00AE16BA"/>
    <w:rsid w:val="00AE1EBE"/>
    <w:rsid w:val="00B03C9D"/>
    <w:rsid w:val="00B060AE"/>
    <w:rsid w:val="00B10517"/>
    <w:rsid w:val="00B14E76"/>
    <w:rsid w:val="00B161B8"/>
    <w:rsid w:val="00B17CD3"/>
    <w:rsid w:val="00B2048C"/>
    <w:rsid w:val="00B310B9"/>
    <w:rsid w:val="00B35F3F"/>
    <w:rsid w:val="00B36CBB"/>
    <w:rsid w:val="00B425E0"/>
    <w:rsid w:val="00B440AA"/>
    <w:rsid w:val="00B44B70"/>
    <w:rsid w:val="00B53C56"/>
    <w:rsid w:val="00B566A0"/>
    <w:rsid w:val="00B734BF"/>
    <w:rsid w:val="00B77EA6"/>
    <w:rsid w:val="00B81598"/>
    <w:rsid w:val="00B841F1"/>
    <w:rsid w:val="00B944D6"/>
    <w:rsid w:val="00BA0283"/>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3B1C"/>
    <w:rsid w:val="00CC666F"/>
    <w:rsid w:val="00CD1E3F"/>
    <w:rsid w:val="00CE44F6"/>
    <w:rsid w:val="00CE49DA"/>
    <w:rsid w:val="00CE7B61"/>
    <w:rsid w:val="00D00095"/>
    <w:rsid w:val="00D20620"/>
    <w:rsid w:val="00D26091"/>
    <w:rsid w:val="00D34E7C"/>
    <w:rsid w:val="00D35489"/>
    <w:rsid w:val="00D36BC5"/>
    <w:rsid w:val="00D51276"/>
    <w:rsid w:val="00D630D3"/>
    <w:rsid w:val="00D7035F"/>
    <w:rsid w:val="00DA65AC"/>
    <w:rsid w:val="00DB1913"/>
    <w:rsid w:val="00DC410D"/>
    <w:rsid w:val="00DC53B5"/>
    <w:rsid w:val="00DC68CA"/>
    <w:rsid w:val="00DC7CBA"/>
    <w:rsid w:val="00DD4C18"/>
    <w:rsid w:val="00DD73B7"/>
    <w:rsid w:val="00DF28BC"/>
    <w:rsid w:val="00DF34B9"/>
    <w:rsid w:val="00DF7074"/>
    <w:rsid w:val="00E01053"/>
    <w:rsid w:val="00E07ACF"/>
    <w:rsid w:val="00E15FA7"/>
    <w:rsid w:val="00E331A1"/>
    <w:rsid w:val="00E33202"/>
    <w:rsid w:val="00E336A9"/>
    <w:rsid w:val="00E50624"/>
    <w:rsid w:val="00E568DF"/>
    <w:rsid w:val="00E64269"/>
    <w:rsid w:val="00E82267"/>
    <w:rsid w:val="00EA010F"/>
    <w:rsid w:val="00EC2F55"/>
    <w:rsid w:val="00ED1B63"/>
    <w:rsid w:val="00ED3C1F"/>
    <w:rsid w:val="00ED4085"/>
    <w:rsid w:val="00ED420E"/>
    <w:rsid w:val="00EE116E"/>
    <w:rsid w:val="00EE2F57"/>
    <w:rsid w:val="00EE435C"/>
    <w:rsid w:val="00EF4C34"/>
    <w:rsid w:val="00EF77C6"/>
    <w:rsid w:val="00F05438"/>
    <w:rsid w:val="00F07C1F"/>
    <w:rsid w:val="00F1361C"/>
    <w:rsid w:val="00F160C7"/>
    <w:rsid w:val="00F3593D"/>
    <w:rsid w:val="00F36D8F"/>
    <w:rsid w:val="00F417B1"/>
    <w:rsid w:val="00F602DF"/>
    <w:rsid w:val="00F81FD9"/>
    <w:rsid w:val="00F841AA"/>
    <w:rsid w:val="00F953FB"/>
    <w:rsid w:val="00FA23E8"/>
    <w:rsid w:val="00FB433F"/>
    <w:rsid w:val="00FD3CC1"/>
    <w:rsid w:val="00FF1E02"/>
    <w:rsid w:val="00FF30B4"/>
    <w:rsid w:val="00FF5601"/>
    <w:rsid w:val="10C055FF"/>
    <w:rsid w:val="16B55B2D"/>
    <w:rsid w:val="16BB723D"/>
    <w:rsid w:val="18B13408"/>
    <w:rsid w:val="240371BF"/>
    <w:rsid w:val="26702041"/>
    <w:rsid w:val="29FD04D3"/>
    <w:rsid w:val="31650E11"/>
    <w:rsid w:val="319F7F4E"/>
    <w:rsid w:val="3B0F7202"/>
    <w:rsid w:val="5BA75435"/>
    <w:rsid w:val="5D1237F8"/>
    <w:rsid w:val="66466E6E"/>
    <w:rsid w:val="6CF205D2"/>
    <w:rsid w:val="72187423"/>
    <w:rsid w:val="76785E3C"/>
    <w:rsid w:val="79373270"/>
    <w:rsid w:val="E7EF8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收、支决算总</a:t>
            </a:r>
            <a:r>
              <a:rPr lang="zh-CN" altLang="en-US" sz="1400" b="0" i="0" u="none" strike="noStrike" baseline="0">
                <a:effectLst/>
              </a:rPr>
              <a:t>体</a:t>
            </a:r>
            <a:r>
              <a:rPr lang="zh-CN" altLang="zh-CN" sz="1400" b="0" i="0" u="none" strike="noStrike" baseline="0">
                <a:effectLst/>
              </a:rPr>
              <a:t>变动情况图</a:t>
            </a:r>
            <a:endParaRPr lang="zh-CN" altLang="en-US"/>
          </a:p>
        </c:rich>
      </c:tx>
      <c:layout/>
      <c:overlay val="false"/>
      <c:spPr>
        <a:noFill/>
        <a:ln>
          <a:noFill/>
        </a:ln>
        <a:effectLst/>
      </c:spPr>
    </c:title>
    <c:autoTitleDeleted val="false"/>
    <c:plotArea>
      <c:layout>
        <c:manualLayout>
          <c:layoutTarget val="inner"/>
          <c:xMode val="edge"/>
          <c:yMode val="edge"/>
          <c:x val="0.0636530687247336"/>
          <c:y val="0.241317365269461"/>
          <c:w val="0.696606639715791"/>
          <c:h val="0.594730538922156"/>
        </c:manualLayout>
      </c:layout>
      <c:barChart>
        <c:barDir val="col"/>
        <c:grouping val="clustered"/>
        <c:varyColors val="false"/>
        <c:ser>
          <c:idx val="0"/>
          <c:order val="0"/>
          <c:tx>
            <c:strRef>
              <c:f>Sheet1!$B$1</c:f>
              <c:strCache>
                <c:ptCount val="1"/>
                <c:pt idx="0">
                  <c:v>2017年</c:v>
                </c:pt>
              </c:strCache>
            </c:strRef>
          </c:tx>
          <c:spPr>
            <a:solidFill>
              <a:schemeClr val="accent1"/>
            </a:solidFill>
            <a:ln>
              <a:noFill/>
            </a:ln>
            <a:effectLst/>
          </c:spPr>
          <c:invertIfNegative val="false"/>
          <c:dLbls>
            <c:dLbl>
              <c:idx val="0"/>
              <c:layout>
                <c:manualLayout>
                  <c:x val="0.00288947748615459"/>
                  <c:y val="-0.00389990250243744"/>
                </c:manualLayout>
              </c:layout>
              <c:tx>
                <c:rich>
                  <a:bodyPr rot="0" spcFirstLastPara="1"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894.42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0" spcFirstLastPara="1"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894.42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655.75</c:v>
                </c:pt>
                <c:pt idx="1">
                  <c:v>655.75</c:v>
                </c:pt>
              </c:numCache>
            </c:numRef>
          </c:val>
        </c:ser>
        <c:ser>
          <c:idx val="1"/>
          <c:order val="1"/>
          <c:tx>
            <c:strRef>
              <c:f>Sheet1!$C$1</c:f>
              <c:strCache>
                <c:ptCount val="1"/>
                <c:pt idx="0">
                  <c:v>2018年</c:v>
                </c:pt>
              </c:strCache>
            </c:strRef>
          </c:tx>
          <c:spPr>
            <a:solidFill>
              <a:schemeClr val="accent2"/>
            </a:solidFill>
            <a:ln>
              <a:noFill/>
            </a:ln>
            <a:effectLst/>
          </c:spPr>
          <c:invertIfNegative val="false"/>
          <c:dLbls>
            <c:dLbl>
              <c:idx val="0"/>
              <c:layout/>
              <c:tx>
                <c:rich>
                  <a:bodyPr rot="0" spcFirstLastPara="1"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857.38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0288947748615459"/>
                  <c:y val="0.00779980500487488"/>
                </c:manualLayout>
              </c:layout>
              <c:tx>
                <c:rich>
                  <a:bodyPr rot="0" spcFirstLastPara="1"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857.38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615.79</c:v>
                </c:pt>
                <c:pt idx="1">
                  <c:v>615.79</c:v>
                </c:pt>
              </c:numCache>
            </c:numRef>
          </c:val>
        </c:ser>
        <c:dLbls>
          <c:showLegendKey val="false"/>
          <c:showVal val="true"/>
          <c:showCatName val="false"/>
          <c:showSerName val="false"/>
          <c:showPercent val="false"/>
          <c:showBubbleSize val="false"/>
        </c:dLbls>
        <c:gapWidth val="219"/>
        <c:overlap val="-27"/>
        <c:axId val="501515472"/>
        <c:axId val="501511552"/>
      </c:barChart>
      <c:catAx>
        <c:axId val="50151547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1511552"/>
        <c:crosses val="autoZero"/>
        <c:auto val="true"/>
        <c:lblAlgn val="ctr"/>
        <c:lblOffset val="100"/>
        <c:noMultiLvlLbl val="false"/>
      </c:catAx>
      <c:valAx>
        <c:axId val="501511552"/>
        <c:scaling>
          <c:orientation val="minMax"/>
          <c:min val="0"/>
        </c:scaling>
        <c:delete val="tru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1515472"/>
        <c:crosses val="autoZero"/>
        <c:crossBetween val="between"/>
        <c:majorUnit val="100"/>
      </c:valAx>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收入决算结构图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收入</c:v>
                </c:pt>
              </c:strCache>
            </c:strRef>
          </c:tx>
          <c:spPr/>
          <c:explosion val="0"/>
          <c:dPt>
            <c:idx val="0"/>
            <c:bubble3D val="false"/>
            <c:explosion val="2"/>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fld id="{da6e8d42-9b78-406a-b6cd-30d58edf271b}"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c:f>
              <c:strCache>
                <c:ptCount val="1"/>
                <c:pt idx="0">
                  <c:v>一般公共预算财政拨款</c:v>
                </c:pt>
              </c:strCache>
            </c:strRef>
          </c:cat>
          <c:val>
            <c:numRef>
              <c:f>Sheet1!$B$2</c:f>
              <c:numCache>
                <c:formatCode>0%</c:formatCode>
                <c:ptCount val="1"/>
                <c:pt idx="0">
                  <c:v>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支出决算结构图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支出决算</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83</a:t>
                    </a:r>
                    <a:r>
                      <a:t>%</a:t>
                    </a:r>
                    <a:endParaRPr lang="en-US" altLang="zh-CN"/>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17</a:t>
                    </a:r>
                    <a:r>
                      <a:t>%,</a:t>
                    </a:r>
                    <a:endParaRPr lang="en-US" altLang="zh-CN"/>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0.8498</c:v>
                </c:pt>
                <c:pt idx="1">
                  <c:v>0.1502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600" b="1" i="0" u="none" strike="noStrike" kern="1200" cap="all" spc="120" normalizeH="0" baseline="0">
                <a:solidFill>
                  <a:schemeClr val="tx1">
                    <a:lumMod val="65000"/>
                    <a:lumOff val="35000"/>
                  </a:schemeClr>
                </a:solidFill>
                <a:latin typeface="+mn-lt"/>
                <a:ea typeface="+mn-ea"/>
                <a:cs typeface="+mn-cs"/>
              </a:defRPr>
            </a:pPr>
            <a:r>
              <a:rPr lang="zh-CN"/>
              <a:t>财政拨款收、支决算总计变动情况</a:t>
            </a:r>
            <a:endParaRPr lang="zh-CN"/>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2017年</c:v>
                </c:pt>
              </c:strCache>
            </c:strRef>
          </c:tx>
          <c:spPr>
            <a:solidFill>
              <a:schemeClr val="accent1"/>
            </a:solidFill>
            <a:ln>
              <a:noFill/>
            </a:ln>
            <a:effectLst/>
          </c:spPr>
          <c:invertIfNegative val="false"/>
          <c:dLbls>
            <c:dLbl>
              <c:idx val="0"/>
              <c:layout>
                <c:manualLayout>
                  <c:x val="0.0130026486876956"/>
                  <c:y val="-0.0350991225219369"/>
                </c:manualLayout>
              </c:layout>
              <c:tx>
                <c:rich>
                  <a:bodyPr rot="-5400000" spcFirstLastPara="1" vertOverflow="clip" horzOverflow="clip" vert="horz" wrap="square" lIns="38100" tIns="19050" rIns="38100" bIns="19050" anchor="ctr" anchorCtr="true">
                    <a:spAutoFit/>
                  </a:bodyPr>
                  <a:lstStyle/>
                  <a:p>
                    <a:pPr defTabSz="914400">
                      <a:defRPr lang="zh-CN" sz="800" b="0" i="0" u="none" strike="noStrike" kern="1200" baseline="0">
                        <a:solidFill>
                          <a:schemeClr val="tx1">
                            <a:lumMod val="50000"/>
                            <a:lumOff val="50000"/>
                          </a:schemeClr>
                        </a:solidFill>
                        <a:latin typeface="+mn-lt"/>
                        <a:ea typeface="+mn-ea"/>
                        <a:cs typeface="+mn-cs"/>
                      </a:defRPr>
                    </a:pPr>
                    <a:r>
                      <a:rPr lang="en-US" altLang="zh-CN"/>
                      <a:t>894.42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5400000" spcFirstLastPara="1" vertOverflow="clip" horzOverflow="clip" vert="horz" wrap="square" lIns="38100" tIns="19050" rIns="38100" bIns="19050" anchor="ctr" anchorCtr="true">
                    <a:spAutoFit/>
                  </a:bodyPr>
                  <a:lstStyle/>
                  <a:p>
                    <a:pPr defTabSz="914400">
                      <a:defRPr lang="zh-CN" sz="800" b="0" i="0" u="none" strike="noStrike" kern="1200" baseline="0">
                        <a:solidFill>
                          <a:schemeClr val="tx1">
                            <a:lumMod val="50000"/>
                            <a:lumOff val="50000"/>
                          </a:schemeClr>
                        </a:solidFill>
                        <a:latin typeface="+mn-lt"/>
                        <a:ea typeface="+mn-ea"/>
                        <a:cs typeface="+mn-cs"/>
                      </a:defRPr>
                    </a:pPr>
                    <a:r>
                      <a:rPr lang="en-US" altLang="zh-CN"/>
                      <a:t>894.42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655.75</c:v>
                </c:pt>
                <c:pt idx="1">
                  <c:v>655.75</c:v>
                </c:pt>
              </c:numCache>
            </c:numRef>
          </c:val>
        </c:ser>
        <c:ser>
          <c:idx val="1"/>
          <c:order val="1"/>
          <c:tx>
            <c:strRef>
              <c:f>Sheet1!$C$1</c:f>
              <c:strCache>
                <c:ptCount val="1"/>
                <c:pt idx="0">
                  <c:v>2018年</c:v>
                </c:pt>
              </c:strCache>
            </c:strRef>
          </c:tx>
          <c:spPr>
            <a:solidFill>
              <a:schemeClr val="accent2"/>
            </a:solidFill>
            <a:ln>
              <a:noFill/>
            </a:ln>
            <a:effectLst/>
          </c:spPr>
          <c:invertIfNegative val="false"/>
          <c:dLbls>
            <c:dLbl>
              <c:idx val="0"/>
              <c:layout>
                <c:manualLayout>
                  <c:x val="0.00433421622923188"/>
                  <c:y val="-0.0194995125121872"/>
                </c:manualLayout>
              </c:layout>
              <c:tx>
                <c:rich>
                  <a:bodyPr rot="-5400000" spcFirstLastPara="1" vertOverflow="clip" horzOverflow="clip" vert="horz" wrap="square" lIns="38100" tIns="19050" rIns="38100" bIns="19050" anchor="ctr" anchorCtr="true">
                    <a:spAutoFit/>
                  </a:bodyPr>
                  <a:lstStyle/>
                  <a:p>
                    <a:pPr defTabSz="914400">
                      <a:defRPr lang="zh-CN" sz="800" b="0" i="0" u="none" strike="noStrike" kern="1200" baseline="0">
                        <a:solidFill>
                          <a:schemeClr val="tx1">
                            <a:lumMod val="50000"/>
                            <a:lumOff val="50000"/>
                          </a:schemeClr>
                        </a:solidFill>
                        <a:latin typeface="+mn-lt"/>
                        <a:ea typeface="+mn-ea"/>
                        <a:cs typeface="+mn-cs"/>
                      </a:defRPr>
                    </a:pPr>
                    <a:r>
                      <a:rPr lang="en-US" altLang="zh-CN"/>
                      <a:t>857.38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5400000" spcFirstLastPara="1" vertOverflow="clip" horzOverflow="clip" vert="horz" wrap="square" lIns="38100" tIns="19050" rIns="38100" bIns="19050" anchor="ctr" anchorCtr="true">
                    <a:spAutoFit/>
                  </a:bodyPr>
                  <a:lstStyle/>
                  <a:p>
                    <a:pPr defTabSz="914400">
                      <a:defRPr lang="zh-CN" sz="800" b="0" i="0" u="none" strike="noStrike" kern="1200" baseline="0">
                        <a:solidFill>
                          <a:schemeClr val="tx1">
                            <a:lumMod val="50000"/>
                            <a:lumOff val="50000"/>
                          </a:schemeClr>
                        </a:solidFill>
                        <a:latin typeface="+mn-lt"/>
                        <a:ea typeface="+mn-ea"/>
                        <a:cs typeface="+mn-cs"/>
                      </a:defRPr>
                    </a:pPr>
                    <a:r>
                      <a:rPr lang="en-US" altLang="zh-CN"/>
                      <a:t>857.38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615.79</c:v>
                </c:pt>
                <c:pt idx="1">
                  <c:v>615.79</c:v>
                </c:pt>
              </c:numCache>
            </c:numRef>
          </c:val>
        </c:ser>
        <c:dLbls>
          <c:showLegendKey val="false"/>
          <c:showVal val="true"/>
          <c:showCatName val="false"/>
          <c:showSerName val="false"/>
          <c:showPercent val="false"/>
          <c:showBubbleSize val="false"/>
        </c:dLbls>
        <c:gapWidth val="444"/>
        <c:overlap val="-90"/>
        <c:axId val="506741792"/>
        <c:axId val="506741232"/>
      </c:barChart>
      <c:catAx>
        <c:axId val="506741792"/>
        <c:scaling>
          <c:orientation val="minMax"/>
        </c:scaling>
        <c:delete val="false"/>
        <c:axPos val="b"/>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506741232"/>
        <c:crosses val="autoZero"/>
        <c:auto val="true"/>
        <c:lblAlgn val="ctr"/>
        <c:lblOffset val="100"/>
        <c:noMultiLvlLbl val="false"/>
      </c:catAx>
      <c:valAx>
        <c:axId val="506741232"/>
        <c:scaling>
          <c:orientation val="minMax"/>
          <c:min val="100"/>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6741792"/>
        <c:crosses val="autoZero"/>
        <c:crossBetween val="between"/>
      </c:valAx>
      <c:spPr>
        <a:noFill/>
        <a:ln>
          <a:noFill/>
        </a:ln>
        <a:effectLst/>
      </c:spPr>
    </c:plotArea>
    <c:legend>
      <c:legendPos val="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4639820669729"/>
          <c:y val="0.0705128205128205"/>
          <c:w val="0.816590727257563"/>
          <c:h val="0.617266807995154"/>
        </c:manualLayout>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dLbl>
              <c:idx val="0"/>
              <c:layout>
                <c:manualLayout>
                  <c:x val="0.00156924284032954"/>
                  <c:y val="-0.00384615384615385"/>
                </c:manualLayout>
              </c:layout>
              <c:tx>
                <c:rich>
                  <a:bodyPr rot="0" spcFirstLastPara="1"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857.38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615.79</c:v>
                </c:pt>
              </c:numCache>
            </c:numRef>
          </c:val>
        </c:ser>
        <c:ser>
          <c:idx val="1"/>
          <c:order val="1"/>
          <c:tx>
            <c:strRef>
              <c:f>Sheet1!$C$1</c:f>
              <c:strCache>
                <c:ptCount val="1"/>
                <c:pt idx="0">
                  <c:v>2017年</c:v>
                </c:pt>
              </c:strCache>
            </c:strRef>
          </c:tx>
          <c:spPr>
            <a:solidFill>
              <a:schemeClr val="accent2"/>
            </a:solidFill>
            <a:ln>
              <a:noFill/>
            </a:ln>
            <a:effectLst/>
          </c:spPr>
          <c:invertIfNegative val="false"/>
          <c:dLbls>
            <c:dLbl>
              <c:idx val="0"/>
              <c:layout/>
              <c:tx>
                <c:rich>
                  <a:bodyPr rot="0" spcFirstLastPara="1"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894.42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655.75</c:v>
                </c:pt>
              </c:numCache>
            </c:numRef>
          </c:val>
        </c:ser>
        <c:dLbls>
          <c:showLegendKey val="false"/>
          <c:showVal val="true"/>
          <c:showCatName val="false"/>
          <c:showSerName val="false"/>
          <c:showPercent val="false"/>
          <c:showBubbleSize val="false"/>
        </c:dLbls>
        <c:gapWidth val="219"/>
        <c:overlap val="-27"/>
        <c:axId val="506734512"/>
        <c:axId val="506738992"/>
      </c:barChart>
      <c:catAx>
        <c:axId val="50673451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6738992"/>
        <c:crosses val="autoZero"/>
        <c:auto val="true"/>
        <c:lblAlgn val="ctr"/>
        <c:lblOffset val="100"/>
        <c:noMultiLvlLbl val="false"/>
      </c:catAx>
      <c:valAx>
        <c:axId val="506738992"/>
        <c:scaling>
          <c:orientation val="minMax"/>
          <c:min val="0"/>
        </c:scaling>
        <c:delete val="tru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6734512"/>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一般公共预算财政拨款支出决算</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支出情况</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delete val="true"/>
          </c:dLbls>
          <c:cat>
            <c:strRef>
              <c:f>Sheet1!$A$2:$A$6</c:f>
              <c:strCache>
                <c:ptCount val="5"/>
                <c:pt idx="0">
                  <c:v>教育支出</c:v>
                </c:pt>
                <c:pt idx="1">
                  <c:v>文化体育与传媒支出</c:v>
                </c:pt>
                <c:pt idx="2">
                  <c:v>社会保障和就业</c:v>
                </c:pt>
                <c:pt idx="3">
                  <c:v>医疗卫生支出</c:v>
                </c:pt>
                <c:pt idx="4">
                  <c:v>住房保障支出</c:v>
                </c:pt>
              </c:strCache>
            </c:strRef>
          </c:cat>
          <c:val>
            <c:numRef>
              <c:f>Sheet1!$B$2:$B$6</c:f>
              <c:numCache>
                <c:formatCode>0.00%</c:formatCode>
                <c:ptCount val="5"/>
                <c:pt idx="0">
                  <c:v>0.8119</c:v>
                </c:pt>
                <c:pt idx="1">
                  <c:v>0.0162</c:v>
                </c:pt>
                <c:pt idx="2">
                  <c:v>0.0924</c:v>
                </c:pt>
                <c:pt idx="3">
                  <c:v>0.0287</c:v>
                </c:pt>
                <c:pt idx="4">
                  <c:v>0.0508</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1247</Words>
  <Characters>7108</Characters>
  <Lines>59</Lines>
  <Paragraphs>16</Paragraphs>
  <TotalTime>59</TotalTime>
  <ScaleCrop>false</ScaleCrop>
  <LinksUpToDate>false</LinksUpToDate>
  <CharactersWithSpaces>8339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2019-08-30T21:04:00Z</dcterms:created>
  <dc:creator>张彬茜</dc:creator>
  <cp:lastModifiedBy>仁可女青</cp:lastModifiedBy>
  <cp:lastPrinted>2019-08-01T08:48:00Z</cp:lastPrinted>
  <dcterms:modified xsi:type="dcterms:W3CDTF">2022-02-22T17:20:49Z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