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475"/>
      <w:bookmarkStart w:id="3" w:name="_Toc15377193"/>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96476"/>
      <w:bookmarkStart w:id="8" w:name="_Toc15377194"/>
      <w:bookmarkStart w:id="9" w:name="_Toc15396598"/>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宣汉县华融幼儿园</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w:t>
      </w:r>
      <w:r>
        <w:rPr>
          <w:rFonts w:hint="eastAsia"/>
          <w:lang w:val="en-US" w:eastAsia="zh-CN"/>
        </w:rPr>
        <w:t>11</w:t>
      </w:r>
      <w:r>
        <w:rPr>
          <w:rFonts w:hint="eastAsia"/>
        </w:rPr>
        <w:t>月</w:t>
      </w:r>
      <w:r>
        <w:rPr>
          <w:rFonts w:hint="eastAsia"/>
          <w:lang w:val="en-US" w:eastAsia="zh-CN"/>
        </w:rPr>
        <w:t>12</w:t>
      </w:r>
      <w:r>
        <w:rPr>
          <w:rFonts w:hint="eastAsia"/>
        </w:rPr>
        <w:t>日</w:t>
      </w:r>
    </w:p>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both"/>
        <w:rPr>
          <w:rFonts w:hint="default" w:ascii="仿宋" w:hAnsi="仿宋"/>
          <w:sz w:val="24"/>
          <w:lang w:val="en-US" w:eastAsia="zh-CN"/>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hint="eastAsia"/>
          <w:sz w:val="24"/>
        </w:rPr>
      </w:pPr>
      <w:r>
        <w:rPr>
          <w:rFonts w:hint="eastAsia" w:ascii="仿宋" w:hAnsi="仿宋" w:eastAsia="仿宋"/>
          <w:sz w:val="24"/>
        </w:rPr>
        <w:t>十三、</w:t>
      </w:r>
      <w:r>
        <w:rPr>
          <w:rFonts w:hint="eastAsia"/>
          <w:sz w:val="24"/>
        </w:rPr>
        <w:t>国有资本经营预算支出决</w:t>
      </w:r>
    </w:p>
    <w:p>
      <w:pPr>
        <w:widowControl/>
        <w:adjustRightInd w:val="0"/>
        <w:snapToGrid w:val="0"/>
        <w:spacing w:line="440" w:lineRule="exact"/>
        <w:jc w:val="left"/>
        <w:rPr>
          <w:rFonts w:ascii="仿宋" w:hAnsi="仿宋" w:eastAsia="仿宋"/>
          <w:color w:val="FF0000"/>
          <w:sz w:val="24"/>
        </w:rPr>
      </w:pPr>
    </w:p>
    <w:p>
      <w:pPr>
        <w:widowControl/>
        <w:spacing w:line="440" w:lineRule="exact"/>
        <w:jc w:val="center"/>
        <w:rPr>
          <w:rStyle w:val="30"/>
          <w:rFonts w:ascii="黑体" w:hAnsi="黑体" w:eastAsia="黑体"/>
          <w:b/>
          <w:bCs w:val="0"/>
        </w:rPr>
      </w:pPr>
      <w:r>
        <w:rPr>
          <w:rFonts w:hint="eastAsia" w:ascii="黑体" w:hAnsi="黑体" w:eastAsia="黑体"/>
          <w:b w:val="0"/>
          <w:sz w:val="44"/>
          <w:szCs w:val="44"/>
        </w:rPr>
        <w:t xml:space="preserve">第一部分 </w:t>
      </w:r>
      <w:r>
        <w:rPr>
          <w:rStyle w:val="30"/>
          <w:rFonts w:hint="eastAsia" w:ascii="黑体" w:hAnsi="黑体" w:eastAsia="黑体"/>
          <w:b w:val="0"/>
          <w:bCs w:val="0"/>
        </w:rPr>
        <w:t>部门概况</w:t>
      </w:r>
    </w:p>
    <w:p>
      <w:pPr>
        <w:widowControl/>
        <w:jc w:val="left"/>
        <w:rPr>
          <w:rFonts w:ascii="黑体" w:eastAsia="黑体"/>
          <w:color w:val="000000"/>
          <w:sz w:val="32"/>
          <w:szCs w:val="32"/>
        </w:rPr>
      </w:pPr>
    </w:p>
    <w:p>
      <w:pPr>
        <w:pStyle w:val="3"/>
        <w:rPr>
          <w:rStyle w:val="31"/>
          <w:rFonts w:ascii="仿宋" w:hAnsi="仿宋" w:eastAsia="仿宋"/>
          <w:b w:val="0"/>
          <w:bCs w:val="0"/>
        </w:rPr>
      </w:pPr>
      <w:bookmarkStart w:id="12" w:name="_Toc15377197"/>
      <w:bookmarkStart w:id="13" w:name="_Toc15396600"/>
      <w:r>
        <w:rPr>
          <w:rFonts w:hint="eastAsia" w:ascii="黑体" w:hAnsi="黑体" w:eastAsia="黑体"/>
          <w:b w:val="0"/>
          <w:color w:val="000000"/>
        </w:rPr>
        <w:t>一、基</w:t>
      </w:r>
      <w:r>
        <w:rPr>
          <w:rStyle w:val="31"/>
          <w:rFonts w:hint="eastAsia" w:ascii="黑体" w:hAnsi="黑体" w:eastAsia="黑体"/>
          <w:b w:val="0"/>
          <w:bCs w:val="0"/>
        </w:rPr>
        <w:t>本职能及主要工作</w:t>
      </w:r>
      <w:bookmarkEnd w:id="12"/>
      <w:bookmarkEnd w:id="13"/>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4" w:name="_Toc15378445"/>
      <w:bookmarkStart w:id="15" w:name="_Toc15377198"/>
      <w:r>
        <w:rPr>
          <w:rFonts w:hint="eastAsia" w:ascii="仿宋" w:hAnsi="仿宋" w:eastAsia="仿宋"/>
          <w:bCs/>
          <w:color w:val="000000"/>
          <w:sz w:val="32"/>
          <w:szCs w:val="32"/>
        </w:rPr>
        <w:t>（一）主要职能。（职能参照省政府批准的三定方案）</w:t>
      </w:r>
      <w:bookmarkEnd w:id="14"/>
      <w:bookmarkEnd w:id="15"/>
    </w:p>
    <w:p>
      <w:pPr>
        <w:pStyle w:val="5"/>
        <w:adjustRightInd w:val="0"/>
        <w:snapToGrid w:val="0"/>
        <w:spacing w:before="93" w:line="600" w:lineRule="exact"/>
        <w:ind w:left="638" w:leftChars="304" w:firstLine="32" w:firstLineChars="10"/>
        <w:outlineLvl w:val="2"/>
        <w:rPr>
          <w:bCs/>
          <w:color w:val="000000"/>
          <w:sz w:val="32"/>
          <w:szCs w:val="32"/>
        </w:rPr>
      </w:pPr>
      <w:r>
        <w:rPr>
          <w:rFonts w:hint="eastAsia"/>
          <w:bCs/>
          <w:color w:val="000000"/>
          <w:sz w:val="32"/>
          <w:szCs w:val="32"/>
        </w:rPr>
        <w:t>1、主要职能是为学龄前儿童提供保育和教育服务。</w:t>
      </w:r>
    </w:p>
    <w:p>
      <w:pPr>
        <w:spacing w:line="600" w:lineRule="exact"/>
        <w:ind w:firstLine="640" w:firstLineChars="200"/>
        <w:rPr>
          <w:bCs/>
          <w:color w:val="000000"/>
          <w:sz w:val="32"/>
          <w:szCs w:val="32"/>
        </w:rPr>
      </w:pPr>
      <w:r>
        <w:rPr>
          <w:rFonts w:hint="eastAsia"/>
          <w:bCs/>
          <w:color w:val="000000"/>
          <w:sz w:val="32"/>
          <w:szCs w:val="32"/>
        </w:rPr>
        <w:t>2、根据幼儿园职能配制，内设职责机构</w:t>
      </w:r>
      <w:r>
        <w:rPr>
          <w:rFonts w:hint="eastAsia"/>
          <w:bCs/>
          <w:color w:val="000000"/>
          <w:sz w:val="32"/>
          <w:szCs w:val="32"/>
          <w:lang w:val="en-US" w:eastAsia="zh-CN"/>
        </w:rPr>
        <w:t>4</w:t>
      </w:r>
      <w:r>
        <w:rPr>
          <w:rFonts w:hint="eastAsia"/>
          <w:bCs/>
          <w:color w:val="000000"/>
          <w:sz w:val="32"/>
          <w:szCs w:val="32"/>
        </w:rPr>
        <w:t>个，即：</w:t>
      </w:r>
      <w:r>
        <w:rPr>
          <w:rFonts w:hint="eastAsia" w:ascii="仿宋_GB2312" w:eastAsia="仿宋_GB2312"/>
          <w:sz w:val="32"/>
        </w:rPr>
        <w:t>行政办公室、教务办公室、安全办公室、后勤办公室。</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bCs/>
          <w:color w:val="000000"/>
          <w:sz w:val="32"/>
          <w:szCs w:val="32"/>
        </w:rPr>
        <w:t>3、本园无编制，本年度年末实际在园教职工19人。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bCs/>
          <w:color w:val="000000"/>
          <w:sz w:val="32"/>
          <w:szCs w:val="32"/>
        </w:rPr>
      </w:pPr>
      <w:bookmarkStart w:id="16" w:name="_Toc15377199"/>
      <w:bookmarkStart w:id="17"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6"/>
      <w:bookmarkEnd w:id="17"/>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思想政治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组织全体教职</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认真开展政治学习，学习了《习近平引领媒体融合走上快车道》、《唐延教书记在宣汉巡</w:t>
      </w:r>
      <w:r>
        <w:rPr>
          <w:rFonts w:hint="eastAsia" w:ascii="仿宋_GB2312" w:hAnsi="仿宋_GB2312" w:eastAsia="仿宋_GB2312" w:cs="仿宋_GB2312"/>
          <w:sz w:val="32"/>
          <w:szCs w:val="32"/>
          <w:lang w:eastAsia="zh-CN"/>
        </w:rPr>
        <w:t>视</w:t>
      </w:r>
      <w:r>
        <w:rPr>
          <w:rFonts w:hint="eastAsia" w:ascii="仿宋_GB2312" w:hAnsi="仿宋_GB2312" w:eastAsia="仿宋_GB2312" w:cs="仿宋_GB2312"/>
          <w:sz w:val="32"/>
          <w:szCs w:val="32"/>
        </w:rPr>
        <w:t>整</w:t>
      </w:r>
      <w:r>
        <w:rPr>
          <w:rFonts w:hint="eastAsia" w:ascii="仿宋_GB2312" w:hAnsi="仿宋_GB2312" w:eastAsia="仿宋_GB2312" w:cs="仿宋_GB2312"/>
          <w:sz w:val="32"/>
          <w:szCs w:val="32"/>
          <w:lang w:eastAsia="zh-CN"/>
        </w:rPr>
        <w:t>改</w:t>
      </w:r>
      <w:r>
        <w:rPr>
          <w:rFonts w:hint="eastAsia" w:ascii="仿宋_GB2312" w:hAnsi="仿宋_GB2312" w:eastAsia="仿宋_GB2312" w:cs="仿宋_GB2312"/>
          <w:sz w:val="32"/>
          <w:szCs w:val="32"/>
        </w:rPr>
        <w:t>工作推进会上讲话》，达州市教委书记，</w:t>
      </w:r>
      <w:r>
        <w:rPr>
          <w:rFonts w:hint="eastAsia" w:ascii="仿宋_GB2312" w:hAnsi="仿宋_GB2312" w:eastAsia="仿宋_GB2312" w:cs="仿宋_GB2312"/>
          <w:sz w:val="32"/>
          <w:szCs w:val="32"/>
          <w:lang w:eastAsia="zh-CN"/>
        </w:rPr>
        <w:t>局长</w:t>
      </w:r>
      <w:r>
        <w:rPr>
          <w:rFonts w:hint="eastAsia" w:ascii="仿宋_GB2312" w:hAnsi="仿宋_GB2312" w:eastAsia="仿宋_GB2312" w:cs="仿宋_GB2312"/>
          <w:sz w:val="32"/>
          <w:szCs w:val="32"/>
        </w:rPr>
        <w:t>陈军在全市教育系统安全信访维稳暨扫黑除恶工作电视电话会议的讲话》，《十九大报告》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内容，《以实干成就美好未来一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以习近平同</w:t>
      </w:r>
      <w:r>
        <w:rPr>
          <w:rFonts w:hint="eastAsia" w:ascii="仿宋_GB2312" w:hAnsi="仿宋_GB2312" w:eastAsia="仿宋_GB2312" w:cs="仿宋_GB2312"/>
          <w:sz w:val="32"/>
          <w:szCs w:val="32"/>
          <w:lang w:eastAsia="zh-CN"/>
        </w:rPr>
        <w:t>志</w:t>
      </w:r>
      <w:r>
        <w:rPr>
          <w:rFonts w:hint="eastAsia" w:ascii="仿宋_GB2312" w:hAnsi="仿宋_GB2312" w:eastAsia="仿宋_GB2312" w:cs="仿宋_GB2312"/>
          <w:sz w:val="32"/>
          <w:szCs w:val="32"/>
        </w:rPr>
        <w:t>为核心的党中央引领全党</w:t>
      </w:r>
      <w:r>
        <w:rPr>
          <w:rFonts w:hint="eastAsia" w:ascii="仿宋_GB2312" w:hAnsi="仿宋_GB2312" w:eastAsia="仿宋_GB2312" w:cs="仿宋_GB2312"/>
          <w:sz w:val="32"/>
          <w:szCs w:val="32"/>
          <w:lang w:eastAsia="zh-CN"/>
        </w:rPr>
        <w:t>力戒</w:t>
      </w:r>
      <w:r>
        <w:rPr>
          <w:rFonts w:hint="eastAsia" w:ascii="仿宋_GB2312" w:hAnsi="仿宋_GB2312" w:eastAsia="仿宋_GB2312" w:cs="仿宋_GB2312"/>
          <w:sz w:val="32"/>
          <w:szCs w:val="32"/>
        </w:rPr>
        <w:t>形式主</w:t>
      </w:r>
      <w:r>
        <w:rPr>
          <w:rFonts w:hint="eastAsia" w:ascii="仿宋_GB2312" w:hAnsi="仿宋_GB2312" w:eastAsia="仿宋_GB2312" w:cs="仿宋_GB2312"/>
          <w:sz w:val="32"/>
          <w:szCs w:val="32"/>
          <w:lang w:eastAsia="zh-CN"/>
        </w:rPr>
        <w:t>义</w:t>
      </w:r>
      <w:r>
        <w:rPr>
          <w:rFonts w:hint="eastAsia" w:ascii="仿宋_GB2312" w:hAnsi="仿宋_GB2312" w:eastAsia="仿宋_GB2312" w:cs="仿宋_GB2312"/>
          <w:sz w:val="32"/>
          <w:szCs w:val="32"/>
        </w:rPr>
        <w:t>官僚主义综述》，《如何走好“</w:t>
      </w:r>
      <w:r>
        <w:rPr>
          <w:rFonts w:hint="eastAsia" w:ascii="仿宋_GB2312" w:hAnsi="仿宋_GB2312" w:eastAsia="仿宋_GB2312" w:cs="仿宋_GB2312"/>
          <w:sz w:val="32"/>
          <w:szCs w:val="32"/>
          <w:lang w:eastAsia="zh-CN"/>
        </w:rPr>
        <w:t>必</w:t>
      </w:r>
      <w:r>
        <w:rPr>
          <w:rFonts w:hint="eastAsia" w:ascii="仿宋_GB2312" w:hAnsi="仿宋_GB2312" w:eastAsia="仿宋_GB2312" w:cs="仿宋_GB2312"/>
          <w:sz w:val="32"/>
          <w:szCs w:val="32"/>
        </w:rPr>
        <w:t>由之路”习近平这些话要牢记，宣教工委及{2019}75号中共宣汉县教育工委关于印发《落实蒲波严重违纪违法案》以案</w:t>
      </w:r>
      <w:r>
        <w:rPr>
          <w:rFonts w:hint="eastAsia" w:ascii="仿宋_GB2312" w:hAnsi="仿宋_GB2312" w:eastAsia="仿宋_GB2312" w:cs="仿宋_GB2312"/>
          <w:sz w:val="32"/>
          <w:szCs w:val="32"/>
          <w:lang w:eastAsia="zh-CN"/>
        </w:rPr>
        <w:t>促</w:t>
      </w:r>
      <w:r>
        <w:rPr>
          <w:rFonts w:hint="eastAsia" w:ascii="仿宋_GB2312" w:hAnsi="仿宋_GB2312" w:eastAsia="仿宋_GB2312" w:cs="仿宋_GB2312"/>
          <w:sz w:val="32"/>
          <w:szCs w:val="32"/>
        </w:rPr>
        <w:t>改工作的实施方案》的通知、宣教科党组[2019]12号宣汉县教育和科学技术局关于转发《县委办、政府办关于进一步做好宣汉县脱贫攻坚整县摘帽“大走话、大排查、大整改”专项行动相关工作》紧急通知、观</w:t>
      </w:r>
      <w:r>
        <w:rPr>
          <w:rFonts w:hint="eastAsia" w:ascii="仿宋_GB2312" w:hAnsi="仿宋_GB2312" w:eastAsia="仿宋_GB2312" w:cs="仿宋_GB2312"/>
          <w:sz w:val="32"/>
          <w:szCs w:val="32"/>
          <w:lang w:eastAsia="zh-CN"/>
        </w:rPr>
        <w:t>看</w:t>
      </w:r>
      <w:r>
        <w:rPr>
          <w:rFonts w:hint="eastAsia" w:ascii="仿宋_GB2312" w:hAnsi="仿宋_GB2312" w:eastAsia="仿宋_GB2312" w:cs="仿宋_GB2312"/>
          <w:sz w:val="32"/>
          <w:szCs w:val="32"/>
        </w:rPr>
        <w:t>学习强国里《</w:t>
      </w:r>
      <w:r>
        <w:rPr>
          <w:rFonts w:hint="eastAsia" w:ascii="仿宋_GB2312" w:hAnsi="仿宋_GB2312" w:eastAsia="仿宋_GB2312" w:cs="仿宋_GB2312"/>
          <w:sz w:val="32"/>
          <w:szCs w:val="32"/>
          <w:lang w:eastAsia="zh-CN"/>
        </w:rPr>
        <w:t>平</w:t>
      </w:r>
      <w:r>
        <w:rPr>
          <w:rFonts w:hint="eastAsia" w:ascii="仿宋_GB2312" w:hAnsi="仿宋_GB2312" w:eastAsia="仿宋_GB2312" w:cs="仿宋_GB2312"/>
          <w:sz w:val="32"/>
          <w:szCs w:val="32"/>
        </w:rPr>
        <w:t>语近人》共12集、宣委组[2019]73号，中共宣汉县纪委监委机关《中共宣汉县委组织部宣汉县人力资源和社会保障关于</w:t>
      </w:r>
      <w:r>
        <w:rPr>
          <w:rFonts w:hint="eastAsia" w:ascii="仿宋_GB2312" w:hAnsi="仿宋_GB2312" w:eastAsia="仿宋_GB2312" w:cs="仿宋_GB2312"/>
          <w:sz w:val="32"/>
          <w:szCs w:val="32"/>
          <w:lang w:eastAsia="zh-CN"/>
        </w:rPr>
        <w:t>《重</w:t>
      </w:r>
      <w:r>
        <w:rPr>
          <w:rFonts w:hint="eastAsia" w:ascii="仿宋_GB2312" w:hAnsi="仿宋_GB2312" w:eastAsia="仿宋_GB2312" w:cs="仿宋_GB2312"/>
          <w:sz w:val="32"/>
          <w:szCs w:val="32"/>
        </w:rPr>
        <w:t>申六条禁令严禁</w:t>
      </w:r>
      <w:r>
        <w:rPr>
          <w:rFonts w:hint="eastAsia" w:ascii="仿宋_GB2312" w:hAnsi="仿宋_GB2312" w:eastAsia="仿宋_GB2312" w:cs="仿宋_GB2312"/>
          <w:sz w:val="32"/>
          <w:szCs w:val="32"/>
          <w:lang w:eastAsia="zh-CN"/>
        </w:rPr>
        <w:t>公</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员违规经商办企业的通知》，宣教</w:t>
      </w:r>
      <w:r>
        <w:rPr>
          <w:rFonts w:hint="eastAsia" w:ascii="仿宋_GB2312" w:hAnsi="仿宋_GB2312" w:eastAsia="仿宋_GB2312" w:cs="仿宋_GB2312"/>
          <w:sz w:val="32"/>
          <w:szCs w:val="32"/>
          <w:lang w:eastAsia="zh-CN"/>
        </w:rPr>
        <w:t>育</w:t>
      </w:r>
      <w:r>
        <w:rPr>
          <w:rFonts w:hint="eastAsia" w:ascii="仿宋_GB2312" w:hAnsi="仿宋_GB2312" w:eastAsia="仿宋_GB2312" w:cs="仿宋_GB2312"/>
          <w:sz w:val="32"/>
          <w:szCs w:val="32"/>
        </w:rPr>
        <w:t>工委[2019]80号，中共宣汉县委教育工委宣汉县教育和科学技术局关于《开展师德师风建设年活动的通知》，宣教科文卫工委经发[2019]92号中共宣汉县教育工委关于转发《四川省委</w:t>
      </w:r>
      <w:r>
        <w:rPr>
          <w:rFonts w:hint="eastAsia" w:ascii="仿宋_GB2312" w:hAnsi="仿宋_GB2312" w:eastAsia="仿宋_GB2312" w:cs="仿宋_GB2312"/>
          <w:sz w:val="32"/>
          <w:szCs w:val="32"/>
          <w:highlight w:val="none"/>
        </w:rPr>
        <w:t>办</w:t>
      </w:r>
      <w:r>
        <w:rPr>
          <w:rFonts w:hint="eastAsia" w:ascii="仿宋_GB2312" w:hAnsi="仿宋_GB2312" w:eastAsia="仿宋_GB2312" w:cs="仿宋_GB2312"/>
          <w:sz w:val="32"/>
          <w:szCs w:val="32"/>
          <w:highlight w:val="none"/>
          <w:lang w:eastAsia="zh-CN"/>
        </w:rPr>
        <w:t>公</w:t>
      </w:r>
      <w:r>
        <w:rPr>
          <w:rFonts w:hint="eastAsia" w:ascii="仿宋_GB2312" w:hAnsi="仿宋_GB2312" w:eastAsia="仿宋_GB2312" w:cs="仿宋_GB2312"/>
          <w:sz w:val="32"/>
          <w:szCs w:val="32"/>
          <w:highlight w:val="none"/>
        </w:rPr>
        <w:t>厅</w:t>
      </w:r>
      <w:r>
        <w:rPr>
          <w:rFonts w:hint="eastAsia" w:ascii="仿宋_GB2312" w:hAnsi="仿宋_GB2312" w:eastAsia="仿宋_GB2312" w:cs="仿宋_GB2312"/>
          <w:sz w:val="32"/>
          <w:szCs w:val="32"/>
          <w:highlight w:val="none"/>
          <w:lang w:eastAsia="zh-CN"/>
        </w:rPr>
        <w:t>印发</w:t>
      </w:r>
      <w:r>
        <w:rPr>
          <w:rFonts w:hint="eastAsia" w:ascii="仿宋_GB2312" w:hAnsi="仿宋_GB2312" w:eastAsia="仿宋_GB2312" w:cs="仿宋_GB2312"/>
          <w:sz w:val="32"/>
          <w:szCs w:val="32"/>
          <w:highlight w:val="none"/>
          <w:lang w:val="en-US" w:eastAsia="zh-CN"/>
        </w:rPr>
        <w:t>&lt;关于严禁领导干部利用地方名贵特产谋求和私利的规定&gt;</w:t>
      </w:r>
      <w:r>
        <w:rPr>
          <w:rFonts w:hint="eastAsia" w:ascii="仿宋_GB2312" w:hAnsi="仿宋_GB2312" w:eastAsia="仿宋_GB2312" w:cs="仿宋_GB2312"/>
          <w:sz w:val="32"/>
          <w:szCs w:val="32"/>
          <w:highlight w:val="none"/>
        </w:rPr>
        <w:t>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，驻宣教纪</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val="en-US" w:eastAsia="zh-CN"/>
        </w:rPr>
        <w:t>20号---宣汉县纪委监委派驻县教科局纪检监察组关于转</w:t>
      </w:r>
      <w:r>
        <w:rPr>
          <w:rFonts w:hint="eastAsia" w:ascii="仿宋_GB2312" w:hAnsi="仿宋_GB2312" w:eastAsia="仿宋_GB2312" w:cs="仿宋_GB2312"/>
          <w:sz w:val="32"/>
          <w:szCs w:val="32"/>
        </w:rPr>
        <w:t>《中央纪委</w:t>
      </w:r>
      <w:r>
        <w:rPr>
          <w:rFonts w:hint="eastAsia" w:ascii="仿宋_GB2312" w:hAnsi="仿宋_GB2312" w:eastAsia="仿宋_GB2312" w:cs="仿宋_GB2312"/>
          <w:sz w:val="32"/>
          <w:szCs w:val="32"/>
          <w:lang w:eastAsia="zh-CN"/>
        </w:rPr>
        <w:t>公开曝光六起违</w:t>
      </w:r>
      <w:r>
        <w:rPr>
          <w:rFonts w:hint="eastAsia" w:ascii="仿宋_GB2312" w:hAnsi="仿宋_GB2312" w:eastAsia="仿宋_GB2312" w:cs="仿宋_GB2312"/>
          <w:sz w:val="32"/>
          <w:szCs w:val="32"/>
        </w:rPr>
        <w:t>反中央八项规定精神问题的新闻通</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习近平新时代中国特色社会主</w:t>
      </w:r>
      <w:r>
        <w:rPr>
          <w:rFonts w:hint="eastAsia" w:ascii="仿宋_GB2312" w:hAnsi="仿宋_GB2312" w:eastAsia="仿宋_GB2312" w:cs="仿宋_GB2312"/>
          <w:sz w:val="32"/>
          <w:szCs w:val="32"/>
          <w:lang w:eastAsia="zh-CN"/>
        </w:rPr>
        <w:t>义</w:t>
      </w:r>
      <w:r>
        <w:rPr>
          <w:rFonts w:hint="eastAsia" w:ascii="仿宋_GB2312" w:hAnsi="仿宋_GB2312" w:eastAsia="仿宋_GB2312" w:cs="仿宋_GB2312"/>
          <w:sz w:val="32"/>
          <w:szCs w:val="32"/>
        </w:rPr>
        <w:t>思想学习纲要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学习全国、全</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和全市教育精神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在纪</w:t>
      </w:r>
      <w:r>
        <w:rPr>
          <w:rFonts w:hint="eastAsia" w:ascii="仿宋_GB2312" w:hAnsi="仿宋_GB2312" w:eastAsia="仿宋_GB2312" w:cs="仿宋_GB2312"/>
          <w:sz w:val="32"/>
          <w:szCs w:val="32"/>
          <w:lang w:eastAsia="zh-CN"/>
        </w:rPr>
        <w:t>念</w:t>
      </w:r>
      <w:r>
        <w:rPr>
          <w:rFonts w:hint="eastAsia" w:ascii="仿宋_GB2312" w:hAnsi="仿宋_GB2312" w:eastAsia="仿宋_GB2312" w:cs="仿宋_GB2312"/>
          <w:sz w:val="32"/>
          <w:szCs w:val="32"/>
        </w:rPr>
        <w:t>五四运动100周年大会上的讲话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中华人民共和国宪法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中共中央国务院关于全面深化新时代教师队伍改革的意见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教师资格条例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中共中央关于加强党的政治建设的意见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党务工会及团组织工作的开</w:t>
      </w:r>
      <w:r>
        <w:rPr>
          <w:rFonts w:hint="eastAsia" w:ascii="仿宋_GB2312" w:hAnsi="仿宋_GB2312" w:eastAsia="仿宋_GB2312" w:cs="仿宋_GB2312"/>
          <w:b/>
          <w:bCs/>
          <w:sz w:val="32"/>
          <w:szCs w:val="32"/>
          <w:lang w:eastAsia="zh-CN"/>
        </w:rPr>
        <w:t>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red"/>
        </w:rPr>
      </w:pPr>
      <w:r>
        <w:rPr>
          <w:rFonts w:hint="eastAsia" w:ascii="仿宋_GB2312" w:hAnsi="仿宋_GB2312" w:eastAsia="仿宋_GB2312" w:cs="仿宋_GB2312"/>
          <w:sz w:val="32"/>
          <w:szCs w:val="32"/>
        </w:rPr>
        <w:t>坚持了“三会一课”制度，定期开度了组织活动，慰问了贫困党员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开展了“三、八”妇女节活动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召开主题会议，部署了党风廉政建设和反腐工作，逐级分层签订了责任书，签订了不违规举办宴席的承诺书，四月开</w:t>
      </w:r>
      <w:r>
        <w:rPr>
          <w:rFonts w:hint="eastAsia" w:ascii="仿宋_GB2312" w:hAnsi="仿宋_GB2312" w:eastAsia="仿宋_GB2312" w:cs="仿宋_GB2312"/>
          <w:sz w:val="32"/>
          <w:szCs w:val="32"/>
          <w:lang w:eastAsia="zh-CN"/>
        </w:rPr>
        <w:t>展</w:t>
      </w:r>
      <w:r>
        <w:rPr>
          <w:rFonts w:hint="eastAsia" w:ascii="仿宋_GB2312" w:hAnsi="仿宋_GB2312" w:eastAsia="仿宋_GB2312" w:cs="仿宋_GB2312"/>
          <w:sz w:val="32"/>
          <w:szCs w:val="32"/>
        </w:rPr>
        <w:t>了党建培训，组织党员教师参加</w:t>
      </w:r>
      <w:r>
        <w:rPr>
          <w:rFonts w:hint="eastAsia" w:ascii="仿宋_GB2312" w:hAnsi="仿宋_GB2312" w:eastAsia="仿宋_GB2312" w:cs="仿宋_GB2312"/>
          <w:sz w:val="32"/>
          <w:szCs w:val="32"/>
          <w:highlight w:val="none"/>
        </w:rPr>
        <w:t>了知识</w:t>
      </w:r>
      <w:r>
        <w:rPr>
          <w:rFonts w:hint="eastAsia" w:ascii="仿宋_GB2312" w:hAnsi="仿宋_GB2312" w:eastAsia="仿宋_GB2312" w:cs="仿宋_GB2312"/>
          <w:sz w:val="32"/>
          <w:szCs w:val="32"/>
          <w:highlight w:val="none"/>
          <w:lang w:eastAsia="zh-CN"/>
        </w:rPr>
        <w:t>考核</w:t>
      </w:r>
      <w:r>
        <w:rPr>
          <w:rFonts w:hint="eastAsia" w:ascii="仿宋_GB2312" w:hAnsi="仿宋_GB2312" w:eastAsia="仿宋_GB2312" w:cs="仿宋_GB2312"/>
          <w:sz w:val="32"/>
          <w:szCs w:val="32"/>
          <w:highlight w:val="none"/>
        </w:rPr>
        <w:t>，参与组织“五四”青年节活动，</w:t>
      </w:r>
      <w:r>
        <w:rPr>
          <w:rFonts w:hint="eastAsia" w:ascii="仿宋_GB2312" w:hAnsi="仿宋_GB2312" w:eastAsia="仿宋_GB2312" w:cs="仿宋_GB2312"/>
          <w:sz w:val="32"/>
          <w:szCs w:val="32"/>
          <w:highlight w:val="none"/>
          <w:lang w:eastAsia="zh-CN"/>
        </w:rPr>
        <w:t>园</w:t>
      </w:r>
      <w:r>
        <w:rPr>
          <w:rFonts w:hint="eastAsia" w:ascii="仿宋_GB2312" w:hAnsi="仿宋_GB2312" w:eastAsia="仿宋_GB2312" w:cs="仿宋_GB2312"/>
          <w:sz w:val="32"/>
          <w:szCs w:val="32"/>
          <w:highlight w:val="none"/>
        </w:rPr>
        <w:t>长对班子成员进行了约</w:t>
      </w:r>
      <w:r>
        <w:rPr>
          <w:rFonts w:hint="eastAsia" w:ascii="仿宋_GB2312" w:hAnsi="仿宋_GB2312" w:eastAsia="仿宋_GB2312" w:cs="仿宋_GB2312"/>
          <w:sz w:val="32"/>
          <w:szCs w:val="32"/>
          <w:highlight w:val="none"/>
          <w:lang w:eastAsia="zh-CN"/>
        </w:rPr>
        <w:t>谈</w:t>
      </w:r>
      <w:r>
        <w:rPr>
          <w:rFonts w:hint="eastAsia" w:ascii="仿宋_GB2312" w:hAnsi="仿宋_GB2312" w:eastAsia="仿宋_GB2312" w:cs="仿宋_GB2312"/>
          <w:sz w:val="32"/>
          <w:szCs w:val="32"/>
          <w:highlight w:val="none"/>
        </w:rPr>
        <w:t>，观看了《学习周永开先进事迹》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《这就是中国》</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视</w:t>
      </w:r>
      <w:r>
        <w:rPr>
          <w:rFonts w:hint="eastAsia" w:ascii="仿宋_GB2312" w:hAnsi="仿宋_GB2312" w:eastAsia="仿宋_GB2312" w:cs="仿宋_GB2312"/>
          <w:sz w:val="32"/>
          <w:szCs w:val="32"/>
          <w:highlight w:val="none"/>
          <w:lang w:eastAsia="zh-CN"/>
        </w:rPr>
        <w:t>频。</w:t>
      </w:r>
      <w:r>
        <w:rPr>
          <w:rFonts w:hint="eastAsia" w:ascii="仿宋_GB2312" w:hAnsi="仿宋_GB2312" w:eastAsia="仿宋_GB2312" w:cs="仿宋_GB2312"/>
          <w:sz w:val="32"/>
          <w:szCs w:val="32"/>
          <w:highlight w:val="none"/>
        </w:rPr>
        <w:t>4月28日，组织</w:t>
      </w:r>
      <w:r>
        <w:rPr>
          <w:rFonts w:hint="eastAsia" w:ascii="仿宋_GB2312" w:hAnsi="仿宋_GB2312" w:eastAsia="仿宋_GB2312" w:cs="仿宋_GB2312"/>
          <w:sz w:val="32"/>
          <w:szCs w:val="32"/>
          <w:highlight w:val="none"/>
          <w:lang w:eastAsia="zh-CN"/>
        </w:rPr>
        <w:t>全</w:t>
      </w:r>
      <w:r>
        <w:rPr>
          <w:rFonts w:hint="eastAsia" w:ascii="仿宋_GB2312" w:hAnsi="仿宋_GB2312" w:eastAsia="仿宋_GB2312" w:cs="仿宋_GB2312"/>
          <w:sz w:val="32"/>
          <w:szCs w:val="32"/>
          <w:highlight w:val="none"/>
        </w:rPr>
        <w:t>员教师收</w:t>
      </w:r>
      <w:r>
        <w:rPr>
          <w:rFonts w:hint="eastAsia" w:ascii="仿宋_GB2312" w:hAnsi="仿宋_GB2312" w:eastAsia="仿宋_GB2312" w:cs="仿宋_GB2312"/>
          <w:sz w:val="32"/>
          <w:szCs w:val="32"/>
          <w:highlight w:val="none"/>
          <w:lang w:val="en-US" w:eastAsia="zh-CN"/>
        </w:rPr>
        <w:t>看</w:t>
      </w:r>
      <w:bookmarkStart w:id="71" w:name="_GoBack"/>
      <w:bookmarkEnd w:id="71"/>
      <w:r>
        <w:rPr>
          <w:rFonts w:hint="eastAsia" w:ascii="仿宋_GB2312" w:hAnsi="仿宋_GB2312" w:eastAsia="仿宋_GB2312" w:cs="仿宋_GB2312"/>
          <w:sz w:val="32"/>
          <w:szCs w:val="32"/>
          <w:highlight w:val="none"/>
        </w:rPr>
        <w:t>达州市第11期“</w:t>
      </w:r>
      <w:r>
        <w:rPr>
          <w:rFonts w:hint="eastAsia" w:ascii="仿宋_GB2312" w:hAnsi="仿宋_GB2312" w:eastAsia="仿宋_GB2312" w:cs="仿宋_GB2312"/>
          <w:sz w:val="32"/>
          <w:szCs w:val="32"/>
          <w:highlight w:val="none"/>
          <w:lang w:eastAsia="zh-CN"/>
        </w:rPr>
        <w:t>阳光</w:t>
      </w:r>
      <w:r>
        <w:rPr>
          <w:rFonts w:hint="eastAsia" w:ascii="仿宋_GB2312" w:hAnsi="仿宋_GB2312" w:eastAsia="仿宋_GB2312" w:cs="仿宋_GB2312"/>
          <w:sz w:val="32"/>
          <w:szCs w:val="32"/>
          <w:highlight w:val="none"/>
        </w:rPr>
        <w:t>问廉”本期围绕“</w:t>
      </w:r>
      <w:r>
        <w:rPr>
          <w:rFonts w:hint="eastAsia" w:ascii="仿宋_GB2312" w:hAnsi="仿宋_GB2312" w:eastAsia="仿宋_GB2312" w:cs="仿宋_GB2312"/>
          <w:sz w:val="32"/>
          <w:szCs w:val="32"/>
          <w:highlight w:val="none"/>
          <w:lang w:eastAsia="zh-CN"/>
        </w:rPr>
        <w:t>整治食</w:t>
      </w:r>
      <w:r>
        <w:rPr>
          <w:rFonts w:hint="eastAsia" w:ascii="仿宋_GB2312" w:hAnsi="仿宋_GB2312" w:eastAsia="仿宋_GB2312" w:cs="仿宋_GB2312"/>
          <w:sz w:val="32"/>
          <w:szCs w:val="32"/>
          <w:highlight w:val="none"/>
        </w:rPr>
        <w:t>品安全，</w:t>
      </w:r>
      <w:r>
        <w:rPr>
          <w:rFonts w:hint="eastAsia" w:ascii="仿宋_GB2312" w:hAnsi="仿宋_GB2312" w:eastAsia="仿宋_GB2312" w:cs="仿宋_GB2312"/>
          <w:sz w:val="32"/>
          <w:szCs w:val="32"/>
          <w:highlight w:val="none"/>
          <w:lang w:eastAsia="zh-CN"/>
        </w:rPr>
        <w:t>强力</w:t>
      </w:r>
      <w:r>
        <w:rPr>
          <w:rFonts w:hint="eastAsia" w:ascii="仿宋_GB2312" w:hAnsi="仿宋_GB2312" w:eastAsia="仿宋_GB2312" w:cs="仿宋_GB2312"/>
          <w:sz w:val="32"/>
          <w:szCs w:val="32"/>
          <w:highlight w:val="none"/>
        </w:rPr>
        <w:t>整治</w:t>
      </w:r>
      <w:r>
        <w:rPr>
          <w:rFonts w:hint="eastAsia" w:ascii="仿宋_GB2312" w:hAnsi="仿宋_GB2312" w:eastAsia="仿宋_GB2312" w:cs="仿宋_GB2312"/>
          <w:sz w:val="32"/>
          <w:szCs w:val="32"/>
          <w:highlight w:val="none"/>
          <w:lang w:eastAsia="zh-CN"/>
        </w:rPr>
        <w:t>行业乱象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开展了民主生</w:t>
      </w:r>
      <w:r>
        <w:rPr>
          <w:rFonts w:hint="eastAsia" w:ascii="仿宋_GB2312" w:hAnsi="仿宋_GB2312" w:eastAsia="仿宋_GB2312" w:cs="仿宋_GB2312"/>
          <w:sz w:val="32"/>
          <w:szCs w:val="32"/>
          <w:highlight w:val="none"/>
          <w:lang w:eastAsia="zh-CN"/>
        </w:rPr>
        <w:t>活</w:t>
      </w:r>
      <w:r>
        <w:rPr>
          <w:rFonts w:hint="eastAsia" w:ascii="仿宋_GB2312" w:hAnsi="仿宋_GB2312" w:eastAsia="仿宋_GB2312" w:cs="仿宋_GB2312"/>
          <w:sz w:val="32"/>
          <w:szCs w:val="32"/>
          <w:highlight w:val="none"/>
        </w:rPr>
        <w:t>会，做好了党员发展对</w:t>
      </w:r>
      <w:r>
        <w:rPr>
          <w:rFonts w:hint="eastAsia" w:ascii="仿宋_GB2312" w:hAnsi="仿宋_GB2312" w:eastAsia="仿宋_GB2312" w:cs="仿宋_GB2312"/>
          <w:sz w:val="32"/>
          <w:szCs w:val="32"/>
        </w:rPr>
        <w:t>象的思想检查和帮助学习，</w:t>
      </w:r>
      <w:r>
        <w:rPr>
          <w:rFonts w:hint="eastAsia" w:ascii="仿宋_GB2312" w:hAnsi="仿宋_GB2312" w:eastAsia="仿宋_GB2312" w:cs="仿宋_GB2312"/>
          <w:sz w:val="32"/>
          <w:szCs w:val="32"/>
          <w:highlight w:val="none"/>
        </w:rPr>
        <w:t>我园</w:t>
      </w:r>
      <w:r>
        <w:rPr>
          <w:rFonts w:hint="eastAsia" w:ascii="仿宋_GB2312" w:hAnsi="仿宋_GB2312" w:eastAsia="仿宋_GB2312" w:cs="仿宋_GB2312"/>
          <w:sz w:val="32"/>
          <w:szCs w:val="32"/>
          <w:highlight w:val="none"/>
          <w:lang w:eastAsia="zh-CN"/>
        </w:rPr>
        <w:t>雷礼冬评为</w:t>
      </w:r>
      <w:r>
        <w:rPr>
          <w:rFonts w:hint="eastAsia" w:ascii="仿宋_GB2312" w:hAnsi="仿宋_GB2312" w:eastAsia="仿宋_GB2312" w:cs="仿宋_GB2312"/>
          <w:sz w:val="32"/>
          <w:szCs w:val="32"/>
          <w:highlight w:val="none"/>
        </w:rPr>
        <w:t>优秀共产党员。</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增强安全意识，狠抓安全工作</w:t>
      </w:r>
    </w:p>
    <w:p>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是天，教学是地”虽是一句玩笑话，但生命重于一切，树立安全第一观念是必须的，强化安全意识，认真落实上级组织的工作要求，以打造平安园所为目标，全面落实“一岗双责”，以细化安全工作岗位职责为纽带，为安全教育为核心，以安全活动为载体，以强化过程管理为抓手，以安全监管为支撑，深入开展安全常规管理工作确保了幼儿园平安和谐稳定发展，效果显著。</w:t>
      </w:r>
    </w:p>
    <w:p>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精神贯彻到位、举措宣传到位、责任落实到位的前提下，有效确保了我园各项活动都能得以安全、顺利地开展，未发生一起安全责任事故。从上级领导对我园进行的几次安全工作专项检查的情况来看，反响较好。特别是在创建安全管理标准化示范学校的工作中，我们按照上级要求积极创建，初步建立起了一套较为科学、完整的幼儿园安全管理体系，最终通过了上级部门的验收，幼儿园被正式命名为宣汉县“安全管理标准化示范学校”，这既是对我们工作的一个肯定，又是一种鼓舞，让我们更有信心去做好接下来的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教学</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1、在教务</w:t>
      </w:r>
      <w:r>
        <w:rPr>
          <w:rFonts w:hint="eastAsia" w:ascii="仿宋_GB2312" w:hAnsi="仿宋_GB2312" w:eastAsia="仿宋_GB2312" w:cs="仿宋_GB2312"/>
          <w:sz w:val="32"/>
          <w:szCs w:val="32"/>
          <w:lang w:eastAsia="zh-CN"/>
        </w:rPr>
        <w:t>主任</w:t>
      </w:r>
      <w:r>
        <w:rPr>
          <w:rFonts w:hint="eastAsia" w:ascii="仿宋_GB2312" w:hAnsi="仿宋_GB2312" w:eastAsia="仿宋_GB2312" w:cs="仿宋_GB2312"/>
          <w:sz w:val="32"/>
          <w:szCs w:val="32"/>
        </w:rPr>
        <w:t>周晓</w:t>
      </w:r>
      <w:r>
        <w:rPr>
          <w:rFonts w:hint="eastAsia" w:ascii="仿宋_GB2312" w:hAnsi="仿宋_GB2312" w:eastAsia="仿宋_GB2312" w:cs="仿宋_GB2312"/>
          <w:sz w:val="32"/>
          <w:szCs w:val="32"/>
          <w:lang w:eastAsia="zh-CN"/>
        </w:rPr>
        <w:t>玲</w:t>
      </w:r>
      <w:r>
        <w:rPr>
          <w:rFonts w:hint="eastAsia" w:ascii="仿宋_GB2312" w:hAnsi="仿宋_GB2312" w:eastAsia="仿宋_GB2312" w:cs="仿宋_GB2312"/>
          <w:sz w:val="32"/>
          <w:szCs w:val="32"/>
        </w:rPr>
        <w:t>指导下，教育教学和日常管理工作实行了常规化。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2、积极开展教研学习、年级组业务学习提高了教师业务水平。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3、精心开展师资培训，指导实习老师，让师资培训与</w:t>
      </w:r>
      <w:r>
        <w:rPr>
          <w:rFonts w:hint="eastAsia" w:ascii="仿宋_GB2312" w:hAnsi="仿宋_GB2312" w:eastAsia="仿宋_GB2312" w:cs="仿宋_GB2312"/>
          <w:sz w:val="32"/>
          <w:szCs w:val="32"/>
          <w:highlight w:val="none"/>
          <w:lang w:eastAsia="zh-CN"/>
        </w:rPr>
        <w:t>考核相结合</w:t>
      </w:r>
      <w:r>
        <w:rPr>
          <w:rFonts w:hint="eastAsia" w:ascii="仿宋_GB2312" w:hAnsi="仿宋_GB2312" w:eastAsia="仿宋_GB2312" w:cs="仿宋_GB2312"/>
          <w:sz w:val="32"/>
          <w:szCs w:val="32"/>
          <w:highlight w:val="none"/>
        </w:rPr>
        <w:t>，达到了全</w:t>
      </w:r>
      <w:r>
        <w:rPr>
          <w:rFonts w:hint="eastAsia" w:ascii="仿宋_GB2312" w:hAnsi="仿宋_GB2312" w:eastAsia="仿宋_GB2312" w:cs="仿宋_GB2312"/>
          <w:sz w:val="32"/>
          <w:szCs w:val="32"/>
          <w:highlight w:val="none"/>
          <w:lang w:eastAsia="zh-CN"/>
        </w:rPr>
        <w:t>园</w:t>
      </w:r>
      <w:r>
        <w:rPr>
          <w:rFonts w:hint="eastAsia" w:ascii="仿宋_GB2312" w:hAnsi="仿宋_GB2312" w:eastAsia="仿宋_GB2312" w:cs="仿宋_GB2312"/>
          <w:sz w:val="32"/>
          <w:szCs w:val="32"/>
          <w:highlight w:val="none"/>
        </w:rPr>
        <w:t>教学质量整体提升。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4、家长工作的创新举措，</w:t>
      </w:r>
      <w:r>
        <w:rPr>
          <w:rFonts w:hint="eastAsia" w:ascii="仿宋_GB2312" w:hAnsi="仿宋_GB2312" w:eastAsia="仿宋_GB2312" w:cs="仿宋_GB2312"/>
          <w:sz w:val="32"/>
          <w:szCs w:val="32"/>
          <w:highlight w:val="none"/>
          <w:lang w:eastAsia="zh-CN"/>
        </w:rPr>
        <w:t>促</w:t>
      </w:r>
      <w:r>
        <w:rPr>
          <w:rFonts w:hint="eastAsia" w:ascii="仿宋_GB2312" w:hAnsi="仿宋_GB2312" w:eastAsia="仿宋_GB2312" w:cs="仿宋_GB2312"/>
          <w:sz w:val="32"/>
          <w:szCs w:val="32"/>
          <w:highlight w:val="none"/>
        </w:rPr>
        <w:t>进了家园协调合</w:t>
      </w:r>
      <w:r>
        <w:rPr>
          <w:rFonts w:hint="eastAsia" w:ascii="仿宋_GB2312" w:hAnsi="仿宋_GB2312" w:eastAsia="仿宋_GB2312" w:cs="仿宋_GB2312"/>
          <w:sz w:val="32"/>
          <w:szCs w:val="32"/>
        </w:rPr>
        <w:t>作共赢的局面。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5、本期教学以主题活动为主，</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rPr>
        <w:t>课题“基于传统节</w:t>
      </w:r>
      <w:r>
        <w:rPr>
          <w:rFonts w:hint="eastAsia" w:ascii="仿宋_GB2312" w:hAnsi="仿宋_GB2312" w:eastAsia="仿宋_GB2312" w:cs="仿宋_GB2312"/>
          <w:sz w:val="32"/>
          <w:szCs w:val="32"/>
          <w:lang w:eastAsia="zh-CN"/>
        </w:rPr>
        <w:t>日下</w:t>
      </w:r>
      <w:r>
        <w:rPr>
          <w:rFonts w:hint="eastAsia" w:ascii="仿宋_GB2312" w:hAnsi="仿宋_GB2312" w:eastAsia="仿宋_GB2312" w:cs="仿宋_GB2312"/>
          <w:sz w:val="32"/>
          <w:szCs w:val="32"/>
        </w:rPr>
        <w:t>的幼儿礼义教育的实践与研究”开展了</w:t>
      </w:r>
      <w:r>
        <w:rPr>
          <w:rFonts w:hint="eastAsia" w:ascii="仿宋_GB2312" w:hAnsi="仿宋_GB2312" w:eastAsia="仿宋_GB2312" w:cs="仿宋_GB2312"/>
          <w:sz w:val="32"/>
          <w:szCs w:val="32"/>
          <w:lang w:eastAsia="zh-CN"/>
        </w:rPr>
        <w:t>多次</w:t>
      </w:r>
      <w:r>
        <w:rPr>
          <w:rFonts w:hint="eastAsia" w:ascii="仿宋_GB2312" w:hAnsi="仿宋_GB2312" w:eastAsia="仿宋_GB2312" w:cs="仿宋_GB2312"/>
          <w:sz w:val="32"/>
          <w:szCs w:val="32"/>
        </w:rPr>
        <w:t>教学活动。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幼儿园德育教</w:t>
      </w:r>
      <w:r>
        <w:rPr>
          <w:rFonts w:hint="eastAsia" w:ascii="仿宋_GB2312" w:hAnsi="仿宋_GB2312" w:eastAsia="仿宋_GB2312" w:cs="仿宋_GB2312"/>
          <w:sz w:val="32"/>
          <w:szCs w:val="32"/>
          <w:highlight w:val="none"/>
        </w:rPr>
        <w:t>育工作</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行政的重</w:t>
      </w:r>
      <w:r>
        <w:rPr>
          <w:rFonts w:hint="eastAsia" w:ascii="仿宋_GB2312" w:hAnsi="仿宋_GB2312" w:eastAsia="仿宋_GB2312" w:cs="仿宋_GB2312"/>
          <w:sz w:val="32"/>
          <w:szCs w:val="32"/>
        </w:rPr>
        <w:t>视支持下以服务教育教学为主线，以爱祖国、爱家乡、爱幼儿园、爱父母、爱老师为重点，积极开展丰富多彩的活动，取得了较好的成绩。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承担了2019年幼师国培任务，并成为国培基地校，且认真组织开展每次的培训活动。培训过程中，在上级领导的关心帮助下，聘请了多名学前教育专家为教师们传金送宝，同时也通过教师的同课异构、跟岗实践、才艺展示、总结等多种形式提升教师的专业素质及技能。在本次的国培活动中，我园圆满完成了培训任务，取得了较好的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五、其他各项</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后勤本</w:t>
      </w:r>
      <w:r>
        <w:rPr>
          <w:rFonts w:hint="eastAsia" w:ascii="仿宋_GB2312" w:hAnsi="仿宋_GB2312" w:eastAsia="仿宋_GB2312" w:cs="仿宋_GB2312"/>
          <w:sz w:val="32"/>
          <w:szCs w:val="32"/>
          <w:lang w:eastAsia="zh-CN"/>
        </w:rPr>
        <w:t>着</w:t>
      </w:r>
      <w:r>
        <w:rPr>
          <w:rFonts w:hint="eastAsia" w:ascii="仿宋_GB2312" w:hAnsi="仿宋_GB2312" w:eastAsia="仿宋_GB2312" w:cs="仿宋_GB2312"/>
          <w:sz w:val="32"/>
          <w:szCs w:val="32"/>
        </w:rPr>
        <w:t>“为教育</w:t>
      </w:r>
      <w:r>
        <w:rPr>
          <w:rFonts w:hint="eastAsia" w:ascii="仿宋_GB2312" w:hAnsi="仿宋_GB2312" w:eastAsia="仿宋_GB2312" w:cs="仿宋_GB2312"/>
          <w:sz w:val="32"/>
          <w:szCs w:val="32"/>
          <w:lang w:eastAsia="zh-CN"/>
        </w:rPr>
        <w:t>教</w:t>
      </w:r>
      <w:r>
        <w:rPr>
          <w:rFonts w:hint="eastAsia" w:ascii="仿宋_GB2312" w:hAnsi="仿宋_GB2312" w:eastAsia="仿宋_GB2312" w:cs="仿宋_GB2312"/>
          <w:sz w:val="32"/>
          <w:szCs w:val="32"/>
        </w:rPr>
        <w:t>学服务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为幼儿</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的宗旨，后勤工作人</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尽心尽责，共同努力，服务意识提高了，为教育教学提供</w:t>
      </w:r>
      <w:r>
        <w:rPr>
          <w:rFonts w:hint="eastAsia" w:ascii="仿宋_GB2312" w:hAnsi="仿宋_GB2312" w:eastAsia="仿宋_GB2312" w:cs="仿宋_GB2312"/>
          <w:sz w:val="32"/>
          <w:szCs w:val="32"/>
          <w:highlight w:val="none"/>
        </w:rPr>
        <w:t>了坚强的后勤保障，组织教师积极</w:t>
      </w:r>
      <w:r>
        <w:rPr>
          <w:rFonts w:hint="eastAsia" w:ascii="仿宋_GB2312" w:hAnsi="仿宋_GB2312" w:eastAsia="仿宋_GB2312" w:cs="仿宋_GB2312"/>
          <w:sz w:val="32"/>
          <w:szCs w:val="32"/>
          <w:highlight w:val="none"/>
          <w:lang w:eastAsia="zh-CN"/>
        </w:rPr>
        <w:t>参</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lang w:eastAsia="zh-CN"/>
        </w:rPr>
        <w:t>城乡</w:t>
      </w:r>
      <w:r>
        <w:rPr>
          <w:rFonts w:hint="eastAsia" w:ascii="仿宋_GB2312" w:hAnsi="仿宋_GB2312" w:eastAsia="仿宋_GB2312" w:cs="仿宋_GB2312"/>
          <w:sz w:val="32"/>
          <w:szCs w:val="32"/>
          <w:highlight w:val="none"/>
        </w:rPr>
        <w:t>环境治理工作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加大了治理校园内脏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乱</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差等现象，制定了详细</w:t>
      </w:r>
      <w:r>
        <w:rPr>
          <w:rFonts w:hint="eastAsia" w:ascii="仿宋_GB2312" w:hAnsi="仿宋_GB2312" w:eastAsia="仿宋_GB2312" w:cs="仿宋_GB2312"/>
          <w:sz w:val="32"/>
          <w:szCs w:val="32"/>
          <w:highlight w:val="none"/>
          <w:lang w:eastAsia="zh-CN"/>
        </w:rPr>
        <w:t>的卫生考核制度及评定等级标准，</w:t>
      </w:r>
      <w:r>
        <w:rPr>
          <w:rFonts w:hint="eastAsia" w:ascii="仿宋_GB2312" w:hAnsi="仿宋_GB2312" w:eastAsia="仿宋_GB2312" w:cs="仿宋_GB2312"/>
          <w:sz w:val="32"/>
          <w:szCs w:val="32"/>
          <w:highlight w:val="none"/>
        </w:rPr>
        <w:t>落实了各保教</w:t>
      </w:r>
      <w:r>
        <w:rPr>
          <w:rFonts w:hint="eastAsia" w:ascii="仿宋_GB2312" w:hAnsi="仿宋_GB2312" w:eastAsia="仿宋_GB2312" w:cs="仿宋_GB2312"/>
          <w:sz w:val="32"/>
          <w:szCs w:val="32"/>
          <w:highlight w:val="none"/>
          <w:lang w:eastAsia="zh-CN"/>
        </w:rPr>
        <w:t>从业人员的</w:t>
      </w:r>
      <w:r>
        <w:rPr>
          <w:rFonts w:hint="eastAsia" w:ascii="仿宋_GB2312" w:hAnsi="仿宋_GB2312" w:eastAsia="仿宋_GB2312" w:cs="仿宋_GB2312"/>
          <w:sz w:val="32"/>
          <w:szCs w:val="32"/>
          <w:highlight w:val="none"/>
        </w:rPr>
        <w:t>考核制度。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2、出纳、采</w:t>
      </w:r>
      <w:r>
        <w:rPr>
          <w:rFonts w:hint="eastAsia" w:ascii="仿宋_GB2312" w:hAnsi="仿宋_GB2312" w:eastAsia="仿宋_GB2312" w:cs="仿宋_GB2312"/>
          <w:sz w:val="32"/>
          <w:szCs w:val="32"/>
          <w:lang w:eastAsia="zh-CN"/>
        </w:rPr>
        <w:t>买工作</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严格按照食谱采购食品、保证食品的数量、质量，并及时做好了进</w:t>
      </w:r>
      <w:r>
        <w:rPr>
          <w:rFonts w:hint="eastAsia" w:ascii="仿宋_GB2312" w:hAnsi="仿宋_GB2312" w:eastAsia="仿宋_GB2312" w:cs="仿宋_GB2312"/>
          <w:sz w:val="32"/>
          <w:szCs w:val="32"/>
          <w:lang w:eastAsia="zh-CN"/>
        </w:rPr>
        <w:t>货</w:t>
      </w:r>
      <w:r>
        <w:rPr>
          <w:rFonts w:hint="eastAsia" w:ascii="仿宋_GB2312" w:hAnsi="仿宋_GB2312" w:eastAsia="仿宋_GB2312" w:cs="仿宋_GB2312"/>
          <w:sz w:val="32"/>
          <w:szCs w:val="32"/>
        </w:rPr>
        <w:t>单位的索证工作，</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食堂人员在实践中</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摸索，规范操作，</w:t>
      </w:r>
      <w:r>
        <w:rPr>
          <w:rFonts w:hint="eastAsia" w:ascii="仿宋_GB2312" w:hAnsi="仿宋_GB2312" w:eastAsia="仿宋_GB2312" w:cs="仿宋_GB2312"/>
          <w:sz w:val="32"/>
          <w:szCs w:val="32"/>
          <w:lang w:eastAsia="zh-CN"/>
        </w:rPr>
        <w:t>进一步提高</w:t>
      </w:r>
      <w:r>
        <w:rPr>
          <w:rFonts w:hint="eastAsia" w:ascii="仿宋_GB2312" w:hAnsi="仿宋_GB2312" w:eastAsia="仿宋_GB2312" w:cs="仿宋_GB2312"/>
          <w:sz w:val="32"/>
          <w:szCs w:val="32"/>
        </w:rPr>
        <w:t>烹饪水平，本学期普遍</w:t>
      </w:r>
      <w:r>
        <w:rPr>
          <w:rFonts w:hint="eastAsia" w:ascii="仿宋_GB2312" w:hAnsi="仿宋_GB2312" w:eastAsia="仿宋_GB2312" w:cs="仿宋_GB2312"/>
          <w:sz w:val="32"/>
          <w:szCs w:val="32"/>
          <w:highlight w:val="none"/>
        </w:rPr>
        <w:t>反应</w:t>
      </w:r>
      <w:r>
        <w:rPr>
          <w:rFonts w:hint="eastAsia" w:ascii="仿宋_GB2312" w:hAnsi="仿宋_GB2312" w:eastAsia="仿宋_GB2312" w:cs="仿宋_GB2312"/>
          <w:sz w:val="32"/>
          <w:szCs w:val="32"/>
          <w:highlight w:val="none"/>
          <w:lang w:eastAsia="zh-CN"/>
        </w:rPr>
        <w:t>对伙食质量</w:t>
      </w:r>
      <w:r>
        <w:rPr>
          <w:rFonts w:hint="eastAsia" w:ascii="仿宋_GB2312" w:hAnsi="仿宋_GB2312" w:eastAsia="仿宋_GB2312" w:cs="仿宋_GB2312"/>
          <w:sz w:val="32"/>
          <w:szCs w:val="32"/>
          <w:highlight w:val="none"/>
        </w:rPr>
        <w:t>表示满意，同时</w:t>
      </w:r>
      <w:r>
        <w:rPr>
          <w:rFonts w:hint="eastAsia" w:ascii="仿宋_GB2312" w:hAnsi="仿宋_GB2312" w:eastAsia="仿宋_GB2312" w:cs="仿宋_GB2312"/>
          <w:sz w:val="32"/>
          <w:szCs w:val="32"/>
          <w:highlight w:val="none"/>
          <w:lang w:eastAsia="zh-CN"/>
        </w:rPr>
        <w:t>幼儿的进食量也得到</w:t>
      </w:r>
      <w:r>
        <w:rPr>
          <w:rFonts w:hint="eastAsia" w:ascii="仿宋_GB2312" w:hAnsi="仿宋_GB2312" w:eastAsia="仿宋_GB2312" w:cs="仿宋_GB2312"/>
          <w:sz w:val="32"/>
          <w:szCs w:val="32"/>
          <w:highlight w:val="none"/>
        </w:rPr>
        <w:t>保证。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严格按规定的保管制度实施管理，依法照章加强财产管理，提</w:t>
      </w:r>
      <w:r>
        <w:rPr>
          <w:rFonts w:hint="eastAsia" w:ascii="仿宋_GB2312" w:hAnsi="仿宋_GB2312" w:eastAsia="仿宋_GB2312" w:cs="仿宋_GB2312"/>
          <w:sz w:val="32"/>
          <w:szCs w:val="32"/>
          <w:highlight w:val="none"/>
        </w:rPr>
        <w:t>高使用</w:t>
      </w:r>
      <w:r>
        <w:rPr>
          <w:rFonts w:hint="eastAsia" w:ascii="仿宋_GB2312" w:hAnsi="仿宋_GB2312" w:eastAsia="仿宋_GB2312" w:cs="仿宋_GB2312"/>
          <w:sz w:val="32"/>
          <w:szCs w:val="32"/>
          <w:highlight w:val="none"/>
          <w:lang w:eastAsia="zh-CN"/>
        </w:rPr>
        <w:t>效率</w:t>
      </w:r>
      <w:r>
        <w:rPr>
          <w:rFonts w:hint="eastAsia" w:ascii="仿宋_GB2312" w:hAnsi="仿宋_GB2312" w:eastAsia="仿宋_GB2312" w:cs="仿宋_GB2312"/>
          <w:sz w:val="32"/>
          <w:szCs w:val="32"/>
          <w:highlight w:val="none"/>
        </w:rPr>
        <w:t>，做好财产记帐和</w:t>
      </w:r>
      <w:r>
        <w:rPr>
          <w:rFonts w:hint="eastAsia" w:ascii="仿宋_GB2312" w:hAnsi="仿宋_GB2312" w:eastAsia="仿宋_GB2312" w:cs="仿宋_GB2312"/>
          <w:sz w:val="32"/>
          <w:szCs w:val="32"/>
          <w:highlight w:val="none"/>
          <w:lang w:eastAsia="zh-CN"/>
        </w:rPr>
        <w:t>报损调整工作</w:t>
      </w:r>
      <w:r>
        <w:rPr>
          <w:rFonts w:hint="eastAsia" w:ascii="仿宋_GB2312" w:hAnsi="仿宋_GB2312" w:eastAsia="仿宋_GB2312" w:cs="仿宋_GB2312"/>
          <w:sz w:val="32"/>
          <w:szCs w:val="32"/>
          <w:highlight w:val="none"/>
        </w:rPr>
        <w:t>。管好，用好</w:t>
      </w:r>
      <w:r>
        <w:rPr>
          <w:rFonts w:hint="eastAsia" w:ascii="仿宋_GB2312" w:hAnsi="仿宋_GB2312" w:eastAsia="仿宋_GB2312" w:cs="仿宋_GB2312"/>
          <w:sz w:val="32"/>
          <w:szCs w:val="32"/>
          <w:highlight w:val="none"/>
          <w:lang w:eastAsia="zh-CN"/>
        </w:rPr>
        <w:t>这些</w:t>
      </w:r>
      <w:r>
        <w:rPr>
          <w:rFonts w:hint="eastAsia" w:ascii="仿宋_GB2312" w:hAnsi="仿宋_GB2312" w:eastAsia="仿宋_GB2312" w:cs="仿宋_GB2312"/>
          <w:sz w:val="32"/>
          <w:szCs w:val="32"/>
          <w:highlight w:val="none"/>
        </w:rPr>
        <w:t>设施，确保</w:t>
      </w:r>
      <w:r>
        <w:rPr>
          <w:rFonts w:hint="eastAsia" w:ascii="仿宋_GB2312" w:hAnsi="仿宋_GB2312" w:eastAsia="仿宋_GB2312" w:cs="仿宋_GB2312"/>
          <w:sz w:val="32"/>
          <w:szCs w:val="32"/>
          <w:highlight w:val="none"/>
          <w:lang w:eastAsia="zh-CN"/>
        </w:rPr>
        <w:t>财产</w:t>
      </w:r>
      <w:r>
        <w:rPr>
          <w:rFonts w:hint="eastAsia" w:ascii="仿宋_GB2312" w:hAnsi="仿宋_GB2312" w:eastAsia="仿宋_GB2312" w:cs="仿宋_GB2312"/>
          <w:sz w:val="32"/>
          <w:szCs w:val="32"/>
          <w:highlight w:val="none"/>
        </w:rPr>
        <w:t>安全，充分</w:t>
      </w:r>
      <w:r>
        <w:rPr>
          <w:rFonts w:hint="eastAsia" w:ascii="仿宋_GB2312" w:hAnsi="仿宋_GB2312" w:eastAsia="仿宋_GB2312" w:cs="仿宋_GB2312"/>
          <w:sz w:val="32"/>
          <w:szCs w:val="32"/>
          <w:highlight w:val="none"/>
          <w:lang w:eastAsia="zh-CN"/>
        </w:rPr>
        <w:t>发挥设备的</w:t>
      </w:r>
      <w:r>
        <w:rPr>
          <w:rFonts w:hint="eastAsia" w:ascii="仿宋_GB2312" w:hAnsi="仿宋_GB2312" w:eastAsia="仿宋_GB2312" w:cs="仿宋_GB2312"/>
          <w:sz w:val="32"/>
          <w:szCs w:val="32"/>
          <w:highlight w:val="none"/>
        </w:rPr>
        <w:t>作用，为教学提供良好的设施，更好地为教育教学服务。对于存</w:t>
      </w:r>
      <w:r>
        <w:rPr>
          <w:rFonts w:hint="eastAsia" w:ascii="仿宋_GB2312" w:hAnsi="仿宋_GB2312" w:eastAsia="仿宋_GB2312" w:cs="仿宋_GB2312"/>
          <w:sz w:val="32"/>
          <w:szCs w:val="32"/>
          <w:highlight w:val="none"/>
          <w:lang w:eastAsia="zh-CN"/>
        </w:rPr>
        <w:t>放仓库的食物都建立</w:t>
      </w:r>
      <w:r>
        <w:rPr>
          <w:rFonts w:hint="eastAsia" w:ascii="仿宋_GB2312" w:hAnsi="仿宋_GB2312" w:eastAsia="仿宋_GB2312" w:cs="仿宋_GB2312"/>
          <w:sz w:val="32"/>
          <w:szCs w:val="32"/>
          <w:highlight w:val="none"/>
        </w:rPr>
        <w:t>明确</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出入</w:t>
      </w:r>
      <w:r>
        <w:rPr>
          <w:rFonts w:hint="eastAsia" w:ascii="仿宋_GB2312" w:hAnsi="仿宋_GB2312" w:eastAsia="仿宋_GB2312" w:cs="仿宋_GB2312"/>
          <w:sz w:val="32"/>
          <w:szCs w:val="32"/>
          <w:highlight w:val="none"/>
          <w:lang w:eastAsia="zh-CN"/>
        </w:rPr>
        <w:t>库</w:t>
      </w:r>
      <w:r>
        <w:rPr>
          <w:rFonts w:hint="eastAsia" w:ascii="仿宋_GB2312" w:hAnsi="仿宋_GB2312" w:eastAsia="仿宋_GB2312" w:cs="仿宋_GB2312"/>
          <w:sz w:val="32"/>
          <w:szCs w:val="32"/>
          <w:highlight w:val="none"/>
        </w:rPr>
        <w:t>帐目，做到严格</w:t>
      </w:r>
      <w:r>
        <w:rPr>
          <w:rFonts w:hint="eastAsia" w:ascii="仿宋_GB2312" w:hAnsi="仿宋_GB2312" w:eastAsia="仿宋_GB2312" w:cs="仿宋_GB2312"/>
          <w:sz w:val="32"/>
          <w:szCs w:val="32"/>
          <w:highlight w:val="none"/>
          <w:lang w:eastAsia="zh-CN"/>
        </w:rPr>
        <w:t>验</w:t>
      </w:r>
      <w:r>
        <w:rPr>
          <w:rFonts w:hint="eastAsia" w:ascii="仿宋_GB2312" w:hAnsi="仿宋_GB2312" w:eastAsia="仿宋_GB2312" w:cs="仿宋_GB2312"/>
          <w:sz w:val="32"/>
          <w:szCs w:val="32"/>
          <w:highlight w:val="none"/>
        </w:rPr>
        <w:t>验收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手续完</w:t>
      </w:r>
      <w:r>
        <w:rPr>
          <w:rFonts w:hint="eastAsia" w:ascii="仿宋_GB2312" w:hAnsi="仿宋_GB2312" w:eastAsia="仿宋_GB2312" w:cs="仿宋_GB2312"/>
          <w:sz w:val="32"/>
          <w:szCs w:val="32"/>
          <w:highlight w:val="none"/>
          <w:lang w:eastAsia="zh-CN"/>
        </w:rPr>
        <w:t>备</w:t>
      </w:r>
      <w:r>
        <w:rPr>
          <w:rFonts w:hint="eastAsia" w:ascii="仿宋_GB2312" w:hAnsi="仿宋_GB2312" w:eastAsia="仿宋_GB2312" w:cs="仿宋_GB2312"/>
          <w:sz w:val="32"/>
          <w:szCs w:val="32"/>
          <w:highlight w:val="none"/>
        </w:rPr>
        <w:t>，帐目清楚。</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办公室及档案室工作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督</w:t>
      </w:r>
      <w:r>
        <w:rPr>
          <w:rFonts w:hint="eastAsia" w:ascii="仿宋_GB2312" w:hAnsi="仿宋_GB2312" w:eastAsia="仿宋_GB2312" w:cs="仿宋_GB2312"/>
          <w:sz w:val="32"/>
          <w:szCs w:val="32"/>
          <w:highlight w:val="none"/>
        </w:rPr>
        <w:t>促办公室工作人员做好文件的处理：做到</w:t>
      </w:r>
      <w:r>
        <w:rPr>
          <w:rFonts w:hint="eastAsia" w:ascii="仿宋_GB2312" w:hAnsi="仿宋_GB2312" w:eastAsia="仿宋_GB2312" w:cs="仿宋_GB2312"/>
          <w:sz w:val="32"/>
          <w:szCs w:val="32"/>
        </w:rPr>
        <w:t>及时，及时收取</w:t>
      </w:r>
      <w:r>
        <w:rPr>
          <w:rFonts w:hint="eastAsia" w:ascii="仿宋_GB2312" w:hAnsi="仿宋_GB2312" w:eastAsia="仿宋_GB2312" w:cs="仿宋_GB2312"/>
          <w:sz w:val="32"/>
          <w:szCs w:val="32"/>
          <w:highlight w:val="none"/>
        </w:rPr>
        <w:t>上级文件，</w:t>
      </w:r>
      <w:r>
        <w:rPr>
          <w:rFonts w:hint="eastAsia" w:ascii="仿宋_GB2312" w:hAnsi="仿宋_GB2312" w:eastAsia="仿宋_GB2312" w:cs="仿宋_GB2312"/>
          <w:sz w:val="32"/>
          <w:szCs w:val="32"/>
          <w:highlight w:val="none"/>
          <w:lang w:eastAsia="zh-CN"/>
        </w:rPr>
        <w:t>及时送达园长签阅，及时下达给分管领导或教师。做好本园与上级各部门的衔接工作。确保每一份文件的资料都能按时上交。做好本园相关资料的额统计与汇总工作。协调各部门对教师考核工作提供相关辅证。加大宣传报道力度，做到每月至少上交教科局一篇宣传报道。对本园任务类资料进行再整理，归类清晰，目录精确。</w:t>
      </w:r>
      <w:r>
        <w:rPr>
          <w:rFonts w:hint="eastAsia" w:ascii="仿宋_GB2312" w:hAnsi="仿宋_GB2312" w:eastAsia="仿宋_GB2312" w:cs="仿宋_GB2312"/>
          <w:sz w:val="32"/>
          <w:szCs w:val="32"/>
          <w:highlight w:val="none"/>
        </w:rPr>
        <w:t>进一步规范了档案室工作制度及管理制度，为下半年的年终目标考核工作</w:t>
      </w:r>
      <w:r>
        <w:rPr>
          <w:rFonts w:hint="eastAsia" w:ascii="仿宋_GB2312" w:hAnsi="仿宋_GB2312" w:eastAsia="仿宋_GB2312" w:cs="仿宋_GB2312"/>
          <w:sz w:val="32"/>
          <w:szCs w:val="32"/>
          <w:highlight w:val="none"/>
          <w:lang w:eastAsia="zh-CN"/>
        </w:rPr>
        <w:t>提供</w:t>
      </w:r>
      <w:r>
        <w:rPr>
          <w:rFonts w:hint="eastAsia" w:ascii="仿宋_GB2312" w:hAnsi="仿宋_GB2312" w:eastAsia="仿宋_GB2312" w:cs="仿宋_GB2312"/>
          <w:sz w:val="32"/>
          <w:szCs w:val="32"/>
          <w:highlight w:val="none"/>
        </w:rPr>
        <w:t>可靠保障</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取得的成绩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1、2019年被宣汉县教育和科学技术局考核2018年度综合目标考核“二等奖”，党建工作“一等奖”；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2、2019年3月被宣汉县关工委、宣汉县妇女联合委员会、宣汉县教育和科学技术局联合授予“家庭教育先进学校”；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3、2019年3月被宣汉县关工委授予“六好基层关工委”；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4、2019年4月在宣汉县教育和科学技术局组织的歌咏比赛活动《我和我的祖国》荣获一等奖。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5、2019年4月被宣汉县教育和科学技术局评为2019年度民办教育托管工作“先进学校”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6、2019年6月达州市郭市长一行人到我园调研学前教育工作。</w:t>
      </w:r>
    </w:p>
    <w:p>
      <w:pPr>
        <w:pStyle w:val="3"/>
        <w:ind w:firstLine="640" w:firstLineChars="200"/>
        <w:rPr>
          <w:rStyle w:val="31"/>
          <w:b w:val="0"/>
          <w:bCs w:val="0"/>
        </w:rPr>
      </w:pPr>
      <w:bookmarkStart w:id="18" w:name="_Toc15396601"/>
      <w:bookmarkStart w:id="19" w:name="_Toc15377200"/>
      <w:r>
        <w:rPr>
          <w:rFonts w:hint="eastAsia" w:ascii="黑体" w:eastAsia="黑体"/>
          <w:b w:val="0"/>
          <w:color w:val="000000"/>
        </w:rPr>
        <w:t>二、</w:t>
      </w:r>
      <w:r>
        <w:rPr>
          <w:rFonts w:hint="eastAsia" w:ascii="黑体" w:hAnsi="黑体" w:eastAsia="黑体"/>
          <w:b w:val="0"/>
          <w:color w:val="000000"/>
        </w:rPr>
        <w:t>机</w:t>
      </w:r>
      <w:r>
        <w:rPr>
          <w:rStyle w:val="31"/>
          <w:rFonts w:hint="eastAsia" w:ascii="黑体" w:hAnsi="黑体" w:eastAsia="黑体"/>
          <w:b w:val="0"/>
          <w:bCs w:val="0"/>
        </w:rPr>
        <w:t>构设置</w:t>
      </w:r>
      <w:bookmarkEnd w:id="18"/>
      <w:bookmarkEnd w:id="19"/>
    </w:p>
    <w:p>
      <w:pPr>
        <w:spacing w:line="600" w:lineRule="exact"/>
        <w:ind w:firstLine="640" w:firstLineChars="200"/>
        <w:rPr>
          <w:rFonts w:ascii="仿宋" w:hAnsi="仿宋" w:eastAsia="仿宋_GB2312"/>
          <w:color w:val="000000"/>
          <w:kern w:val="0"/>
          <w:sz w:val="32"/>
          <w:szCs w:val="32"/>
        </w:rPr>
      </w:pPr>
      <w:r>
        <w:rPr>
          <w:rFonts w:hint="eastAsia" w:ascii="仿宋_GB2312" w:eastAsia="仿宋_GB2312"/>
          <w:sz w:val="32"/>
        </w:rPr>
        <w:t>宣汉县华融幼儿园是一级预算事业单位，机构人员年末实有人数19人，全部在岗在职。下设行政办公室、教务办公室、安全办公室、后勤办公室。</w:t>
      </w:r>
    </w:p>
    <w:p>
      <w:pPr>
        <w:pStyle w:val="5"/>
        <w:adjustRightInd w:val="0"/>
        <w:snapToGrid w:val="0"/>
        <w:spacing w:before="93" w:line="600" w:lineRule="exact"/>
        <w:rPr>
          <w:rFonts w:hint="default" w:ascii="仿宋" w:hAnsi="仿宋" w:eastAsia="仿宋"/>
          <w:color w:val="000000"/>
          <w:sz w:val="32"/>
          <w:szCs w:val="32"/>
          <w:lang w:val="en-US" w:eastAsia="zh-CN"/>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0" w:name="_Toc15396602"/>
      <w:bookmarkStart w:id="21"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0"/>
      <w:bookmarkEnd w:id="21"/>
    </w:p>
    <w:p/>
    <w:p>
      <w:pPr>
        <w:pStyle w:val="23"/>
        <w:numPr>
          <w:ilvl w:val="0"/>
          <w:numId w:val="4"/>
        </w:numPr>
        <w:spacing w:line="600" w:lineRule="exact"/>
        <w:ind w:firstLineChars="0"/>
        <w:outlineLvl w:val="1"/>
        <w:rPr>
          <w:rStyle w:val="25"/>
          <w:rFonts w:ascii="黑体" w:hAnsi="黑体" w:eastAsia="黑体"/>
          <w:b w:val="0"/>
        </w:rPr>
      </w:pPr>
      <w:bookmarkStart w:id="22" w:name="_Toc15377205"/>
      <w:bookmarkStart w:id="23"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2"/>
      <w:bookmarkEnd w:id="23"/>
    </w:p>
    <w:p>
      <w:pPr>
        <w:spacing w:line="600" w:lineRule="exact"/>
        <w:ind w:firstLine="420" w:firstLineChars="200"/>
        <w:rPr>
          <w:rFonts w:ascii="仿宋" w:hAnsi="仿宋" w:eastAsia="仿宋"/>
          <w:color w:val="000000"/>
          <w:sz w:val="32"/>
          <w:szCs w:val="32"/>
        </w:rPr>
      </w:pPr>
      <w:r>
        <w:drawing>
          <wp:anchor distT="0" distB="0" distL="114300" distR="114300" simplePos="0" relativeHeight="251659264" behindDoc="0" locked="0" layoutInCell="1" allowOverlap="1">
            <wp:simplePos x="0" y="0"/>
            <wp:positionH relativeFrom="column">
              <wp:posOffset>350520</wp:posOffset>
            </wp:positionH>
            <wp:positionV relativeFrom="paragraph">
              <wp:posOffset>1478280</wp:posOffset>
            </wp:positionV>
            <wp:extent cx="4572000" cy="2743200"/>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rPr>
        <w:t>2019年度收、支总计419.12万元。与2018年相比，收、支总计各减少66.65万元，下降13.72</w:t>
      </w:r>
      <w:r>
        <w:rPr>
          <w:rFonts w:ascii="仿宋" w:hAnsi="仿宋" w:eastAsia="仿宋"/>
          <w:color w:val="000000"/>
          <w:sz w:val="32"/>
          <w:szCs w:val="32"/>
        </w:rPr>
        <w:t>%</w:t>
      </w:r>
      <w:r>
        <w:rPr>
          <w:rFonts w:hint="eastAsia" w:ascii="仿宋" w:hAnsi="仿宋" w:eastAsia="仿宋"/>
          <w:color w:val="000000"/>
          <w:sz w:val="32"/>
          <w:szCs w:val="32"/>
        </w:rPr>
        <w:t>。主要变动原因是学生人数减少</w:t>
      </w:r>
    </w:p>
    <w:p>
      <w:pPr>
        <w:spacing w:line="600" w:lineRule="exact"/>
        <w:ind w:firstLine="640" w:firstLineChars="200"/>
        <w:rPr>
          <w:rFonts w:hint="eastAsia" w:ascii="仿宋" w:hAnsi="仿宋" w:eastAsia="仿宋"/>
          <w:color w:val="000000"/>
          <w:sz w:val="32"/>
          <w:szCs w:val="32"/>
        </w:rPr>
      </w:pPr>
    </w:p>
    <w:p>
      <w:pPr>
        <w:spacing w:line="600" w:lineRule="exact"/>
        <w:ind w:firstLine="960" w:firstLineChars="3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3"/>
        <w:numPr>
          <w:ilvl w:val="0"/>
          <w:numId w:val="4"/>
        </w:numPr>
        <w:spacing w:line="600" w:lineRule="exact"/>
        <w:ind w:firstLineChars="0"/>
        <w:outlineLvl w:val="1"/>
        <w:rPr>
          <w:rStyle w:val="25"/>
          <w:rFonts w:ascii="黑体" w:hAnsi="黑体" w:eastAsia="黑体"/>
          <w:b w:val="0"/>
        </w:rPr>
      </w:pPr>
      <w:bookmarkStart w:id="24" w:name="_Toc15377206"/>
      <w:bookmarkStart w:id="25"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9年本年收入合计419.12万元，其中：一般公共预算财政拨款收入419.12万元，占100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420" w:firstLineChars="200"/>
        <w:outlineLvl w:val="1"/>
        <w:rPr>
          <w:rFonts w:ascii="仿宋" w:hAnsi="仿宋" w:eastAsia="仿宋"/>
          <w:color w:val="000000"/>
          <w:sz w:val="32"/>
          <w:szCs w:val="32"/>
        </w:rPr>
      </w:pPr>
      <w:r>
        <w:drawing>
          <wp:anchor distT="0" distB="0" distL="114300" distR="114300" simplePos="0" relativeHeight="251660288" behindDoc="0" locked="0" layoutInCell="1" allowOverlap="1">
            <wp:simplePos x="0" y="0"/>
            <wp:positionH relativeFrom="column">
              <wp:posOffset>251460</wp:posOffset>
            </wp:positionH>
            <wp:positionV relativeFrom="paragraph">
              <wp:posOffset>403225</wp:posOffset>
            </wp:positionV>
            <wp:extent cx="4572000" cy="2743200"/>
            <wp:effectExtent l="0" t="0" r="0"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p>
    <w:p>
      <w:pPr>
        <w:pStyle w:val="23"/>
        <w:numPr>
          <w:ilvl w:val="0"/>
          <w:numId w:val="4"/>
        </w:numPr>
        <w:spacing w:line="600" w:lineRule="exact"/>
        <w:ind w:firstLineChars="0"/>
        <w:outlineLvl w:val="1"/>
        <w:rPr>
          <w:rStyle w:val="25"/>
          <w:rFonts w:ascii="黑体" w:hAnsi="黑体" w:eastAsia="黑体"/>
          <w:b w:val="0"/>
        </w:rPr>
      </w:pPr>
      <w:bookmarkStart w:id="26" w:name="_Toc15377207"/>
      <w:bookmarkStart w:id="27"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6"/>
      <w:bookmarkEnd w:id="27"/>
    </w:p>
    <w:p>
      <w:pPr>
        <w:spacing w:line="600" w:lineRule="exact"/>
        <w:ind w:firstLine="420" w:firstLineChars="200"/>
        <w:outlineLvl w:val="1"/>
        <w:rPr>
          <w:rFonts w:hint="eastAsia" w:ascii="仿宋" w:hAnsi="仿宋" w:eastAsia="仿宋"/>
          <w:color w:val="000000"/>
          <w:sz w:val="32"/>
          <w:szCs w:val="32"/>
        </w:rPr>
      </w:pPr>
      <w:r>
        <w:drawing>
          <wp:anchor distT="0" distB="0" distL="114300" distR="114300" simplePos="0" relativeHeight="251661312" behindDoc="0" locked="0" layoutInCell="1" allowOverlap="1">
            <wp:simplePos x="0" y="0"/>
            <wp:positionH relativeFrom="column">
              <wp:posOffset>350520</wp:posOffset>
            </wp:positionH>
            <wp:positionV relativeFrom="paragraph">
              <wp:posOffset>1882140</wp:posOffset>
            </wp:positionV>
            <wp:extent cx="4572000" cy="2743200"/>
            <wp:effectExtent l="0" t="0" r="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9年本年支出合计419.12万元，其中：基本支出237.67万元，占56.70</w:t>
      </w:r>
      <w:r>
        <w:rPr>
          <w:rFonts w:ascii="仿宋" w:hAnsi="仿宋" w:eastAsia="仿宋"/>
          <w:color w:val="000000"/>
          <w:sz w:val="32"/>
          <w:szCs w:val="32"/>
        </w:rPr>
        <w:t>%</w:t>
      </w:r>
      <w:r>
        <w:rPr>
          <w:rFonts w:hint="eastAsia" w:ascii="仿宋" w:hAnsi="仿宋" w:eastAsia="仿宋"/>
          <w:color w:val="000000"/>
          <w:sz w:val="32"/>
          <w:szCs w:val="32"/>
        </w:rPr>
        <w:t>；项目支出181.45万元，占43.30</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1600" w:firstLineChars="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28" w:name="_Toc15377208"/>
      <w:bookmarkStart w:id="29"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8"/>
      <w:bookmarkEnd w:id="29"/>
    </w:p>
    <w:p>
      <w:pPr>
        <w:spacing w:line="600" w:lineRule="exact"/>
        <w:ind w:firstLine="640"/>
        <w:rPr>
          <w:rFonts w:ascii="仿宋" w:hAnsi="仿宋" w:eastAsia="仿宋"/>
          <w:color w:val="000000"/>
          <w:sz w:val="32"/>
          <w:szCs w:val="32"/>
        </w:rPr>
      </w:pPr>
      <w:r>
        <w:t xml:space="preserve"> </w:t>
      </w:r>
      <w:r>
        <w:rPr>
          <w:rFonts w:ascii="仿宋" w:hAnsi="仿宋" w:eastAsia="仿宋"/>
          <w:color w:val="000000"/>
          <w:sz w:val="32"/>
          <w:szCs w:val="32"/>
        </w:rPr>
        <w:t>201</w:t>
      </w:r>
      <w:r>
        <w:rPr>
          <w:rFonts w:hint="eastAsia" w:ascii="仿宋" w:hAnsi="仿宋" w:eastAsia="仿宋"/>
          <w:color w:val="000000"/>
          <w:sz w:val="32"/>
          <w:szCs w:val="32"/>
        </w:rPr>
        <w:t>9年财政拨款收、支总计419.12万元。与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w:t>
      </w:r>
      <w:r>
        <w:rPr>
          <w:rFonts w:ascii="仿宋" w:hAnsi="仿宋" w:eastAsia="仿宋"/>
          <w:color w:val="000000"/>
          <w:sz w:val="32"/>
          <w:szCs w:val="32"/>
        </w:rPr>
        <w:t>/</w:t>
      </w:r>
      <w:r>
        <w:rPr>
          <w:rFonts w:hint="eastAsia" w:ascii="仿宋" w:hAnsi="仿宋" w:eastAsia="仿宋"/>
          <w:color w:val="000000"/>
          <w:sz w:val="32"/>
          <w:szCs w:val="32"/>
        </w:rPr>
        <w:t>减少66.65万元，下降13.7</w:t>
      </w:r>
      <w:r>
        <w:rPr>
          <w:rFonts w:ascii="仿宋" w:hAnsi="仿宋" w:eastAsia="仿宋"/>
          <w:color w:val="000000"/>
          <w:sz w:val="32"/>
          <w:szCs w:val="32"/>
        </w:rPr>
        <w:t>%</w:t>
      </w:r>
      <w:r>
        <w:rPr>
          <w:rFonts w:hint="eastAsia" w:ascii="仿宋" w:hAnsi="仿宋" w:eastAsia="仿宋"/>
          <w:color w:val="000000"/>
          <w:sz w:val="32"/>
          <w:szCs w:val="32"/>
        </w:rPr>
        <w:t>。主要变动原因是学生人数减少</w:t>
      </w:r>
    </w:p>
    <w:p>
      <w:pPr>
        <w:spacing w:line="600" w:lineRule="exact"/>
        <w:ind w:firstLine="210" w:firstLineChars="10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63360" behindDoc="0" locked="0" layoutInCell="1" allowOverlap="1">
            <wp:simplePos x="0" y="0"/>
            <wp:positionH relativeFrom="column">
              <wp:posOffset>350520</wp:posOffset>
            </wp:positionH>
            <wp:positionV relativeFrom="paragraph">
              <wp:posOffset>480060</wp:posOffset>
            </wp:positionV>
            <wp:extent cx="4572000" cy="2743200"/>
            <wp:effectExtent l="0" t="0" r="0" b="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0" w:name="_Toc15396607"/>
      <w:bookmarkStart w:id="31"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9年一般公共预算财政拨款支出419.12万元，占本年支出合计的100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8年相比，一般公共预算财政拨款减少66.65万元，下降13.7</w:t>
      </w:r>
      <w:r>
        <w:rPr>
          <w:rFonts w:ascii="仿宋" w:hAnsi="仿宋" w:eastAsia="仿宋"/>
          <w:color w:val="000000"/>
          <w:sz w:val="32"/>
          <w:szCs w:val="32"/>
        </w:rPr>
        <w:t>%</w:t>
      </w:r>
      <w:r>
        <w:rPr>
          <w:rFonts w:hint="eastAsia" w:ascii="仿宋" w:hAnsi="仿宋" w:eastAsia="仿宋"/>
          <w:color w:val="000000"/>
          <w:sz w:val="32"/>
          <w:szCs w:val="32"/>
        </w:rPr>
        <w:t>。主要变动原因是学生人数减少</w:t>
      </w:r>
    </w:p>
    <w:p>
      <w:pPr>
        <w:spacing w:line="600" w:lineRule="exact"/>
        <w:ind w:firstLine="420" w:firstLineChars="20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62336" behindDoc="0" locked="0" layoutInCell="1" allowOverlap="1">
            <wp:simplePos x="0" y="0"/>
            <wp:positionH relativeFrom="column">
              <wp:posOffset>403860</wp:posOffset>
            </wp:positionH>
            <wp:positionV relativeFrom="paragraph">
              <wp:posOffset>-388620</wp:posOffset>
            </wp:positionV>
            <wp:extent cx="4572000" cy="2743200"/>
            <wp:effectExtent l="0" t="0" r="0" b="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政拨款支出419.12万元，主要用于以下方面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教育支出（类）355.5</w:t>
      </w:r>
      <w:r>
        <w:rPr>
          <w:rFonts w:hint="eastAsia" w:ascii="仿宋" w:hAnsi="仿宋" w:eastAsia="仿宋"/>
          <w:color w:val="000000" w:themeColor="text1"/>
          <w:sz w:val="32"/>
          <w:szCs w:val="32"/>
          <w14:textFill>
            <w14:solidFill>
              <w14:schemeClr w14:val="tx1"/>
            </w14:solidFill>
          </w14:textFill>
        </w:rPr>
        <w:t>万元，占84.48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文化旅游体育与传媒（类）支出0万元，占0</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支出38.27万元，占9.13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卫生健康支出（类）8.83</w:t>
      </w:r>
      <w:r>
        <w:rPr>
          <w:rFonts w:hint="eastAsia" w:ascii="仿宋" w:hAnsi="仿宋" w:eastAsia="仿宋"/>
          <w:color w:val="000000" w:themeColor="text1"/>
          <w:sz w:val="32"/>
          <w:szCs w:val="32"/>
          <w14:textFill>
            <w14:solidFill>
              <w14:schemeClr w14:val="tx1"/>
            </w14:solidFill>
          </w14:textFill>
        </w:rPr>
        <w:t>万元，占2.1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；住房保障支出（类）16.52万元，占3.94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（罗列全部功能分类科目，至类级。）</w:t>
      </w: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sz w:val="32"/>
          <w:szCs w:val="32"/>
        </w:rPr>
      </w:pPr>
      <w:r>
        <w:drawing>
          <wp:anchor distT="0" distB="0" distL="114300" distR="114300" simplePos="0" relativeHeight="251664384" behindDoc="0" locked="0" layoutInCell="1" allowOverlap="1">
            <wp:simplePos x="0" y="0"/>
            <wp:positionH relativeFrom="column">
              <wp:posOffset>388620</wp:posOffset>
            </wp:positionH>
            <wp:positionV relativeFrom="paragraph">
              <wp:posOffset>-53340</wp:posOffset>
            </wp:positionV>
            <wp:extent cx="4572000" cy="2743200"/>
            <wp:effectExtent l="0" t="0" r="0" b="0"/>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3" w:firstLineChars="200"/>
        <w:outlineLvl w:val="2"/>
        <w:rPr>
          <w:rFonts w:ascii="仿宋" w:hAnsi="仿宋" w:eastAsia="仿宋"/>
          <w:color w:val="FF0000"/>
          <w:sz w:val="32"/>
          <w:szCs w:val="32"/>
        </w:rPr>
      </w:pPr>
      <w:bookmarkStart w:id="35" w:name="_Toc15377213"/>
      <w:bookmarkStart w:id="36" w:name="_Toc15378460"/>
      <w:bookmarkStart w:id="37" w:name="_Toc15377444"/>
      <w:r>
        <w:rPr>
          <w:rFonts w:hint="eastAsia" w:ascii="仿宋" w:hAnsi="仿宋" w:eastAsia="仿宋"/>
          <w:b/>
          <w:color w:val="000000" w:themeColor="text1"/>
          <w:sz w:val="32"/>
          <w:szCs w:val="32"/>
          <w14:textFill>
            <w14:solidFill>
              <w14:schemeClr w14:val="tx1"/>
            </w14:solidFill>
          </w14:textFill>
        </w:rPr>
        <w:t>2019年般公共预算支出决算数为419.12</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5"/>
      <w:bookmarkEnd w:id="36"/>
      <w:bookmarkEnd w:id="37"/>
    </w:p>
    <w:p>
      <w:pPr>
        <w:numPr>
          <w:ilvl w:val="0"/>
          <w:numId w:val="5"/>
        </w:num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rPr>
        <w:t>一般公共服务（类）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2.</w:t>
      </w:r>
      <w:r>
        <w:rPr>
          <w:rStyle w:val="14"/>
          <w:rFonts w:hint="eastAsia" w:ascii="仿宋" w:hAnsi="仿宋" w:eastAsia="仿宋"/>
          <w:bCs/>
          <w:color w:val="000000"/>
          <w:sz w:val="32"/>
          <w:szCs w:val="32"/>
        </w:rPr>
        <w:t>教育（类）普通教育（款）学前教育（项）2050201</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355.5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84.48</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文化旅游体育与传媒（类）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3" w:firstLineChars="200"/>
        <w:rPr>
          <w:rStyle w:val="14"/>
          <w:rFonts w:hint="eastAsia" w:ascii="仿宋" w:hAnsi="仿宋" w:eastAsia="仿宋"/>
          <w:b w:val="0"/>
          <w:bCs/>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社会保障和就业（类）行政事业单位离退休（款）机关事业单位基本养老保险缴费支出（项）2080505</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27.54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6.57</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0" w:firstLineChars="200"/>
        <w:rPr>
          <w:rStyle w:val="14"/>
          <w:rFonts w:hint="default" w:ascii="仿宋" w:hAnsi="仿宋" w:eastAsia="仿宋"/>
          <w:b w:val="0"/>
          <w:bCs/>
          <w:color w:val="000000"/>
          <w:sz w:val="32"/>
          <w:szCs w:val="32"/>
          <w:lang w:val="en-US" w:eastAsia="zh-CN"/>
        </w:rPr>
      </w:pPr>
      <w:r>
        <w:rPr>
          <w:rStyle w:val="14"/>
          <w:rFonts w:hint="eastAsia" w:ascii="仿宋" w:hAnsi="仿宋" w:eastAsia="仿宋"/>
          <w:b w:val="0"/>
          <w:bCs/>
          <w:color w:val="000000"/>
          <w:sz w:val="32"/>
          <w:szCs w:val="32"/>
          <w:lang w:val="en-US" w:eastAsia="zh-CN"/>
        </w:rPr>
        <w:t>6.</w:t>
      </w:r>
      <w:r>
        <w:rPr>
          <w:rStyle w:val="14"/>
          <w:rFonts w:hint="eastAsia" w:ascii="仿宋" w:hAnsi="仿宋" w:eastAsia="仿宋"/>
          <w:bCs/>
          <w:color w:val="000000"/>
          <w:sz w:val="32"/>
          <w:szCs w:val="32"/>
        </w:rPr>
        <w:t>社会保障和就业（类）行政事业单位离退休（款）机关事业单位职业年金缴费支出2080506</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10.73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2.56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hint="eastAsia" w:ascii="仿宋" w:hAnsi="仿宋" w:eastAsia="仿宋"/>
          <w:b/>
          <w:color w:val="000000"/>
          <w:sz w:val="32"/>
          <w:szCs w:val="32"/>
          <w:lang w:eastAsia="zh-CN"/>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医疗卫生与计划生育（类）行政事业单位医疗（款）事业单位医疗（项）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8.83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2.1</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000000"/>
          <w:sz w:val="32"/>
          <w:szCs w:val="32"/>
          <w:lang w:eastAsia="zh-CN"/>
        </w:rPr>
        <w:t>。</w:t>
      </w:r>
    </w:p>
    <w:p>
      <w:pPr>
        <w:spacing w:line="600" w:lineRule="exact"/>
        <w:ind w:firstLine="640" w:firstLineChars="200"/>
        <w:rPr>
          <w:rStyle w:val="14"/>
          <w:rFonts w:hint="eastAsia" w:ascii="仿宋" w:hAnsi="仿宋" w:eastAsia="仿宋"/>
          <w:b w:val="0"/>
          <w:bCs/>
          <w:color w:val="000000"/>
          <w:sz w:val="32"/>
          <w:szCs w:val="32"/>
          <w:lang w:eastAsia="zh-CN"/>
        </w:rPr>
      </w:pP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b/>
          <w:color w:val="000000" w:themeColor="text1"/>
          <w:sz w:val="32"/>
          <w:szCs w:val="32"/>
          <w14:textFill>
            <w14:solidFill>
              <w14:schemeClr w14:val="tx1"/>
            </w14:solidFill>
          </w14:textFill>
        </w:rPr>
        <w:t>住房保障支出（类）</w:t>
      </w:r>
      <w:r>
        <w:rPr>
          <w:rStyle w:val="14"/>
          <w:rFonts w:hint="eastAsia" w:ascii="仿宋" w:hAnsi="仿宋" w:eastAsia="仿宋"/>
          <w:bCs/>
          <w:color w:val="000000"/>
          <w:sz w:val="32"/>
          <w:szCs w:val="32"/>
        </w:rPr>
        <w:t>住房改革支出（款）住房公积金（项）2210201</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支出决算数为</w:t>
      </w:r>
      <w:r>
        <w:rPr>
          <w:rFonts w:hint="eastAsia" w:ascii="仿宋" w:hAnsi="仿宋" w:eastAsia="仿宋"/>
          <w:color w:val="000000" w:themeColor="text1"/>
          <w:sz w:val="32"/>
          <w:szCs w:val="32"/>
          <w:lang w:val="en-US" w:eastAsia="zh-CN"/>
          <w14:textFill>
            <w14:solidFill>
              <w14:schemeClr w14:val="tx1"/>
            </w14:solidFill>
          </w14:textFill>
        </w:rPr>
        <w:t>16.52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3.94</w:t>
      </w:r>
      <w:r>
        <w:rPr>
          <w:rFonts w:ascii="仿宋" w:hAnsi="仿宋" w:eastAsia="仿宋"/>
          <w:color w:val="000000" w:themeColor="text1"/>
          <w:sz w:val="32"/>
          <w:szCs w:val="32"/>
          <w14:textFill>
            <w14:solidFill>
              <w14:schemeClr w14:val="tx1"/>
            </w14:solidFill>
          </w14:textFill>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000000"/>
          <w:sz w:val="32"/>
          <w:szCs w:val="32"/>
          <w:lang w:eastAsia="zh-CN"/>
        </w:rPr>
        <w:t>。</w:t>
      </w:r>
    </w:p>
    <w:p>
      <w:pPr>
        <w:tabs>
          <w:tab w:val="right" w:pos="8306"/>
        </w:tabs>
        <w:spacing w:line="600" w:lineRule="exact"/>
        <w:ind w:firstLine="640"/>
        <w:outlineLvl w:val="1"/>
        <w:rPr>
          <w:rStyle w:val="25"/>
        </w:rPr>
      </w:pPr>
      <w:bookmarkStart w:id="38" w:name="_Toc15377214"/>
      <w:bookmarkStart w:id="39"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8"/>
      <w:bookmarkEnd w:id="39"/>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9年一般公共预算财政拨款基本支出419.12万元，其中：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281.54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137.57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9年“三公”经费财政拨款支出决算为0.5万元，完成预算100</w:t>
      </w:r>
      <w:r>
        <w:rPr>
          <w:rFonts w:ascii="仿宋" w:hAnsi="仿宋" w:eastAsia="仿宋"/>
          <w:color w:val="000000"/>
          <w:sz w:val="32"/>
          <w:szCs w:val="32"/>
        </w:rPr>
        <w:t>%</w:t>
      </w:r>
      <w:r>
        <w:rPr>
          <w:rFonts w:hint="eastAsia" w:ascii="仿宋" w:hAnsi="仿宋" w:eastAsia="仿宋"/>
          <w:color w:val="000000"/>
          <w:sz w:val="32"/>
          <w:szCs w:val="32"/>
        </w:rPr>
        <w:t>，决算与预算数持平。</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；公务接待费支出决算0.5万元，占0.11</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r>
        <w:drawing>
          <wp:anchor distT="0" distB="0" distL="114300" distR="114300" simplePos="0" relativeHeight="251665408" behindDoc="0" locked="0" layoutInCell="1" allowOverlap="1">
            <wp:simplePos x="0" y="0"/>
            <wp:positionH relativeFrom="column">
              <wp:posOffset>541020</wp:posOffset>
            </wp:positionH>
            <wp:positionV relativeFrom="paragraph">
              <wp:posOffset>388620</wp:posOffset>
            </wp:positionV>
            <wp:extent cx="4572000" cy="2743200"/>
            <wp:effectExtent l="0" t="0" r="0" b="0"/>
            <wp:wrapTopAndBottom/>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numPr>
          <w:ilvl w:val="0"/>
          <w:numId w:val="6"/>
        </w:num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w:t>
      </w:r>
    </w:p>
    <w:p>
      <w:pPr>
        <w:numPr>
          <w:ilvl w:val="0"/>
          <w:numId w:val="6"/>
        </w:num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0.5万元，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8年增加0万元，增长0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万元，主要用于(开展业务活动开支的交通费、住宿费、用餐费等)。国内公务接待32批次，103人次（不包括陪同人员），共计支出</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国培教师，学校项目等事宜</w:t>
      </w:r>
      <w:r>
        <w:rPr>
          <w:rFonts w:hint="eastAsia" w:ascii="仿宋_GB2312" w:eastAsia="仿宋_GB2312"/>
          <w:color w:val="000000"/>
          <w:sz w:val="32"/>
          <w:szCs w:val="32"/>
        </w:rPr>
        <w:t>。</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，外事接待0批次，0人，共计支出0万元。</w:t>
      </w:r>
    </w:p>
    <w:p>
      <w:pPr>
        <w:spacing w:line="600" w:lineRule="exact"/>
        <w:ind w:firstLine="640"/>
        <w:outlineLvl w:val="1"/>
        <w:rPr>
          <w:rFonts w:ascii="黑体" w:eastAsia="黑体"/>
          <w:color w:val="000000"/>
          <w:sz w:val="32"/>
          <w:szCs w:val="32"/>
        </w:rPr>
      </w:pPr>
      <w:bookmarkStart w:id="44" w:name="_Toc15377218"/>
      <w:bookmarkStart w:id="45"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spacing w:line="600" w:lineRule="exact"/>
        <w:ind w:firstLine="640"/>
        <w:rPr>
          <w:rFonts w:ascii="仿宋_GB2312" w:eastAsia="仿宋_GB2312"/>
          <w:color w:val="000000"/>
          <w:sz w:val="32"/>
          <w:szCs w:val="32"/>
        </w:rPr>
      </w:pPr>
    </w:p>
    <w:p>
      <w:pPr>
        <w:numPr>
          <w:ilvl w:val="0"/>
          <w:numId w:val="7"/>
        </w:numPr>
        <w:spacing w:line="600" w:lineRule="exact"/>
        <w:ind w:firstLine="640"/>
        <w:outlineLvl w:val="1"/>
        <w:rPr>
          <w:rStyle w:val="25"/>
          <w:rFonts w:ascii="黑体" w:hAnsi="黑体" w:eastAsia="黑体"/>
          <w:b w:val="0"/>
        </w:rPr>
      </w:pPr>
      <w:bookmarkStart w:id="46" w:name="_Toc15377219"/>
      <w:bookmarkStart w:id="47" w:name="_Toc15396611"/>
      <w:r>
        <w:rPr>
          <w:rStyle w:val="25"/>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48" w:name="_Toc15396612"/>
      <w:bookmarkStart w:id="49"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ascii="仿宋" w:hAnsi="仿宋" w:eastAsia="仿宋"/>
          <w:b/>
          <w:color w:val="FF0000"/>
          <w:sz w:val="32"/>
          <w:szCs w:val="32"/>
        </w:rPr>
      </w:pPr>
      <w:r>
        <w:rPr>
          <w:rFonts w:hint="eastAsia" w:ascii="仿宋_GB2312" w:eastAsia="仿宋_GB2312"/>
          <w:color w:val="000000"/>
          <w:sz w:val="32"/>
          <w:szCs w:val="32"/>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w:t>
      </w:r>
      <w:r>
        <w:rPr>
          <w:rFonts w:hint="eastAsia" w:ascii="仿宋_GB2312" w:eastAsia="仿宋_GB2312"/>
          <w:color w:val="000000"/>
          <w:sz w:val="32"/>
          <w:szCs w:val="32"/>
        </w:rPr>
        <w:t>政府采购支出总额</w:t>
      </w:r>
      <w:r>
        <w:rPr>
          <w:rFonts w:ascii="仿宋_GB2312" w:eastAsia="仿宋_GB2312"/>
          <w:color w:val="000000"/>
          <w:sz w:val="32"/>
          <w:szCs w:val="32"/>
        </w:rPr>
        <w:t>**</w:t>
      </w:r>
      <w:r>
        <w:rPr>
          <w:rFonts w:hint="eastAsia" w:ascii="仿宋_GB2312" w:eastAsia="仿宋_GB2312"/>
          <w:color w:val="000000"/>
          <w:sz w:val="32"/>
          <w:szCs w:val="32"/>
        </w:rPr>
        <w:t>万元，其中：政府采购货物支出</w:t>
      </w:r>
      <w:r>
        <w:rPr>
          <w:rFonts w:ascii="仿宋_GB2312" w:eastAsia="仿宋_GB2312"/>
          <w:color w:val="000000"/>
          <w:sz w:val="32"/>
          <w:szCs w:val="32"/>
        </w:rPr>
        <w:t>**</w:t>
      </w:r>
      <w:r>
        <w:rPr>
          <w:rFonts w:hint="eastAsia" w:ascii="仿宋_GB2312" w:eastAsia="仿宋_GB2312"/>
          <w:color w:val="000000"/>
          <w:sz w:val="32"/>
          <w:szCs w:val="32"/>
        </w:rPr>
        <w:t>万元、政府采购工程支出</w:t>
      </w:r>
      <w:r>
        <w:rPr>
          <w:rFonts w:ascii="仿宋_GB2312" w:eastAsia="仿宋_GB2312"/>
          <w:color w:val="000000"/>
          <w:sz w:val="32"/>
          <w:szCs w:val="32"/>
        </w:rPr>
        <w:t>**</w:t>
      </w:r>
      <w:r>
        <w:rPr>
          <w:rFonts w:hint="eastAsia" w:ascii="仿宋_GB2312" w:eastAsia="仿宋_GB2312"/>
          <w:color w:val="000000"/>
          <w:sz w:val="32"/>
          <w:szCs w:val="32"/>
        </w:rPr>
        <w:t>万元、政府采购服务支出</w:t>
      </w:r>
      <w:r>
        <w:rPr>
          <w:rFonts w:ascii="仿宋_GB2312" w:eastAsia="仿宋_GB2312"/>
          <w:color w:val="000000"/>
          <w:sz w:val="32"/>
          <w:szCs w:val="32"/>
        </w:rPr>
        <w:t>**</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学前教育建档立卡贫困家庭幼儿免保教费</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“学前教育幼儿学生免保教费</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多功能特能训练场地</w:t>
      </w:r>
      <w:r>
        <w:rPr>
          <w:rFonts w:hint="eastAsia" w:ascii="仿宋_GB2312" w:hAnsi="仿宋_GB2312" w:eastAsia="仿宋_GB2312" w:cs="仿宋_GB2312"/>
          <w:color w:val="000000" w:themeColor="text1"/>
          <w:sz w:val="32"/>
          <w:szCs w:val="32"/>
          <w14:textFill>
            <w14:solidFill>
              <w14:schemeClr w14:val="tx1"/>
            </w14:solidFill>
          </w14:textFill>
        </w:rPr>
        <w:t>专项资金”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sz w:val="32"/>
          <w:szCs w:val="32"/>
        </w:rPr>
        <w:t>户外游戏功能区项目</w:t>
      </w:r>
      <w:r>
        <w:rPr>
          <w:rFonts w:hint="eastAsia" w:ascii="仿宋_GB2312" w:hAnsi="仿宋_GB2312" w:eastAsia="仿宋_GB2312" w:cs="仿宋_GB2312"/>
          <w:bCs/>
          <w:sz w:val="32"/>
          <w:szCs w:val="32"/>
          <w:lang w:eastAsia="zh-CN"/>
        </w:rPr>
        <w:t>、幼儿园一期活动室入户门改造</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个项目绩效目标实际完成情况</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pPr>
        <w:numPr>
          <w:ilvl w:val="0"/>
          <w:numId w:val="8"/>
        </w:num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color w:val="000000" w:themeColor="text1"/>
          <w:sz w:val="32"/>
          <w:szCs w:val="32"/>
          <w14:textFill>
            <w14:solidFill>
              <w14:schemeClr w14:val="tx1"/>
            </w14:solidFill>
          </w14:textFill>
        </w:rPr>
        <w:t>学前教育建档立卡贫困家庭幼儿免保教费</w:t>
      </w:r>
      <w:r>
        <w:rPr>
          <w:rFonts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“学前教育幼儿学生免保教费</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多功能特能训练场地</w:t>
      </w:r>
      <w:r>
        <w:rPr>
          <w:rFonts w:hint="eastAsia" w:ascii="仿宋_GB2312" w:hAnsi="仿宋_GB2312" w:eastAsia="仿宋_GB2312" w:cs="仿宋_GB2312"/>
          <w:color w:val="000000" w:themeColor="text1"/>
          <w:sz w:val="32"/>
          <w:szCs w:val="32"/>
          <w14:textFill>
            <w14:solidFill>
              <w14:schemeClr w14:val="tx1"/>
            </w14:solidFill>
          </w14:textFill>
        </w:rPr>
        <w:t>专项资金”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个项目绩效目标实际完成情况。公开内容包括选取的全部项目完成情况综述和完成情况表）。</w:t>
      </w:r>
    </w:p>
    <w:p>
      <w:pPr>
        <w:numPr>
          <w:ilvl w:val="0"/>
          <w:numId w:val="0"/>
        </w:num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学前教育建档立卡贫困家庭幼儿免保教费项目绩效目标完成情况综述。项目全年预算数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3.72</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3.72</w:t>
      </w:r>
      <w:r>
        <w:rPr>
          <w:rFonts w:hint="eastAsia" w:ascii="仿宋_GB2312" w:hAnsi="仿宋_GB2312" w:eastAsia="仿宋_GB2312" w:cs="仿宋_GB2312"/>
          <w:color w:val="000000" w:themeColor="text1"/>
          <w:sz w:val="32"/>
          <w:szCs w:val="32"/>
          <w14:textFill>
            <w14:solidFill>
              <w14:schemeClr w14:val="tx1"/>
            </w14:solidFill>
          </w14:textFill>
        </w:rPr>
        <w:t>万元，完成预算的100%。通过项目实施，保障了贫困幼儿就学，减轻了贫困家庭幼儿生活压力。发现的主要问题：由于幼儿没成年，部分属于留守儿童，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家长收到钱后没有及时反馈信息</w:t>
      </w:r>
      <w:r>
        <w:rPr>
          <w:rFonts w:hint="eastAsia" w:ascii="仿宋_GB2312" w:hAnsi="仿宋_GB2312" w:eastAsia="仿宋_GB2312" w:cs="仿宋_GB2312"/>
          <w:color w:val="000000" w:themeColor="text1"/>
          <w:sz w:val="32"/>
          <w:szCs w:val="32"/>
          <w14:textFill>
            <w14:solidFill>
              <w14:schemeClr w14:val="tx1"/>
            </w14:solidFill>
          </w14:textFill>
        </w:rPr>
        <w:t>。下一步改进措施：，督促家长（监护人）</w:t>
      </w:r>
      <w:r>
        <w:rPr>
          <w:rFonts w:hint="eastAsia" w:ascii="仿宋_GB2312" w:hAnsi="仿宋_GB2312" w:eastAsia="仿宋_GB2312" w:cs="仿宋_GB2312"/>
          <w:color w:val="000000" w:themeColor="text1"/>
          <w:sz w:val="32"/>
          <w:szCs w:val="32"/>
          <w:lang w:eastAsia="zh-CN"/>
          <w14:textFill>
            <w14:solidFill>
              <w14:schemeClr w14:val="tx1"/>
            </w14:solidFill>
          </w14:textFill>
        </w:rPr>
        <w:t>将收到资金的信息及时反馈</w:t>
      </w:r>
      <w:r>
        <w:rPr>
          <w:rFonts w:hint="eastAsia" w:ascii="仿宋_GB2312" w:hAnsi="仿宋_GB2312" w:eastAsia="仿宋_GB2312" w:cs="仿宋_GB2312"/>
          <w:color w:val="000000" w:themeColor="text1"/>
          <w:sz w:val="32"/>
          <w:szCs w:val="32"/>
          <w14:textFill>
            <w14:solidFill>
              <w14:schemeClr w14:val="tx1"/>
            </w14:solidFill>
          </w14:textFill>
        </w:rPr>
        <w:t>。</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学前教育幼儿学生免保教费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58.77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58.77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学前儿童的入学率、支持了学前教育发展。提高了资金的使用效率。</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多功能体能训练场地</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了资金的专款专用，支持了学前教育发展、促进了幼儿园的身体发育、提高了办学水平。多功能体能训练场地</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已完成施工，投入使用。</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（4）户外游戏区项目绩效目标完成情况综述。</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了资金的专款专用，支持了学前教育发展、促进了幼儿园的身体发育、提高了办学水平。多功能体能训练场地</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已完成施工，投入使用。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（5）一期活动室门改造项目绩效目标完成情况综述。</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26.95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26.95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了资金的专款专用，支持了学前教育发展、促进了幼儿园的身体发育、提高了办学水平。多功能体能训练场地</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已完成施工，投入使用。</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仿宋_GB2312" w:cs="宋体"/>
                <w:color w:val="000000"/>
                <w:sz w:val="24"/>
                <w:lang w:eastAsia="zh-CN"/>
              </w:rPr>
            </w:pPr>
            <w:r>
              <w:rPr>
                <w:rFonts w:hint="eastAsia" w:ascii="仿宋_GB2312" w:hAnsi="仿宋_GB2312" w:eastAsia="仿宋_GB2312" w:cs="仿宋_GB2312"/>
                <w:color w:val="000000" w:themeColor="text1"/>
                <w:sz w:val="21"/>
                <w:szCs w:val="21"/>
                <w14:textFill>
                  <w14:solidFill>
                    <w14:schemeClr w14:val="tx1"/>
                  </w14:solidFill>
                </w14:textFill>
              </w:rPr>
              <w:t>学前教育建档立卡贫困家庭幼儿免保教费</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学前教育幼儿学生免保教费</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sz w:val="21"/>
                <w:szCs w:val="21"/>
                <w:lang w:eastAsia="zh-CN"/>
              </w:rPr>
              <w:t>多功能体能训练场地、户外游戏活动区、一期活动室入户门改造</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181.45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181.45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181.45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181.45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通过资金的投入，解决家庭贫困幼儿家庭生活压力，提高幼儿入学率；完善校舍使用功能，保障幼儿在园活动安全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严格按照预算管理使用资金，做到专款专用，切实解决了贫困幼儿家庭生活压力，提高了幼儿入学率；保障幼儿在园活动安全。完成率100%</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科学决策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政策依据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10分按照文件分配资金，保障幼儿园正常运转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10分让幼儿享受了国家优惠政策，保障了幼儿园校舍安全</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绩效目标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明确性、合理性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合理、合规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按照程序进行，完成绩效目标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资金管理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资金分配、使用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按预算性质分配，投入使用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合理分配，合规使用</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项目执行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执行规范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按照文件精神执行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执行规范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项目完成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完成数量、质量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预算</w:t>
            </w:r>
            <w:r>
              <w:rPr>
                <w:rFonts w:hint="eastAsia" w:ascii="宋体" w:hAnsi="宋体" w:cs="宋体"/>
                <w:color w:val="000000"/>
                <w:sz w:val="24"/>
                <w:lang w:val="en-US" w:eastAsia="zh-CN"/>
              </w:rPr>
              <w:t>5</w:t>
            </w:r>
            <w:r>
              <w:rPr>
                <w:rFonts w:hint="eastAsia" w:ascii="宋体" w:hAnsi="宋体" w:cs="宋体"/>
                <w:color w:val="000000"/>
                <w:sz w:val="24"/>
              </w:rPr>
              <w:t>个项目，投入</w:t>
            </w:r>
            <w:r>
              <w:rPr>
                <w:rFonts w:hint="eastAsia" w:ascii="宋体" w:hAnsi="宋体" w:cs="宋体"/>
                <w:color w:val="000000"/>
                <w:sz w:val="24"/>
                <w:lang w:val="en-US" w:eastAsia="zh-CN"/>
              </w:rPr>
              <w:t>181.45</w:t>
            </w: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3个项目按时完成，质量合格</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项目效益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通过公示，预期取得良好社会效益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宣传了幼儿园，展示了幼儿园项目管理</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使用效益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预期资助资金及时发放到位，校舍按时投入使用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幼儿享受了国家优惠政策，校舍使用效益高</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10分</w:t>
            </w:r>
          </w:p>
          <w:p>
            <w:pPr>
              <w:widowControl/>
              <w:jc w:val="center"/>
              <w:textAlignment w:val="center"/>
              <w:rPr>
                <w:rFonts w:ascii="宋体" w:hAnsi="宋体" w:cs="宋体"/>
                <w:color w:val="000000"/>
                <w:sz w:val="24"/>
              </w:rPr>
            </w:pPr>
            <w:r>
              <w:rPr>
                <w:rFonts w:hint="eastAsia" w:ascii="宋体" w:hAnsi="宋体" w:cs="宋体"/>
                <w:color w:val="000000"/>
                <w:sz w:val="24"/>
              </w:rPr>
              <w:t>一定要取得社会和家长认可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10分</w:t>
            </w:r>
          </w:p>
          <w:p>
            <w:pPr>
              <w:widowControl/>
              <w:jc w:val="center"/>
              <w:textAlignment w:val="center"/>
              <w:rPr>
                <w:rFonts w:ascii="宋体" w:hAnsi="宋体" w:cs="宋体"/>
                <w:color w:val="000000"/>
                <w:sz w:val="24"/>
              </w:rPr>
            </w:pPr>
            <w:r>
              <w:rPr>
                <w:rFonts w:hint="eastAsia" w:ascii="宋体" w:hAnsi="宋体" w:cs="宋体"/>
                <w:color w:val="000000"/>
                <w:sz w:val="24"/>
              </w:rPr>
              <w:t>获得社会与家长一致好评</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本部门按要求对2019年部门整体支出绩效评价情况开展自评，《XX部门2019年部门整体支出绩效评价报告》见附件（附件1）。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XXX项目、XXX项目开展了绩效评价，《XXX项目2019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9"/>
        </w:numPr>
        <w:spacing w:line="600" w:lineRule="exact"/>
        <w:ind w:firstLine="660" w:firstLineChars="150"/>
        <w:jc w:val="center"/>
        <w:outlineLvl w:val="0"/>
        <w:rPr>
          <w:rStyle w:val="24"/>
          <w:rFonts w:ascii="黑体" w:hAnsi="黑体" w:eastAsia="黑体"/>
          <w:b w:val="0"/>
        </w:rPr>
      </w:pPr>
      <w:bookmarkStart w:id="53" w:name="_Toc15396613"/>
      <w:bookmarkStart w:id="54"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5" w:name="_Toc15377226"/>
      <w:r>
        <w:rPr>
          <w:rFonts w:ascii="宋体"/>
          <w:b/>
          <w:color w:val="000000"/>
          <w:sz w:val="44"/>
          <w:szCs w:val="44"/>
        </w:rPr>
        <w:br w:type="page"/>
      </w:r>
      <w:bookmarkStart w:id="56"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6"/>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宣汉县华融幼儿园</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60" w:lineRule="exact"/>
        <w:ind w:firstLine="560" w:firstLineChars="200"/>
        <w:rPr>
          <w:rFonts w:ascii="仿宋" w:hAnsi="仿宋" w:eastAsia="仿宋" w:cs="仿宋"/>
          <w:sz w:val="32"/>
          <w:szCs w:val="32"/>
        </w:rPr>
      </w:pPr>
      <w:r>
        <w:rPr>
          <w:rFonts w:hint="eastAsia" w:ascii="仿宋" w:hAnsi="仿宋" w:eastAsia="仿宋" w:cs="仿宋"/>
          <w:sz w:val="28"/>
          <w:szCs w:val="28"/>
        </w:rPr>
        <w:t>宣汉县华融幼儿园本年机构数1个，属全额拨款的事业单位，没有核编，年末实有人数19人。</w:t>
      </w:r>
    </w:p>
    <w:p>
      <w:pPr>
        <w:numPr>
          <w:ilvl w:val="0"/>
          <w:numId w:val="10"/>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1.认真贯彻执行党和国家的有关法律法规、方针、政策，坚持民主管理，依法办园，执行上级主管部门的指示和决定。</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2.实行保育和教育相结合的原则，对幼儿实施体、智、德、美诸方面全面发展的教育，促进其身心和谐发展。为家长解除后顾之忧，热忱为家长服务。</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尊重儿童的人格尊严和基本权利，尊重儿童身心发展的特点和规律，为儿童提供健康、丰富的生活和活动环境。合理组织幼儿一日生活活动和其它活动，促进幼儿和谐发展，全面实施素质教育。面向家长开展多种形式的早期教育宣传、指导等服务，促进家庭教育质量的不断提高。贯彻幼儿教育法规、传播科学教育理念、开展教育科学研究。</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560" w:firstLineChars="200"/>
        <w:rPr>
          <w:rFonts w:ascii="仿宋" w:hAnsi="仿宋" w:eastAsia="仿宋" w:cs="仿宋_GB2312"/>
          <w:sz w:val="32"/>
          <w:szCs w:val="32"/>
        </w:rPr>
      </w:pPr>
      <w:r>
        <w:rPr>
          <w:rFonts w:hint="eastAsia" w:ascii="仿宋" w:hAnsi="仿宋" w:eastAsia="仿宋" w:cs="仿宋"/>
          <w:sz w:val="28"/>
          <w:szCs w:val="28"/>
        </w:rPr>
        <w:t>现有教职工19人。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201</w:t>
      </w:r>
      <w:r>
        <w:rPr>
          <w:rFonts w:hint="eastAsia" w:ascii="仿宋" w:hAnsi="仿宋" w:eastAsia="仿宋" w:cs="仿宋"/>
          <w:sz w:val="28"/>
          <w:szCs w:val="28"/>
          <w:lang w:val="en-US" w:eastAsia="zh-CN"/>
        </w:rPr>
        <w:t>9</w:t>
      </w:r>
      <w:r>
        <w:rPr>
          <w:rFonts w:hint="eastAsia" w:ascii="仿宋" w:hAnsi="仿宋" w:eastAsia="仿宋" w:cs="仿宋"/>
          <w:sz w:val="28"/>
          <w:szCs w:val="28"/>
        </w:rPr>
        <w:t>年本年收入合计</w:t>
      </w:r>
      <w:r>
        <w:rPr>
          <w:rFonts w:hint="eastAsia" w:ascii="仿宋" w:hAnsi="仿宋" w:eastAsia="仿宋" w:cs="仿宋"/>
          <w:sz w:val="28"/>
          <w:szCs w:val="28"/>
          <w:lang w:val="en-US" w:eastAsia="zh-CN"/>
        </w:rPr>
        <w:t>419.12</w:t>
      </w:r>
      <w:r>
        <w:rPr>
          <w:rFonts w:hint="eastAsia" w:ascii="仿宋" w:hAnsi="仿宋" w:eastAsia="仿宋" w:cs="仿宋"/>
          <w:sz w:val="28"/>
          <w:szCs w:val="28"/>
        </w:rPr>
        <w:t>万元，其中：一般公共预算财政拨款收入</w:t>
      </w:r>
      <w:r>
        <w:rPr>
          <w:rFonts w:hint="eastAsia" w:ascii="仿宋" w:hAnsi="仿宋" w:eastAsia="仿宋" w:cs="仿宋"/>
          <w:sz w:val="28"/>
          <w:szCs w:val="28"/>
          <w:lang w:val="en-US" w:eastAsia="zh-CN"/>
        </w:rPr>
        <w:t>419.12</w:t>
      </w:r>
      <w:r>
        <w:rPr>
          <w:rFonts w:hint="eastAsia" w:ascii="仿宋" w:hAnsi="仿宋" w:eastAsia="仿宋" w:cs="仿宋"/>
          <w:sz w:val="28"/>
          <w:szCs w:val="28"/>
        </w:rPr>
        <w:t>万元，占100%。</w:t>
      </w:r>
    </w:p>
    <w:p>
      <w:pPr>
        <w:numPr>
          <w:ilvl w:val="0"/>
          <w:numId w:val="10"/>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2018年本年支出合计</w:t>
      </w:r>
      <w:r>
        <w:rPr>
          <w:rFonts w:hint="eastAsia" w:ascii="仿宋" w:hAnsi="仿宋" w:eastAsia="仿宋" w:cs="仿宋"/>
          <w:sz w:val="28"/>
          <w:szCs w:val="28"/>
          <w:lang w:val="en-US" w:eastAsia="zh-CN"/>
        </w:rPr>
        <w:t>419.12</w:t>
      </w:r>
      <w:r>
        <w:rPr>
          <w:rFonts w:hint="eastAsia" w:ascii="仿宋" w:hAnsi="仿宋" w:eastAsia="仿宋" w:cs="仿宋"/>
          <w:sz w:val="28"/>
          <w:szCs w:val="28"/>
        </w:rPr>
        <w:t>万元，其中：基本支出</w:t>
      </w:r>
      <w:r>
        <w:rPr>
          <w:rFonts w:hint="eastAsia" w:ascii="仿宋" w:hAnsi="仿宋" w:eastAsia="仿宋" w:cs="仿宋"/>
          <w:sz w:val="28"/>
          <w:szCs w:val="28"/>
          <w:lang w:val="en-US" w:eastAsia="zh-CN"/>
        </w:rPr>
        <w:t>236.67</w:t>
      </w:r>
      <w:r>
        <w:rPr>
          <w:rFonts w:hint="eastAsia" w:ascii="仿宋" w:hAnsi="仿宋" w:eastAsia="仿宋" w:cs="仿宋"/>
          <w:sz w:val="28"/>
          <w:szCs w:val="28"/>
        </w:rPr>
        <w:t>万元，占</w:t>
      </w:r>
      <w:r>
        <w:rPr>
          <w:rFonts w:hint="eastAsia" w:ascii="仿宋" w:hAnsi="仿宋" w:eastAsia="仿宋" w:cs="仿宋"/>
          <w:sz w:val="28"/>
          <w:szCs w:val="28"/>
          <w:lang w:val="en-US" w:eastAsia="zh-CN"/>
        </w:rPr>
        <w:t>56.7</w:t>
      </w:r>
      <w:r>
        <w:rPr>
          <w:rFonts w:hint="eastAsia" w:ascii="仿宋" w:hAnsi="仿宋" w:eastAsia="仿宋" w:cs="仿宋"/>
          <w:sz w:val="28"/>
          <w:szCs w:val="28"/>
        </w:rPr>
        <w:t>%；项目支出</w:t>
      </w:r>
      <w:r>
        <w:rPr>
          <w:rFonts w:hint="eastAsia" w:ascii="仿宋" w:hAnsi="仿宋" w:eastAsia="仿宋" w:cs="仿宋"/>
          <w:sz w:val="28"/>
          <w:szCs w:val="28"/>
          <w:lang w:val="en-US" w:eastAsia="zh-CN"/>
        </w:rPr>
        <w:t>181.45</w:t>
      </w:r>
      <w:r>
        <w:rPr>
          <w:rFonts w:hint="eastAsia" w:ascii="仿宋" w:hAnsi="仿宋" w:eastAsia="仿宋" w:cs="仿宋"/>
          <w:sz w:val="28"/>
          <w:szCs w:val="28"/>
        </w:rPr>
        <w:t>万元，占</w:t>
      </w:r>
      <w:r>
        <w:rPr>
          <w:rFonts w:hint="eastAsia" w:ascii="仿宋" w:hAnsi="仿宋" w:eastAsia="仿宋" w:cs="仿宋"/>
          <w:sz w:val="28"/>
          <w:szCs w:val="28"/>
          <w:lang w:val="en-US" w:eastAsia="zh-CN"/>
        </w:rPr>
        <w:t>43.3</w:t>
      </w:r>
      <w:r>
        <w:rPr>
          <w:rFonts w:hint="eastAsia" w:ascii="仿宋" w:hAnsi="仿宋" w:eastAsia="仿宋" w:cs="仿宋"/>
          <w:sz w:val="28"/>
          <w:szCs w:val="28"/>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绩效目标填报及时准确，为项目的实施提供了科学的决策依据，发挥了极积的社会效益和经济效益，预算执行情况良好，基本按序按时进度合理安排使用资金，6月末，我园预算执行达到了时间过半，预算执行过半；12月末我园预算执行达到全年预算数的100% ；全年预算执行进度合理，充分发挥了财政资金的社会效益。本年收支无结余，全年预算完成无违规记录。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我园201年学前教育建档立卡贫困家庭幼儿免保教费资金，上期按照宣教科计[201</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]2号文件要求人均800元，下期按照宣财教[201</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]110号文件要求人均1200元的标准预算分配</w:t>
      </w:r>
      <w:r>
        <w:rPr>
          <w:rFonts w:hint="eastAsia" w:ascii="仿宋" w:hAnsi="仿宋" w:eastAsia="仿宋" w:cs="仿宋"/>
          <w:color w:val="000000" w:themeColor="text1"/>
          <w:sz w:val="28"/>
          <w:szCs w:val="28"/>
          <w:lang w:val="en-US" w:eastAsia="zh-CN"/>
          <w14:textFill>
            <w14:solidFill>
              <w14:schemeClr w14:val="tx1"/>
            </w14:solidFill>
          </w14:textFill>
        </w:rPr>
        <w:t>3.72</w:t>
      </w:r>
      <w:r>
        <w:rPr>
          <w:rFonts w:hint="eastAsia" w:ascii="仿宋" w:hAnsi="仿宋" w:eastAsia="仿宋" w:cs="仿宋"/>
          <w:color w:val="000000" w:themeColor="text1"/>
          <w:sz w:val="28"/>
          <w:szCs w:val="28"/>
          <w14:textFill>
            <w14:solidFill>
              <w14:schemeClr w14:val="tx1"/>
            </w14:solidFill>
          </w14:textFill>
        </w:rPr>
        <w:t>万元。</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我园201</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年学前教育幼儿学生免保教费按照幼儿人均300元的标准预算分配</w:t>
      </w:r>
      <w:r>
        <w:rPr>
          <w:rFonts w:hint="eastAsia" w:ascii="仿宋" w:hAnsi="仿宋" w:eastAsia="仿宋" w:cs="仿宋"/>
          <w:color w:val="000000" w:themeColor="text1"/>
          <w:sz w:val="28"/>
          <w:szCs w:val="28"/>
          <w:lang w:val="en-US" w:eastAsia="zh-CN"/>
          <w14:textFill>
            <w14:solidFill>
              <w14:schemeClr w14:val="tx1"/>
            </w14:solidFill>
          </w14:textFill>
        </w:rPr>
        <w:t>58.77</w:t>
      </w:r>
      <w:r>
        <w:rPr>
          <w:rFonts w:hint="eastAsia" w:ascii="仿宋" w:hAnsi="仿宋" w:eastAsia="仿宋" w:cs="仿宋"/>
          <w:color w:val="000000" w:themeColor="text1"/>
          <w:sz w:val="28"/>
          <w:szCs w:val="28"/>
          <w14:textFill>
            <w14:solidFill>
              <w14:schemeClr w14:val="tx1"/>
            </w14:solidFill>
          </w14:textFill>
        </w:rPr>
        <w:t>万元。</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我园201</w:t>
      </w:r>
      <w:r>
        <w:rPr>
          <w:rFonts w:hint="eastAsia" w:ascii="仿宋" w:hAnsi="仿宋" w:eastAsia="仿宋" w:cs="仿宋"/>
          <w:sz w:val="28"/>
          <w:szCs w:val="28"/>
          <w:lang w:val="en-US" w:eastAsia="zh-CN"/>
        </w:rPr>
        <w:t>9</w:t>
      </w:r>
      <w:r>
        <w:rPr>
          <w:rFonts w:hint="eastAsia" w:ascii="仿宋" w:hAnsi="仿宋" w:eastAsia="仿宋" w:cs="仿宋"/>
          <w:sz w:val="28"/>
          <w:szCs w:val="28"/>
        </w:rPr>
        <w:t>年</w:t>
      </w:r>
      <w:r>
        <w:rPr>
          <w:rFonts w:hint="eastAsia" w:ascii="仿宋" w:hAnsi="仿宋" w:eastAsia="仿宋" w:cs="仿宋"/>
          <w:sz w:val="28"/>
          <w:szCs w:val="28"/>
          <w:lang w:eastAsia="zh-CN"/>
        </w:rPr>
        <w:t>多功能体能训练场地</w:t>
      </w:r>
      <w:r>
        <w:rPr>
          <w:rFonts w:hint="eastAsia" w:ascii="仿宋" w:hAnsi="仿宋" w:eastAsia="仿宋" w:cs="仿宋"/>
          <w:sz w:val="28"/>
          <w:szCs w:val="28"/>
        </w:rPr>
        <w:t>专项资金，根据</w:t>
      </w:r>
      <w:r>
        <w:rPr>
          <w:rFonts w:hint="eastAsia" w:ascii="仿宋" w:hAnsi="仿宋" w:eastAsia="仿宋" w:cs="仿宋"/>
          <w:sz w:val="28"/>
          <w:szCs w:val="28"/>
          <w:lang w:eastAsia="zh-CN"/>
        </w:rPr>
        <w:t>训练场地方案</w:t>
      </w:r>
      <w:r>
        <w:rPr>
          <w:rFonts w:hint="eastAsia" w:ascii="仿宋" w:hAnsi="仿宋" w:eastAsia="仿宋" w:cs="仿宋"/>
          <w:sz w:val="28"/>
          <w:szCs w:val="28"/>
        </w:rPr>
        <w:t>预算分配</w:t>
      </w:r>
      <w:r>
        <w:rPr>
          <w:rFonts w:hint="eastAsia" w:ascii="仿宋" w:hAnsi="仿宋" w:eastAsia="仿宋" w:cs="仿宋"/>
          <w:sz w:val="28"/>
          <w:szCs w:val="28"/>
          <w:lang w:val="en-US" w:eastAsia="zh-CN"/>
        </w:rPr>
        <w:t>45</w:t>
      </w:r>
      <w:r>
        <w:rPr>
          <w:rFonts w:hint="eastAsia" w:ascii="仿宋" w:hAnsi="仿宋" w:eastAsia="仿宋" w:cs="仿宋"/>
          <w:sz w:val="28"/>
          <w:szCs w:val="28"/>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我园专项资金制定了专门的管理办法，包括资金账户设置、拨款计划编制、资金发放的审核以及相关资料的归类存档等。</w:t>
      </w:r>
    </w:p>
    <w:p>
      <w:pPr>
        <w:numPr>
          <w:ilvl w:val="0"/>
          <w:numId w:val="11"/>
        </w:numPr>
        <w:spacing w:line="58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结果应用情况。</w:t>
      </w:r>
    </w:p>
    <w:p>
      <w:pPr>
        <w:numPr>
          <w:ilvl w:val="0"/>
          <w:numId w:val="0"/>
        </w:numPr>
        <w:spacing w:line="580" w:lineRule="exact"/>
        <w:ind w:firstLine="560" w:firstLineChars="200"/>
        <w:rPr>
          <w:rFonts w:ascii="仿宋" w:hAnsi="仿宋" w:eastAsia="仿宋" w:cs="仿宋_GB2312"/>
          <w:sz w:val="32"/>
          <w:szCs w:val="32"/>
        </w:rPr>
      </w:pPr>
      <w:r>
        <w:rPr>
          <w:rFonts w:hint="eastAsia" w:ascii="仿宋" w:hAnsi="仿宋" w:eastAsia="仿宋" w:cs="仿宋"/>
          <w:sz w:val="28"/>
          <w:szCs w:val="28"/>
        </w:rPr>
        <w:t>部门整体支出能保障学校保育教育工作的有序开展，专项资金通过编制、审批、分配等环节让国家优惠政策落到实处，得到社会一致好评。学校财务管理规范，严格执行财经制度，进行事前申报，事中接受监督，事后进行绩效评价。</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部门整体支出绩效情况：自评优良。我园重点岗位安全风险防范措施得当。预算执行情况良好，资金使用规范，最大限度地发挥了财政资金的经济效益和社会效益。</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评价指标体系有待分类细化，针对学校的评价指标具体化。我园制度还有待完善，特别是内控制度。项目资金管理人员有待进一步培训学习。</w:t>
      </w:r>
    </w:p>
    <w:p>
      <w:pPr>
        <w:numPr>
          <w:ilvl w:val="0"/>
          <w:numId w:val="0"/>
        </w:numPr>
        <w:tabs>
          <w:tab w:val="left" w:pos="1311"/>
        </w:tabs>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改进建议。</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希望加大学校财务人员专业知识的培训学习。</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XXX</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7"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5"/>
      <w:bookmarkEnd w:id="57"/>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8"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8"/>
    </w:p>
    <w:p>
      <w:pPr>
        <w:pStyle w:val="3"/>
        <w:rPr>
          <w:rFonts w:ascii="仿宋" w:hAnsi="仿宋" w:eastAsia="仿宋"/>
          <w:color w:val="000000"/>
        </w:rPr>
      </w:pPr>
      <w:bookmarkStart w:id="59"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59"/>
    </w:p>
    <w:p>
      <w:pPr>
        <w:pStyle w:val="3"/>
        <w:rPr>
          <w:rFonts w:ascii="仿宋" w:hAnsi="仿宋" w:eastAsia="仿宋"/>
          <w:color w:val="000000"/>
        </w:rPr>
      </w:pPr>
      <w:bookmarkStart w:id="60"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0"/>
    </w:p>
    <w:p>
      <w:pPr>
        <w:pStyle w:val="3"/>
        <w:rPr>
          <w:rFonts w:ascii="仿宋" w:hAnsi="仿宋" w:eastAsia="仿宋"/>
          <w:b w:val="0"/>
          <w:color w:val="000000"/>
        </w:rPr>
      </w:pPr>
      <w:bookmarkStart w:id="61"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1"/>
    </w:p>
    <w:p>
      <w:pPr>
        <w:pStyle w:val="3"/>
        <w:rPr>
          <w:rStyle w:val="25"/>
          <w:rFonts w:ascii="仿宋" w:hAnsi="仿宋" w:eastAsia="仿宋"/>
          <w:b w:val="0"/>
          <w:bCs w:val="0"/>
        </w:rPr>
      </w:pPr>
      <w:bookmarkStart w:id="62"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2"/>
      <w:bookmarkStart w:id="63"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3"/>
    </w:p>
    <w:p>
      <w:pPr>
        <w:pStyle w:val="3"/>
        <w:rPr>
          <w:rFonts w:ascii="仿宋" w:hAnsi="仿宋" w:eastAsia="仿宋"/>
          <w:color w:val="000000"/>
        </w:rPr>
      </w:pPr>
      <w:bookmarkStart w:id="64"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4"/>
    </w:p>
    <w:p>
      <w:pPr>
        <w:pStyle w:val="3"/>
        <w:rPr>
          <w:rFonts w:ascii="仿宋" w:hAnsi="仿宋" w:eastAsia="仿宋"/>
          <w:color w:val="000000"/>
        </w:rPr>
      </w:pPr>
      <w:bookmarkStart w:id="65"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5"/>
    </w:p>
    <w:p>
      <w:pPr>
        <w:pStyle w:val="3"/>
        <w:rPr>
          <w:rFonts w:ascii="仿宋" w:hAnsi="仿宋" w:eastAsia="仿宋"/>
          <w:color w:val="000000"/>
        </w:rPr>
      </w:pPr>
      <w:bookmarkStart w:id="66"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6"/>
    </w:p>
    <w:p>
      <w:pPr>
        <w:pStyle w:val="3"/>
        <w:rPr>
          <w:rFonts w:ascii="仿宋" w:hAnsi="仿宋" w:eastAsia="仿宋"/>
          <w:color w:val="000000"/>
        </w:rPr>
      </w:pPr>
      <w:bookmarkStart w:id="67"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7"/>
    </w:p>
    <w:p>
      <w:pPr>
        <w:pStyle w:val="3"/>
        <w:rPr>
          <w:rFonts w:ascii="仿宋" w:hAnsi="仿宋" w:eastAsia="仿宋"/>
          <w:color w:val="000000"/>
        </w:rPr>
      </w:pPr>
      <w:bookmarkStart w:id="68"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8"/>
    </w:p>
    <w:p>
      <w:pPr>
        <w:pStyle w:val="3"/>
        <w:rPr>
          <w:rFonts w:ascii="仿宋" w:hAnsi="仿宋" w:eastAsia="仿宋"/>
          <w:color w:val="000000"/>
        </w:rPr>
      </w:pPr>
      <w:bookmarkStart w:id="69"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9"/>
    </w:p>
    <w:p>
      <w:pPr>
        <w:pStyle w:val="3"/>
        <w:rPr>
          <w:rFonts w:ascii="仿宋" w:hAnsi="仿宋" w:eastAsia="仿宋"/>
          <w:color w:val="000000" w:themeColor="text1"/>
          <w14:textFill>
            <w14:solidFill>
              <w14:schemeClr w14:val="tx1"/>
            </w14:solidFill>
          </w14:textFill>
        </w:rPr>
      </w:pPr>
      <w:bookmarkStart w:id="70"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497A629"/>
    <w:multiLevelType w:val="singleLevel"/>
    <w:tmpl w:val="C497A629"/>
    <w:lvl w:ilvl="0" w:tentative="0">
      <w:start w:val="2"/>
      <w:numFmt w:val="chineseCounting"/>
      <w:suff w:val="nothing"/>
      <w:lvlText w:val="（%1）"/>
      <w:lvlJc w:val="left"/>
      <w:rPr>
        <w:rFonts w:hint="eastAsia"/>
      </w:rPr>
    </w:lvl>
  </w:abstractNum>
  <w:abstractNum w:abstractNumId="2">
    <w:nsid w:val="CD17360E"/>
    <w:multiLevelType w:val="singleLevel"/>
    <w:tmpl w:val="CD17360E"/>
    <w:lvl w:ilvl="0" w:tentative="0">
      <w:start w:val="1"/>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01A58FD7"/>
    <w:multiLevelType w:val="singleLevel"/>
    <w:tmpl w:val="01A58FD7"/>
    <w:lvl w:ilvl="0" w:tentative="0">
      <w:start w:val="4"/>
      <w:numFmt w:val="decimal"/>
      <w:suff w:val="nothing"/>
      <w:lvlText w:val="%1、"/>
      <w:lvlJc w:val="left"/>
    </w:lvl>
  </w:abstractNum>
  <w:abstractNum w:abstractNumId="6">
    <w:nsid w:val="1134503B"/>
    <w:multiLevelType w:val="singleLevel"/>
    <w:tmpl w:val="1134503B"/>
    <w:lvl w:ilvl="0" w:tentative="0">
      <w:start w:val="2"/>
      <w:numFmt w:val="chineseCounting"/>
      <w:suff w:val="nothing"/>
      <w:lvlText w:val="（%1）"/>
      <w:lvlJc w:val="left"/>
      <w:rPr>
        <w:rFonts w:hint="eastAsia"/>
      </w:r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1D2E7EFB"/>
    <w:multiLevelType w:val="singleLevel"/>
    <w:tmpl w:val="1D2E7EFB"/>
    <w:lvl w:ilvl="0" w:tentative="0">
      <w:start w:val="1"/>
      <w:numFmt w:val="decimal"/>
      <w:lvlText w:val="%1."/>
      <w:lvlJc w:val="left"/>
      <w:pPr>
        <w:tabs>
          <w:tab w:val="left" w:pos="312"/>
        </w:tabs>
      </w:pPr>
    </w:lvl>
  </w:abstractNum>
  <w:abstractNum w:abstractNumId="9">
    <w:nsid w:val="345DFEB9"/>
    <w:multiLevelType w:val="singleLevel"/>
    <w:tmpl w:val="345DFEB9"/>
    <w:lvl w:ilvl="0" w:tentative="0">
      <w:start w:val="6"/>
      <w:numFmt w:val="chineseCounting"/>
      <w:suff w:val="nothing"/>
      <w:lvlText w:val="%1、"/>
      <w:lvlJc w:val="left"/>
      <w:rPr>
        <w:rFonts w:hint="eastAsia"/>
      </w:rPr>
    </w:lvl>
  </w:abstractNum>
  <w:abstractNum w:abstractNumId="10">
    <w:nsid w:val="63E6067E"/>
    <w:multiLevelType w:val="singleLevel"/>
    <w:tmpl w:val="63E6067E"/>
    <w:lvl w:ilvl="0" w:tentative="0">
      <w:start w:val="1"/>
      <w:numFmt w:val="decimal"/>
      <w:lvlText w:val="%1."/>
      <w:lvlJc w:val="left"/>
      <w:pPr>
        <w:tabs>
          <w:tab w:val="left" w:pos="312"/>
        </w:tabs>
      </w:pPr>
    </w:lvl>
  </w:abstractNum>
  <w:num w:numId="1">
    <w:abstractNumId w:val="2"/>
  </w:num>
  <w:num w:numId="2">
    <w:abstractNumId w:val="5"/>
  </w:num>
  <w:num w:numId="3">
    <w:abstractNumId w:val="9"/>
  </w:num>
  <w:num w:numId="4">
    <w:abstractNumId w:val="7"/>
  </w:num>
  <w:num w:numId="5">
    <w:abstractNumId w:val="8"/>
  </w:num>
  <w:num w:numId="6">
    <w:abstractNumId w:val="10"/>
  </w:num>
  <w:num w:numId="7">
    <w:abstractNumId w:val="3"/>
  </w:num>
  <w:num w:numId="8">
    <w:abstractNumId w:val="0"/>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4708"/>
    <w:rsid w:val="001877A7"/>
    <w:rsid w:val="00191536"/>
    <w:rsid w:val="0019594A"/>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3531"/>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1206"/>
    <w:rsid w:val="0057481D"/>
    <w:rsid w:val="00575F0B"/>
    <w:rsid w:val="0058486E"/>
    <w:rsid w:val="00585B33"/>
    <w:rsid w:val="0059014D"/>
    <w:rsid w:val="005B5C64"/>
    <w:rsid w:val="005C5FEC"/>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0CF"/>
    <w:rsid w:val="008423A5"/>
    <w:rsid w:val="00850625"/>
    <w:rsid w:val="00853718"/>
    <w:rsid w:val="00855221"/>
    <w:rsid w:val="00860645"/>
    <w:rsid w:val="00871F71"/>
    <w:rsid w:val="00872FD8"/>
    <w:rsid w:val="00885AF4"/>
    <w:rsid w:val="008939CD"/>
    <w:rsid w:val="008B768C"/>
    <w:rsid w:val="008C454B"/>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11539"/>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E1686"/>
    <w:rsid w:val="02F65F0A"/>
    <w:rsid w:val="04D90FB0"/>
    <w:rsid w:val="066533C6"/>
    <w:rsid w:val="0F233BB1"/>
    <w:rsid w:val="0FEE6CA3"/>
    <w:rsid w:val="10C055FF"/>
    <w:rsid w:val="16BB723D"/>
    <w:rsid w:val="1CFD7254"/>
    <w:rsid w:val="209E398C"/>
    <w:rsid w:val="240371BF"/>
    <w:rsid w:val="245B57F4"/>
    <w:rsid w:val="26A061C5"/>
    <w:rsid w:val="288A462A"/>
    <w:rsid w:val="29FD04D3"/>
    <w:rsid w:val="319F7F4E"/>
    <w:rsid w:val="38081D0A"/>
    <w:rsid w:val="3ACA4998"/>
    <w:rsid w:val="3BB61A80"/>
    <w:rsid w:val="4ECE2238"/>
    <w:rsid w:val="4FA7453D"/>
    <w:rsid w:val="712738BE"/>
    <w:rsid w:val="72734D90"/>
    <w:rsid w:val="78456D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2"/>
    <w:qFormat/>
    <w:uiPriority w:val="9"/>
    <w:rPr>
      <w:rFonts w:ascii="Times New Roman" w:hAnsi="Times New Roman"/>
      <w:b/>
      <w:bCs/>
      <w:kern w:val="44"/>
      <w:sz w:val="44"/>
      <w:szCs w:val="44"/>
    </w:rPr>
  </w:style>
  <w:style w:type="character" w:customStyle="1" w:styleId="25">
    <w:name w:val="标题 2 字符"/>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标题 1 Char"/>
    <w:basedOn w:val="13"/>
    <w:link w:val="2"/>
    <w:qFormat/>
    <w:uiPriority w:val="9"/>
    <w:rPr>
      <w:rFonts w:ascii="Times New Roman" w:hAnsi="Times New Roman"/>
      <w:b/>
      <w:bCs/>
      <w:kern w:val="44"/>
      <w:sz w:val="44"/>
      <w:szCs w:val="44"/>
    </w:rPr>
  </w:style>
  <w:style w:type="character" w:customStyle="1" w:styleId="31">
    <w:name w:val="标题 2 Char"/>
    <w:basedOn w:val="13"/>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amebuttrue\Desktop\&#26032;&#24314;%20Microsoft%20Excel%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Lamebuttrue\Desktop\&#26032;&#24314;%20Microsoft%20Excel%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amebuttrue\Desktop\&#26032;&#24314;%20Microsoft%20Excel%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amebuttrue\Desktop\&#26032;&#24314;%20Microsoft%20Excel%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Lamebuttrue\Desktop\&#26032;&#24314;%20Microsoft%20Excel%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Lamebuttrue\Desktop\&#26032;&#24314;%20Microsoft%20Excel%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amebuttrue\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Sheet1!$F$9</c:f>
              <c:strCache>
                <c:ptCount val="1"/>
                <c:pt idx="0">
                  <c:v>收、支决算总计变动情况图</c:v>
                </c:pt>
              </c:strCache>
            </c:strRef>
          </c:tx>
          <c:spPr>
            <a:solidFill>
              <a:schemeClr val="accent1"/>
            </a:solidFill>
            <a:ln>
              <a:noFill/>
            </a:ln>
            <a:effectLst/>
          </c:spPr>
          <c:invertIfNegative val="0"/>
          <c:dLbls>
            <c:delete val="1"/>
          </c:dLbls>
          <c:cat>
            <c:numRef>
              <c:f>Sheet1!$G$8:$H$8</c:f>
              <c:numCache>
                <c:formatCode>General</c:formatCode>
                <c:ptCount val="2"/>
                <c:pt idx="0">
                  <c:v>2018</c:v>
                </c:pt>
                <c:pt idx="1">
                  <c:v>2019</c:v>
                </c:pt>
              </c:numCache>
            </c:numRef>
          </c:cat>
          <c:val>
            <c:numRef>
              <c:f>Sheet1!$G$9:$H$9</c:f>
              <c:numCache>
                <c:formatCode>General</c:formatCode>
                <c:ptCount val="2"/>
                <c:pt idx="0">
                  <c:v>485.77</c:v>
                </c:pt>
                <c:pt idx="1">
                  <c:v>419.12</c:v>
                </c:pt>
              </c:numCache>
            </c:numRef>
          </c:val>
        </c:ser>
        <c:dLbls>
          <c:showLegendKey val="0"/>
          <c:showVal val="0"/>
          <c:showCatName val="0"/>
          <c:showSerName val="0"/>
          <c:showPercent val="0"/>
          <c:showBubbleSize val="0"/>
        </c:dLbls>
        <c:gapWidth val="219"/>
        <c:overlap val="-27"/>
        <c:axId val="39280495"/>
        <c:axId val="272096399"/>
      </c:barChart>
      <c:catAx>
        <c:axId val="39280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2096399"/>
        <c:crosses val="autoZero"/>
        <c:auto val="1"/>
        <c:lblAlgn val="ctr"/>
        <c:lblOffset val="100"/>
        <c:noMultiLvlLbl val="0"/>
      </c:catAx>
      <c:valAx>
        <c:axId val="272096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28049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收入决算结构图</a:t>
            </a:r>
            <a:endParaRPr lang="zh-CN" altLang="en-US"/>
          </a:p>
        </c:rich>
      </c:tx>
      <c:layout/>
      <c:overlay val="0"/>
      <c:spPr>
        <a:noFill/>
        <a:ln>
          <a:noFill/>
        </a:ln>
        <a:effectLst/>
      </c:spPr>
    </c:title>
    <c:autoTitleDeleted val="0"/>
    <c:plotArea>
      <c:layout/>
      <c:pieChart>
        <c:varyColors val="1"/>
        <c:ser>
          <c:idx val="0"/>
          <c:order val="0"/>
          <c:tx>
            <c:strRef>
              <c:f>Sheet1!$G$25</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Sheet1!$F$26:$F$32</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Sheet1!$G$26:$G$32</c:f>
              <c:numCache>
                <c:formatCode>General</c:formatCode>
                <c:ptCount val="7"/>
                <c:pt idx="0">
                  <c:v>419.12</c:v>
                </c:pt>
                <c:pt idx="1">
                  <c:v>0</c:v>
                </c:pt>
                <c:pt idx="2">
                  <c:v>0</c:v>
                </c:pt>
                <c:pt idx="3">
                  <c:v>0</c:v>
                </c:pt>
                <c:pt idx="4">
                  <c:v>0</c:v>
                </c:pt>
                <c:pt idx="5">
                  <c:v>0</c:v>
                </c:pt>
                <c:pt idx="6">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Sheet1!$G$39</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Sheet1!$F$40:$F$44</c:f>
              <c:strCache>
                <c:ptCount val="5"/>
                <c:pt idx="0">
                  <c:v>基本支出</c:v>
                </c:pt>
                <c:pt idx="1">
                  <c:v>项目支出</c:v>
                </c:pt>
                <c:pt idx="2">
                  <c:v>上缴上级支出</c:v>
                </c:pt>
                <c:pt idx="3">
                  <c:v>经营支出</c:v>
                </c:pt>
                <c:pt idx="4">
                  <c:v>对附属单位补助支出</c:v>
                </c:pt>
              </c:strCache>
            </c:strRef>
          </c:cat>
          <c:val>
            <c:numRef>
              <c:f>Sheet1!$G$40:$G$44</c:f>
              <c:numCache>
                <c:formatCode>General</c:formatCode>
                <c:ptCount val="5"/>
                <c:pt idx="0">
                  <c:v>237.67</c:v>
                </c:pt>
                <c:pt idx="1">
                  <c:v>181.45</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财政拨款收、支决算总计变动情况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Sheet1!$G$51</c:f>
              <c:strCache>
                <c:ptCount val="1"/>
                <c:pt idx="0">
                  <c:v>2018</c:v>
                </c:pt>
              </c:strCache>
            </c:strRef>
          </c:tx>
          <c:spPr>
            <a:solidFill>
              <a:schemeClr val="accent1"/>
            </a:solidFill>
            <a:ln>
              <a:noFill/>
            </a:ln>
            <a:effectLst/>
          </c:spPr>
          <c:invertIfNegative val="0"/>
          <c:dLbls>
            <c:delete val="1"/>
          </c:dLbls>
          <c:cat>
            <c:numRef>
              <c:f>Sheet1!$F$52</c:f>
              <c:numCache>
                <c:formatCode>General</c:formatCode>
                <c:ptCount val="1"/>
              </c:numCache>
            </c:numRef>
          </c:cat>
          <c:val>
            <c:numRef>
              <c:f>Sheet1!$G$52</c:f>
              <c:numCache>
                <c:formatCode>General</c:formatCode>
                <c:ptCount val="1"/>
                <c:pt idx="0">
                  <c:v>485.77</c:v>
                </c:pt>
              </c:numCache>
            </c:numRef>
          </c:val>
        </c:ser>
        <c:ser>
          <c:idx val="1"/>
          <c:order val="1"/>
          <c:tx>
            <c:strRef>
              <c:f>Sheet1!$H$51</c:f>
              <c:strCache>
                <c:ptCount val="1"/>
                <c:pt idx="0">
                  <c:v>2019</c:v>
                </c:pt>
              </c:strCache>
            </c:strRef>
          </c:tx>
          <c:spPr>
            <a:solidFill>
              <a:schemeClr val="accent2"/>
            </a:solidFill>
            <a:ln>
              <a:noFill/>
            </a:ln>
            <a:effectLst/>
          </c:spPr>
          <c:invertIfNegative val="0"/>
          <c:dLbls>
            <c:delete val="1"/>
          </c:dLbls>
          <c:cat>
            <c:numRef>
              <c:f>Sheet1!$F$52</c:f>
              <c:numCache>
                <c:formatCode>General</c:formatCode>
                <c:ptCount val="1"/>
              </c:numCache>
            </c:numRef>
          </c:cat>
          <c:val>
            <c:numRef>
              <c:f>Sheet1!$H$52</c:f>
              <c:numCache>
                <c:formatCode>General</c:formatCode>
                <c:ptCount val="1"/>
                <c:pt idx="0">
                  <c:v>419.12</c:v>
                </c:pt>
              </c:numCache>
            </c:numRef>
          </c:val>
        </c:ser>
        <c:dLbls>
          <c:showLegendKey val="0"/>
          <c:showVal val="0"/>
          <c:showCatName val="0"/>
          <c:showSerName val="0"/>
          <c:showPercent val="0"/>
          <c:showBubbleSize val="0"/>
        </c:dLbls>
        <c:gapWidth val="219"/>
        <c:overlap val="-27"/>
        <c:axId val="336226319"/>
        <c:axId val="430617359"/>
      </c:barChart>
      <c:catAx>
        <c:axId val="336226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0617359"/>
        <c:crosses val="autoZero"/>
        <c:auto val="1"/>
        <c:lblAlgn val="ctr"/>
        <c:lblOffset val="100"/>
        <c:noMultiLvlLbl val="0"/>
      </c:catAx>
      <c:valAx>
        <c:axId val="430617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622631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Sheet1!$F$68</c:f>
              <c:strCache>
                <c:ptCount val="1"/>
                <c:pt idx="0">
                  <c:v>一般公共预算财政拨款支出决算变动情况</c:v>
                </c:pt>
              </c:strCache>
            </c:strRef>
          </c:tx>
          <c:spPr>
            <a:solidFill>
              <a:schemeClr val="accent1"/>
            </a:solidFill>
            <a:ln>
              <a:noFill/>
            </a:ln>
            <a:effectLst/>
          </c:spPr>
          <c:invertIfNegative val="0"/>
          <c:dLbls>
            <c:delete val="1"/>
          </c:dLbls>
          <c:cat>
            <c:numRef>
              <c:f>Sheet1!$G$67:$H$67</c:f>
              <c:numCache>
                <c:formatCode>General</c:formatCode>
                <c:ptCount val="2"/>
                <c:pt idx="0">
                  <c:v>2018</c:v>
                </c:pt>
                <c:pt idx="1">
                  <c:v>2019</c:v>
                </c:pt>
              </c:numCache>
            </c:numRef>
          </c:cat>
          <c:val>
            <c:numRef>
              <c:f>Sheet1!$G$68:$H$68</c:f>
              <c:numCache>
                <c:formatCode>General</c:formatCode>
                <c:ptCount val="2"/>
                <c:pt idx="0">
                  <c:v>485.77</c:v>
                </c:pt>
                <c:pt idx="1">
                  <c:v>419.12</c:v>
                </c:pt>
              </c:numCache>
            </c:numRef>
          </c:val>
        </c:ser>
        <c:dLbls>
          <c:showLegendKey val="0"/>
          <c:showVal val="0"/>
          <c:showCatName val="0"/>
          <c:showSerName val="0"/>
          <c:showPercent val="0"/>
          <c:showBubbleSize val="0"/>
        </c:dLbls>
        <c:gapWidth val="219"/>
        <c:overlap val="-27"/>
        <c:axId val="772951279"/>
        <c:axId val="439671599"/>
        <c:extLst>
          <c:ext xmlns:c15="http://schemas.microsoft.com/office/drawing/2012/chart" uri="{02D57815-91ED-43cb-92C2-25804820EDAC}">
            <c15:filteredBarSeries>
              <c15:ser>
                <c:idx val="1"/>
                <c:order val="1"/>
                <c:tx>
                  <c:strRef>
                    <c:extLst>
                      <c:ext uri="{02D57815-91ED-43cb-92C2-25804820EDAC}">
                        <c15:formulaRef>
                          <c15:sqref>Sheet1!$F$69</c15:sqref>
                        </c15:formulaRef>
                      </c:ext>
                    </c:extLst>
                    <c:strCache>
                      <c:ptCount val="1"/>
                      <c:pt idx="0">
                        <c:v/>
                      </c:pt>
                    </c:strCache>
                  </c:strRef>
                </c:tx>
                <c:spPr>
                  <a:solidFill>
                    <a:schemeClr val="accent2"/>
                  </a:solidFill>
                  <a:ln>
                    <a:noFill/>
                  </a:ln>
                  <a:effectLst/>
                </c:spPr>
                <c:invertIfNegative val="0"/>
                <c:dLbls>
                  <c:delete val="1"/>
                </c:dLbls>
                <c:cat>
                  <c:numRef>
                    <c:extLst>
                      <c:ext uri="{02D57815-91ED-43cb-92C2-25804820EDAC}">
                        <c15:fullRef>
                          <c15:sqref/>
                        </c15:fullRef>
                        <c15:formulaRef>
                          <c15:sqref>Sheet1!$G$67:$H$67</c15:sqref>
                        </c15:formulaRef>
                      </c:ext>
                    </c:extLst>
                    <c:numCache>
                      <c:formatCode>General</c:formatCode>
                      <c:ptCount val="2"/>
                      <c:pt idx="0">
                        <c:v>2018</c:v>
                      </c:pt>
                      <c:pt idx="1">
                        <c:v>2019</c:v>
                      </c:pt>
                    </c:numCache>
                  </c:numRef>
                </c:cat>
                <c:val>
                  <c:numRef>
                    <c:extLst>
                      <c:ext uri="{02D57815-91ED-43cb-92C2-25804820EDAC}">
                        <c15:formulaRef>
                          <c15:sqref>Sheet1!$G$69:$H$69</c15:sqref>
                        </c15:formulaRef>
                      </c:ext>
                    </c:extLst>
                    <c:numCache>
                      <c:formatCode>General</c:formatCode>
                      <c:ptCount val="2"/>
                    </c:numCache>
                  </c:numRef>
                </c:val>
              </c15:ser>
            </c15:filteredBarSeries>
          </c:ext>
        </c:extLst>
      </c:barChart>
      <c:catAx>
        <c:axId val="772951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9671599"/>
        <c:crosses val="autoZero"/>
        <c:auto val="1"/>
        <c:lblAlgn val="ctr"/>
        <c:lblOffset val="100"/>
        <c:noMultiLvlLbl val="0"/>
      </c:catAx>
      <c:valAx>
        <c:axId val="439671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29512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Sheet1!$G$78</c:f>
              <c:strCache>
                <c:ptCount val="1"/>
                <c:pt idx="0">
                  <c:v>一般公共预算财政拨款支出决算结构图</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Pt>
            <c:idx val="6"/>
            <c:bubble3D val="0"/>
            <c:spPr>
              <a:solidFill>
                <a:schemeClr val="accent1">
                  <a:lumMod val="60000"/>
                </a:schemeClr>
              </a:solidFill>
              <a:ln>
                <a:noFill/>
              </a:ln>
              <a:effectLst/>
            </c:spPr>
          </c:dPt>
          <c:dLbls>
            <c:delete val="1"/>
          </c:dLbls>
          <c:cat>
            <c:strRef>
              <c:f>Sheet1!$F$79:$F$85</c:f>
              <c:strCache>
                <c:ptCount val="7"/>
                <c:pt idx="0">
                  <c:v>一般公共服务（类）支出</c:v>
                </c:pt>
                <c:pt idx="1">
                  <c:v>教育（类）支出</c:v>
                </c:pt>
                <c:pt idx="2">
                  <c:v>科学技术（类）支出</c:v>
                </c:pt>
                <c:pt idx="3">
                  <c:v>文化旅游体育与传媒（类）支出</c:v>
                </c:pt>
                <c:pt idx="4">
                  <c:v>社会保障和就业（类）支出</c:v>
                </c:pt>
                <c:pt idx="5">
                  <c:v>卫生健康（类）支出</c:v>
                </c:pt>
                <c:pt idx="6">
                  <c:v>住房保障（类）支出</c:v>
                </c:pt>
              </c:strCache>
            </c:strRef>
          </c:cat>
          <c:val>
            <c:numRef>
              <c:f>Sheet1!$G$79:$G$85</c:f>
              <c:numCache>
                <c:formatCode>General</c:formatCode>
                <c:ptCount val="7"/>
                <c:pt idx="0">
                  <c:v>0</c:v>
                </c:pt>
                <c:pt idx="1">
                  <c:v>355.5</c:v>
                </c:pt>
                <c:pt idx="2">
                  <c:v>0</c:v>
                </c:pt>
                <c:pt idx="3">
                  <c:v>0</c:v>
                </c:pt>
                <c:pt idx="4">
                  <c:v>38.27</c:v>
                </c:pt>
                <c:pt idx="5">
                  <c:v>8.83</c:v>
                </c:pt>
                <c:pt idx="6">
                  <c:v>16.52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Sheet1!$G$92</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Sheet1!$F$93:$F$95</c:f>
              <c:strCache>
                <c:ptCount val="3"/>
                <c:pt idx="0">
                  <c:v>因公出国（境）费支出决算</c:v>
                </c:pt>
                <c:pt idx="1">
                  <c:v>公务用车购置及运行维护费支出</c:v>
                </c:pt>
                <c:pt idx="2">
                  <c:v>公务接待费支出</c:v>
                </c:pt>
              </c:strCache>
            </c:strRef>
          </c:cat>
          <c:val>
            <c:numRef>
              <c:f>Sheet1!$G$93:$G$95</c:f>
              <c:numCache>
                <c:formatCode>General</c:formatCode>
                <c:ptCount val="3"/>
                <c:pt idx="0">
                  <c:v>0</c:v>
                </c:pt>
                <c:pt idx="1">
                  <c:v>0</c:v>
                </c:pt>
                <c:pt idx="2">
                  <c:v>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1274</Words>
  <Characters>7268</Characters>
  <Lines>60</Lines>
  <Paragraphs>17</Paragraphs>
  <TotalTime>4</TotalTime>
  <ScaleCrop>false</ScaleCrop>
  <LinksUpToDate>false</LinksUpToDate>
  <CharactersWithSpaces>8525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cp:lastModifiedBy>
  <cp:lastPrinted>2020-07-23T02:58:00Z</cp:lastPrinted>
  <dcterms:modified xsi:type="dcterms:W3CDTF">2022-03-04T09:48:21Z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5F0FC2F4F61D49D88E3FC64B3247AC28</vt:lpwstr>
  </property>
</Properties>
</file>