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仿宋" w:hAnsi="仿宋" w:eastAsia="仿宋" w:cs="Times New Roman"/>
          <w:sz w:val="36"/>
          <w:szCs w:val="36"/>
        </w:rPr>
      </w:pPr>
    </w:p>
    <w:p>
      <w:pPr>
        <w:spacing w:line="360" w:lineRule="auto"/>
        <w:rPr>
          <w:rFonts w:ascii="仿宋" w:hAnsi="仿宋" w:eastAsia="仿宋" w:cs="Times New Roman"/>
          <w:sz w:val="36"/>
          <w:szCs w:val="36"/>
        </w:rPr>
      </w:pPr>
    </w:p>
    <w:p>
      <w:pPr>
        <w:spacing w:line="360" w:lineRule="auto"/>
        <w:rPr>
          <w:rFonts w:ascii="仿宋" w:hAnsi="仿宋" w:eastAsia="仿宋" w:cs="Times New Roman"/>
          <w:sz w:val="36"/>
          <w:szCs w:val="36"/>
        </w:rPr>
      </w:pPr>
    </w:p>
    <w:p>
      <w:pPr>
        <w:spacing w:line="360" w:lineRule="auto"/>
        <w:jc w:val="center"/>
        <w:rPr>
          <w:rFonts w:eastAsia="方正小标宋_GBK" w:cs="Times New Roman"/>
          <w:sz w:val="72"/>
          <w:szCs w:val="72"/>
        </w:rPr>
      </w:pPr>
      <w:r>
        <w:rPr>
          <w:rFonts w:eastAsia="方正小标宋_GBK" w:cs="Times New Roman"/>
          <w:sz w:val="72"/>
          <w:szCs w:val="72"/>
        </w:rPr>
        <w:t>建设项目环境影响报告表</w:t>
      </w:r>
    </w:p>
    <w:p>
      <w:pPr>
        <w:jc w:val="center"/>
        <w:rPr>
          <w:rFonts w:eastAsia="楷体" w:cs="Times New Roman"/>
          <w:sz w:val="48"/>
          <w:szCs w:val="48"/>
        </w:rPr>
      </w:pPr>
      <w:r>
        <w:rPr>
          <w:rFonts w:eastAsia="楷体" w:cs="Times New Roman"/>
          <w:sz w:val="48"/>
          <w:szCs w:val="48"/>
        </w:rPr>
        <w:t>（</w:t>
      </w:r>
      <w:r>
        <w:rPr>
          <w:rFonts w:hint="eastAsia" w:eastAsia="楷体" w:cs="Times New Roman"/>
          <w:sz w:val="48"/>
          <w:szCs w:val="48"/>
        </w:rPr>
        <w:t>污染影响类</w:t>
      </w:r>
      <w:r>
        <w:rPr>
          <w:rFonts w:eastAsia="楷体" w:cs="Times New Roman"/>
          <w:sz w:val="48"/>
          <w:szCs w:val="48"/>
        </w:rPr>
        <w:t>）</w:t>
      </w:r>
      <w:bookmarkStart w:id="7" w:name="_GoBack"/>
      <w:bookmarkEnd w:id="7"/>
    </w:p>
    <w:p>
      <w:pPr>
        <w:jc w:val="center"/>
        <w:rPr>
          <w:rFonts w:eastAsia="楷体" w:cs="Times New Roman"/>
          <w:sz w:val="44"/>
          <w:szCs w:val="44"/>
        </w:rPr>
      </w:pPr>
      <w:r>
        <w:rPr>
          <w:rFonts w:hint="eastAsia" w:eastAsia="楷体" w:cs="Times New Roman"/>
          <w:sz w:val="44"/>
          <w:szCs w:val="44"/>
        </w:rPr>
        <w:t>（</w:t>
      </w:r>
      <w:r>
        <w:rPr>
          <w:rFonts w:hint="eastAsia" w:eastAsia="楷体" w:cs="Times New Roman"/>
          <w:sz w:val="44"/>
          <w:szCs w:val="44"/>
          <w:lang w:val="en-US" w:eastAsia="zh-CN"/>
        </w:rPr>
        <w:t>送审</w:t>
      </w:r>
      <w:r>
        <w:rPr>
          <w:rFonts w:hint="eastAsia" w:eastAsia="楷体" w:cs="Times New Roman"/>
          <w:sz w:val="44"/>
          <w:szCs w:val="44"/>
        </w:rPr>
        <w:t>本）</w:t>
      </w:r>
    </w:p>
    <w:p>
      <w:pPr>
        <w:spacing w:line="360" w:lineRule="auto"/>
        <w:rPr>
          <w:rFonts w:ascii="仿宋" w:hAnsi="仿宋" w:eastAsia="仿宋" w:cs="Times New Roman"/>
          <w:b/>
          <w:sz w:val="36"/>
          <w:szCs w:val="36"/>
        </w:rPr>
      </w:pPr>
    </w:p>
    <w:p>
      <w:pPr>
        <w:spacing w:line="360" w:lineRule="auto"/>
        <w:rPr>
          <w:rFonts w:ascii="仿宋" w:hAnsi="仿宋" w:eastAsia="仿宋" w:cs="Times New Roman"/>
          <w:b/>
          <w:sz w:val="36"/>
          <w:szCs w:val="36"/>
        </w:rPr>
      </w:pPr>
    </w:p>
    <w:p>
      <w:pPr>
        <w:spacing w:line="360" w:lineRule="auto"/>
        <w:rPr>
          <w:rFonts w:ascii="仿宋" w:hAnsi="仿宋" w:eastAsia="仿宋" w:cs="Times New Roman"/>
          <w:b/>
          <w:sz w:val="36"/>
          <w:szCs w:val="36"/>
        </w:rPr>
      </w:pPr>
    </w:p>
    <w:p>
      <w:pPr>
        <w:spacing w:line="360" w:lineRule="auto"/>
        <w:rPr>
          <w:rFonts w:ascii="仿宋" w:hAnsi="仿宋" w:eastAsia="仿宋" w:cs="Times New Roman"/>
          <w:b/>
          <w:sz w:val="36"/>
          <w:szCs w:val="36"/>
        </w:rPr>
      </w:pPr>
    </w:p>
    <w:p>
      <w:pPr>
        <w:spacing w:line="360" w:lineRule="auto"/>
        <w:rPr>
          <w:rFonts w:ascii="仿宋" w:hAnsi="仿宋" w:eastAsia="仿宋" w:cs="Times New Roman"/>
          <w:b/>
          <w:sz w:val="36"/>
          <w:szCs w:val="36"/>
        </w:rPr>
      </w:pPr>
    </w:p>
    <w:p>
      <w:pPr>
        <w:spacing w:line="360" w:lineRule="auto"/>
        <w:ind w:firstLine="360" w:firstLineChars="100"/>
        <w:rPr>
          <w:rFonts w:eastAsia="仿宋" w:cs="Times New Roman"/>
          <w:sz w:val="36"/>
          <w:szCs w:val="36"/>
          <w:u w:val="single"/>
        </w:rPr>
      </w:pPr>
      <w:r>
        <w:rPr>
          <w:rFonts w:eastAsia="仿宋" w:cs="Times New Roman"/>
          <w:sz w:val="36"/>
          <w:szCs w:val="36"/>
        </w:rPr>
        <w:t>项目名称：</w:t>
      </w:r>
      <w:r>
        <w:rPr>
          <w:rFonts w:hint="eastAsia" w:eastAsia="仿宋" w:cs="Times New Roman"/>
          <w:sz w:val="36"/>
          <w:szCs w:val="36"/>
          <w:u w:val="single"/>
        </w:rPr>
        <w:t xml:space="preserve"> </w:t>
      </w:r>
      <w:r>
        <w:rPr>
          <w:rFonts w:eastAsia="仿宋" w:cs="Times New Roman"/>
          <w:sz w:val="36"/>
          <w:szCs w:val="36"/>
          <w:u w:val="single"/>
        </w:rPr>
        <w:t xml:space="preserve"> </w:t>
      </w:r>
      <w:r>
        <w:rPr>
          <w:rFonts w:hint="eastAsia" w:eastAsia="仿宋" w:cs="Times New Roman"/>
          <w:sz w:val="36"/>
          <w:szCs w:val="36"/>
          <w:u w:val="single"/>
          <w:lang w:eastAsia="zh-CN"/>
        </w:rPr>
        <w:t>宣汉县城（明月坝）供水工程</w:t>
      </w:r>
      <w:r>
        <w:rPr>
          <w:rFonts w:hint="eastAsia" w:eastAsia="仿宋" w:cs="Times New Roman"/>
          <w:sz w:val="36"/>
          <w:szCs w:val="36"/>
          <w:u w:val="single"/>
        </w:rPr>
        <w:t xml:space="preserve"> </w:t>
      </w:r>
      <w:r>
        <w:rPr>
          <w:rFonts w:eastAsia="仿宋" w:cs="Times New Roman"/>
          <w:sz w:val="36"/>
          <w:szCs w:val="36"/>
          <w:u w:val="single"/>
        </w:rPr>
        <w:t xml:space="preserve"> </w:t>
      </w:r>
    </w:p>
    <w:p>
      <w:pPr>
        <w:spacing w:line="360" w:lineRule="auto"/>
        <w:ind w:firstLine="360" w:firstLineChars="100"/>
        <w:rPr>
          <w:rFonts w:hint="eastAsia" w:eastAsia="仿宋" w:cs="Times New Roman"/>
          <w:sz w:val="36"/>
          <w:szCs w:val="36"/>
          <w:u w:val="single"/>
          <w:lang w:eastAsia="zh-CN"/>
        </w:rPr>
      </w:pPr>
      <w:r>
        <w:rPr>
          <w:rFonts w:eastAsia="仿宋" w:cs="Times New Roman"/>
          <w:sz w:val="36"/>
          <w:szCs w:val="36"/>
        </w:rPr>
        <w:t>建设单位（盖章）：</w:t>
      </w:r>
      <w:r>
        <w:rPr>
          <w:rFonts w:hint="eastAsia" w:eastAsia="仿宋" w:cs="Times New Roman"/>
          <w:sz w:val="36"/>
          <w:szCs w:val="36"/>
          <w:u w:val="single"/>
          <w:lang w:eastAsia="zh-CN"/>
        </w:rPr>
        <w:t>宣汉发展投资集团有限公司</w:t>
      </w:r>
    </w:p>
    <w:p>
      <w:pPr>
        <w:spacing w:line="360" w:lineRule="auto"/>
        <w:ind w:firstLine="360" w:firstLineChars="100"/>
        <w:rPr>
          <w:rFonts w:eastAsia="仿宋" w:cs="Times New Roman"/>
          <w:sz w:val="36"/>
          <w:szCs w:val="36"/>
        </w:rPr>
      </w:pPr>
      <w:r>
        <w:rPr>
          <w:rFonts w:eastAsia="仿宋" w:cs="Times New Roman"/>
          <w:sz w:val="36"/>
          <w:szCs w:val="36"/>
        </w:rPr>
        <w:t>编制日期：</w:t>
      </w:r>
      <w:r>
        <w:rPr>
          <w:rFonts w:eastAsia="仿宋" w:cs="Times New Roman"/>
          <w:sz w:val="36"/>
          <w:szCs w:val="36"/>
          <w:u w:val="single"/>
        </w:rPr>
        <w:t xml:space="preserve">                2022年</w:t>
      </w:r>
      <w:r>
        <w:rPr>
          <w:rFonts w:hint="eastAsia" w:eastAsia="仿宋" w:cs="Times New Roman"/>
          <w:sz w:val="36"/>
          <w:szCs w:val="36"/>
          <w:u w:val="single"/>
          <w:lang w:val="en-US" w:eastAsia="zh-CN"/>
        </w:rPr>
        <w:t>8</w:t>
      </w:r>
      <w:r>
        <w:rPr>
          <w:rFonts w:eastAsia="仿宋" w:cs="Times New Roman"/>
          <w:sz w:val="36"/>
          <w:szCs w:val="36"/>
          <w:u w:val="single"/>
        </w:rPr>
        <w:t xml:space="preserve">月             </w:t>
      </w:r>
    </w:p>
    <w:p>
      <w:pPr>
        <w:spacing w:line="360" w:lineRule="auto"/>
        <w:rPr>
          <w:rFonts w:ascii="仿宋" w:hAnsi="仿宋" w:eastAsia="仿宋" w:cs="Times New Roman"/>
          <w:sz w:val="36"/>
          <w:szCs w:val="36"/>
        </w:rPr>
      </w:pPr>
    </w:p>
    <w:p>
      <w:pPr>
        <w:spacing w:line="360" w:lineRule="auto"/>
        <w:rPr>
          <w:rFonts w:ascii="仿宋" w:hAnsi="仿宋" w:eastAsia="仿宋" w:cs="Times New Roman"/>
          <w:sz w:val="36"/>
          <w:szCs w:val="36"/>
        </w:rPr>
      </w:pPr>
    </w:p>
    <w:p>
      <w:pPr>
        <w:spacing w:line="360" w:lineRule="auto"/>
        <w:rPr>
          <w:rFonts w:ascii="仿宋" w:hAnsi="仿宋" w:eastAsia="仿宋" w:cs="Times New Roman"/>
          <w:sz w:val="36"/>
          <w:szCs w:val="36"/>
        </w:rPr>
      </w:pPr>
    </w:p>
    <w:p>
      <w:pPr>
        <w:spacing w:line="360" w:lineRule="auto"/>
        <w:rPr>
          <w:rFonts w:ascii="仿宋" w:hAnsi="仿宋" w:eastAsia="仿宋" w:cs="Times New Roman"/>
          <w:sz w:val="36"/>
          <w:szCs w:val="36"/>
        </w:rPr>
      </w:pPr>
    </w:p>
    <w:p>
      <w:pPr>
        <w:spacing w:line="360" w:lineRule="auto"/>
        <w:rPr>
          <w:rFonts w:ascii="仿宋" w:hAnsi="仿宋" w:eastAsia="仿宋" w:cs="Times New Roman"/>
          <w:sz w:val="36"/>
          <w:szCs w:val="36"/>
        </w:rPr>
      </w:pPr>
    </w:p>
    <w:p>
      <w:pPr>
        <w:spacing w:line="360" w:lineRule="auto"/>
        <w:rPr>
          <w:rFonts w:ascii="仿宋" w:hAnsi="仿宋" w:eastAsia="仿宋" w:cs="Times New Roman"/>
          <w:sz w:val="36"/>
          <w:szCs w:val="36"/>
        </w:rPr>
      </w:pPr>
    </w:p>
    <w:p>
      <w:pPr>
        <w:spacing w:line="360" w:lineRule="auto"/>
        <w:jc w:val="center"/>
        <w:rPr>
          <w:rFonts w:ascii="楷体" w:hAnsi="楷体" w:eastAsia="楷体"/>
          <w:sz w:val="36"/>
          <w:szCs w:val="36"/>
        </w:rPr>
      </w:pPr>
      <w:r>
        <w:rPr>
          <w:rFonts w:hint="eastAsia" w:ascii="楷体" w:hAnsi="楷体" w:eastAsia="楷体" w:cs="Times New Roman"/>
          <w:sz w:val="36"/>
          <w:szCs w:val="36"/>
        </w:rPr>
        <w:t>中华人民共和国生态环境部制</w:t>
      </w:r>
    </w:p>
    <w:p>
      <w:pPr>
        <w:spacing w:line="360" w:lineRule="auto"/>
        <w:rPr>
          <w:rFonts w:cs="Times New Roman"/>
          <w:sz w:val="28"/>
          <w:szCs w:val="28"/>
        </w:rPr>
      </w:pPr>
    </w:p>
    <w:p>
      <w:pPr>
        <w:spacing w:line="360" w:lineRule="auto"/>
        <w:rPr>
          <w:rFonts w:cs="Times New Roman"/>
          <w:sz w:val="28"/>
          <w:szCs w:val="28"/>
        </w:rPr>
        <w:sectPr>
          <w:pgSz w:w="11906" w:h="16838"/>
          <w:pgMar w:top="1134" w:right="1134" w:bottom="1134" w:left="1418" w:header="851" w:footer="992" w:gutter="0"/>
          <w:cols w:space="720" w:num="1"/>
          <w:docGrid w:type="lines" w:linePitch="312" w:charSpace="0"/>
        </w:sectPr>
      </w:pPr>
    </w:p>
    <w:p>
      <w:pPr>
        <w:spacing w:line="360" w:lineRule="auto"/>
        <w:rPr>
          <w:rFonts w:cs="Times New Roman"/>
          <w:sz w:val="24"/>
          <w:szCs w:val="24"/>
        </w:rPr>
      </w:pPr>
    </w:p>
    <w:p>
      <w:pPr>
        <w:spacing w:line="360" w:lineRule="auto"/>
        <w:jc w:val="center"/>
        <w:rPr>
          <w:rFonts w:cs="Times New Roman"/>
          <w:b/>
          <w:bCs/>
          <w:sz w:val="36"/>
          <w:szCs w:val="36"/>
        </w:rPr>
      </w:pPr>
      <w:r>
        <w:rPr>
          <w:rFonts w:hint="eastAsia" w:cs="Times New Roman"/>
          <w:b/>
          <w:bCs/>
          <w:sz w:val="36"/>
          <w:szCs w:val="36"/>
        </w:rPr>
        <w:t xml:space="preserve">目 </w:t>
      </w:r>
      <w:r>
        <w:rPr>
          <w:rFonts w:cs="Times New Roman"/>
          <w:b/>
          <w:bCs/>
          <w:sz w:val="36"/>
          <w:szCs w:val="36"/>
        </w:rPr>
        <w:t xml:space="preserve"> </w:t>
      </w:r>
      <w:r>
        <w:rPr>
          <w:rFonts w:hint="eastAsia" w:cs="Times New Roman"/>
          <w:b/>
          <w:bCs/>
          <w:sz w:val="36"/>
          <w:szCs w:val="36"/>
        </w:rPr>
        <w:t>录</w:t>
      </w:r>
    </w:p>
    <w:p>
      <w:pPr>
        <w:spacing w:line="360" w:lineRule="auto"/>
        <w:rPr>
          <w:rFonts w:cs="Times New Roman"/>
          <w:sz w:val="28"/>
          <w:szCs w:val="28"/>
        </w:rPr>
      </w:pPr>
    </w:p>
    <w:p>
      <w:pPr>
        <w:pStyle w:val="12"/>
        <w:tabs>
          <w:tab w:val="right" w:leader="dot" w:pos="9344"/>
        </w:tabs>
        <w:spacing w:line="360" w:lineRule="auto"/>
        <w:rPr>
          <w:rFonts w:cs="Times New Roman" w:eastAsiaTheme="minorEastAsia"/>
          <w:szCs w:val="21"/>
        </w:rPr>
      </w:pPr>
      <w:r>
        <w:rPr>
          <w:rFonts w:cs="Times New Roman" w:eastAsiaTheme="minorEastAsia"/>
          <w:szCs w:val="21"/>
        </w:rPr>
        <w:fldChar w:fldCharType="begin"/>
      </w:r>
      <w:r>
        <w:rPr>
          <w:rFonts w:cs="Times New Roman" w:eastAsiaTheme="minorEastAsia"/>
          <w:szCs w:val="21"/>
        </w:rPr>
        <w:instrText xml:space="preserve"> TOC \o "1-1" \h \z \u </w:instrText>
      </w:r>
      <w:r>
        <w:rPr>
          <w:rFonts w:cs="Times New Roman" w:eastAsiaTheme="minorEastAsia"/>
          <w:szCs w:val="21"/>
        </w:rPr>
        <w:fldChar w:fldCharType="separate"/>
      </w:r>
      <w:r>
        <w:fldChar w:fldCharType="begin"/>
      </w:r>
      <w:r>
        <w:instrText xml:space="preserve"> HYPERLINK \l "_Toc97040273" </w:instrText>
      </w:r>
      <w:r>
        <w:fldChar w:fldCharType="separate"/>
      </w:r>
      <w:r>
        <w:rPr>
          <w:rStyle w:val="18"/>
          <w:rFonts w:cs="Times New Roman" w:eastAsiaTheme="minorEastAsia"/>
          <w:color w:val="auto"/>
          <w:szCs w:val="21"/>
        </w:rPr>
        <w:t>一、建设项目基本情况</w:t>
      </w:r>
      <w:r>
        <w:rPr>
          <w:rFonts w:cs="Times New Roman" w:eastAsiaTheme="minorEastAsia"/>
          <w:szCs w:val="21"/>
        </w:rPr>
        <w:tab/>
      </w:r>
      <w:r>
        <w:rPr>
          <w:rFonts w:cs="Times New Roman" w:eastAsiaTheme="minorEastAsia"/>
          <w:szCs w:val="21"/>
        </w:rPr>
        <w:fldChar w:fldCharType="begin"/>
      </w:r>
      <w:r>
        <w:rPr>
          <w:rFonts w:cs="Times New Roman" w:eastAsiaTheme="minorEastAsia"/>
          <w:szCs w:val="21"/>
        </w:rPr>
        <w:instrText xml:space="preserve"> PAGEREF _Toc97040273 \h </w:instrText>
      </w:r>
      <w:r>
        <w:rPr>
          <w:rFonts w:cs="Times New Roman" w:eastAsiaTheme="minorEastAsia"/>
          <w:szCs w:val="21"/>
        </w:rPr>
        <w:fldChar w:fldCharType="separate"/>
      </w:r>
      <w:r>
        <w:rPr>
          <w:rFonts w:cs="Times New Roman" w:eastAsiaTheme="minorEastAsia"/>
          <w:szCs w:val="21"/>
        </w:rPr>
        <w:t>1</w:t>
      </w:r>
      <w:r>
        <w:rPr>
          <w:rFonts w:cs="Times New Roman" w:eastAsiaTheme="minorEastAsia"/>
          <w:szCs w:val="21"/>
        </w:rPr>
        <w:fldChar w:fldCharType="end"/>
      </w:r>
      <w:r>
        <w:rPr>
          <w:rFonts w:cs="Times New Roman" w:eastAsiaTheme="minorEastAsia"/>
          <w:szCs w:val="21"/>
        </w:rPr>
        <w:fldChar w:fldCharType="end"/>
      </w:r>
    </w:p>
    <w:p>
      <w:pPr>
        <w:pStyle w:val="12"/>
        <w:tabs>
          <w:tab w:val="right" w:leader="dot" w:pos="9344"/>
        </w:tabs>
        <w:spacing w:line="360" w:lineRule="auto"/>
        <w:rPr>
          <w:rFonts w:cs="Times New Roman" w:eastAsiaTheme="minorEastAsia"/>
          <w:szCs w:val="21"/>
        </w:rPr>
      </w:pPr>
      <w:r>
        <w:fldChar w:fldCharType="begin"/>
      </w:r>
      <w:r>
        <w:instrText xml:space="preserve"> HYPERLINK \l "_Toc97040274" </w:instrText>
      </w:r>
      <w:r>
        <w:fldChar w:fldCharType="separate"/>
      </w:r>
      <w:r>
        <w:rPr>
          <w:rStyle w:val="18"/>
          <w:rFonts w:cs="Times New Roman" w:eastAsiaTheme="minorEastAsia"/>
          <w:color w:val="auto"/>
          <w:szCs w:val="21"/>
        </w:rPr>
        <w:t>二、建设项目工程分析</w:t>
      </w:r>
      <w:r>
        <w:rPr>
          <w:rFonts w:cs="Times New Roman" w:eastAsiaTheme="minorEastAsia"/>
          <w:szCs w:val="21"/>
        </w:rPr>
        <w:tab/>
      </w:r>
      <w:r>
        <w:rPr>
          <w:rFonts w:cs="Times New Roman" w:eastAsiaTheme="minorEastAsia"/>
          <w:szCs w:val="21"/>
        </w:rPr>
        <w:fldChar w:fldCharType="begin"/>
      </w:r>
      <w:r>
        <w:rPr>
          <w:rFonts w:cs="Times New Roman" w:eastAsiaTheme="minorEastAsia"/>
          <w:szCs w:val="21"/>
        </w:rPr>
        <w:instrText xml:space="preserve"> PAGEREF _Toc97040274 \h </w:instrText>
      </w:r>
      <w:r>
        <w:rPr>
          <w:rFonts w:cs="Times New Roman" w:eastAsiaTheme="minorEastAsia"/>
          <w:szCs w:val="21"/>
        </w:rPr>
        <w:fldChar w:fldCharType="separate"/>
      </w:r>
      <w:r>
        <w:rPr>
          <w:rFonts w:cs="Times New Roman" w:eastAsiaTheme="minorEastAsia"/>
          <w:szCs w:val="21"/>
        </w:rPr>
        <w:t>12</w:t>
      </w:r>
      <w:r>
        <w:rPr>
          <w:rFonts w:cs="Times New Roman" w:eastAsiaTheme="minorEastAsia"/>
          <w:szCs w:val="21"/>
        </w:rPr>
        <w:fldChar w:fldCharType="end"/>
      </w:r>
      <w:r>
        <w:rPr>
          <w:rFonts w:cs="Times New Roman" w:eastAsiaTheme="minorEastAsia"/>
          <w:szCs w:val="21"/>
        </w:rPr>
        <w:fldChar w:fldCharType="end"/>
      </w:r>
    </w:p>
    <w:p>
      <w:pPr>
        <w:pStyle w:val="12"/>
        <w:tabs>
          <w:tab w:val="right" w:leader="dot" w:pos="9344"/>
        </w:tabs>
        <w:spacing w:line="360" w:lineRule="auto"/>
        <w:rPr>
          <w:rFonts w:cs="Times New Roman" w:eastAsiaTheme="minorEastAsia"/>
          <w:szCs w:val="21"/>
        </w:rPr>
      </w:pPr>
      <w:r>
        <w:fldChar w:fldCharType="begin"/>
      </w:r>
      <w:r>
        <w:instrText xml:space="preserve"> HYPERLINK \l "_Toc97040275" </w:instrText>
      </w:r>
      <w:r>
        <w:fldChar w:fldCharType="separate"/>
      </w:r>
      <w:r>
        <w:rPr>
          <w:rStyle w:val="18"/>
          <w:rFonts w:cs="Times New Roman" w:eastAsiaTheme="minorEastAsia"/>
          <w:color w:val="auto"/>
          <w:szCs w:val="21"/>
        </w:rPr>
        <w:t>三、区域环境质量现状、环境保护目标及评价标准</w:t>
      </w:r>
      <w:r>
        <w:rPr>
          <w:rFonts w:cs="Times New Roman" w:eastAsiaTheme="minorEastAsia"/>
          <w:szCs w:val="21"/>
        </w:rPr>
        <w:tab/>
      </w:r>
      <w:r>
        <w:rPr>
          <w:rFonts w:cs="Times New Roman" w:eastAsiaTheme="minorEastAsia"/>
          <w:szCs w:val="21"/>
        </w:rPr>
        <w:fldChar w:fldCharType="begin"/>
      </w:r>
      <w:r>
        <w:rPr>
          <w:rFonts w:cs="Times New Roman" w:eastAsiaTheme="minorEastAsia"/>
          <w:szCs w:val="21"/>
        </w:rPr>
        <w:instrText xml:space="preserve"> PAGEREF _Toc97040275 \h </w:instrText>
      </w:r>
      <w:r>
        <w:rPr>
          <w:rFonts w:cs="Times New Roman" w:eastAsiaTheme="minorEastAsia"/>
          <w:szCs w:val="21"/>
        </w:rPr>
        <w:fldChar w:fldCharType="separate"/>
      </w:r>
      <w:r>
        <w:rPr>
          <w:rFonts w:cs="Times New Roman" w:eastAsiaTheme="minorEastAsia"/>
          <w:szCs w:val="21"/>
        </w:rPr>
        <w:t>28</w:t>
      </w:r>
      <w:r>
        <w:rPr>
          <w:rFonts w:cs="Times New Roman" w:eastAsiaTheme="minorEastAsia"/>
          <w:szCs w:val="21"/>
        </w:rPr>
        <w:fldChar w:fldCharType="end"/>
      </w:r>
      <w:r>
        <w:rPr>
          <w:rFonts w:cs="Times New Roman" w:eastAsiaTheme="minorEastAsia"/>
          <w:szCs w:val="21"/>
        </w:rPr>
        <w:fldChar w:fldCharType="end"/>
      </w:r>
    </w:p>
    <w:p>
      <w:pPr>
        <w:pStyle w:val="12"/>
        <w:tabs>
          <w:tab w:val="right" w:leader="dot" w:pos="9344"/>
        </w:tabs>
        <w:spacing w:line="360" w:lineRule="auto"/>
        <w:rPr>
          <w:rFonts w:cs="Times New Roman" w:eastAsiaTheme="minorEastAsia"/>
          <w:szCs w:val="21"/>
        </w:rPr>
      </w:pPr>
      <w:r>
        <w:fldChar w:fldCharType="begin"/>
      </w:r>
      <w:r>
        <w:instrText xml:space="preserve"> HYPERLINK \l "_Toc97040276" </w:instrText>
      </w:r>
      <w:r>
        <w:fldChar w:fldCharType="separate"/>
      </w:r>
      <w:r>
        <w:rPr>
          <w:rStyle w:val="18"/>
          <w:rFonts w:cs="Times New Roman" w:eastAsiaTheme="minorEastAsia"/>
          <w:color w:val="auto"/>
          <w:szCs w:val="21"/>
        </w:rPr>
        <w:t>四、主要环境影响和保护措施</w:t>
      </w:r>
      <w:r>
        <w:rPr>
          <w:rFonts w:cs="Times New Roman" w:eastAsiaTheme="minorEastAsia"/>
          <w:szCs w:val="21"/>
        </w:rPr>
        <w:tab/>
      </w:r>
      <w:r>
        <w:rPr>
          <w:rFonts w:cs="Times New Roman" w:eastAsiaTheme="minorEastAsia"/>
          <w:szCs w:val="21"/>
        </w:rPr>
        <w:fldChar w:fldCharType="begin"/>
      </w:r>
      <w:r>
        <w:rPr>
          <w:rFonts w:cs="Times New Roman" w:eastAsiaTheme="minorEastAsia"/>
          <w:szCs w:val="21"/>
        </w:rPr>
        <w:instrText xml:space="preserve"> PAGEREF _Toc97040276 \h </w:instrText>
      </w:r>
      <w:r>
        <w:rPr>
          <w:rFonts w:cs="Times New Roman" w:eastAsiaTheme="minorEastAsia"/>
          <w:szCs w:val="21"/>
        </w:rPr>
        <w:fldChar w:fldCharType="separate"/>
      </w:r>
      <w:r>
        <w:rPr>
          <w:rFonts w:cs="Times New Roman" w:eastAsiaTheme="minorEastAsia"/>
          <w:szCs w:val="21"/>
        </w:rPr>
        <w:t>34</w:t>
      </w:r>
      <w:r>
        <w:rPr>
          <w:rFonts w:cs="Times New Roman" w:eastAsiaTheme="minorEastAsia"/>
          <w:szCs w:val="21"/>
        </w:rPr>
        <w:fldChar w:fldCharType="end"/>
      </w:r>
      <w:r>
        <w:rPr>
          <w:rFonts w:cs="Times New Roman" w:eastAsiaTheme="minorEastAsia"/>
          <w:szCs w:val="21"/>
        </w:rPr>
        <w:fldChar w:fldCharType="end"/>
      </w:r>
    </w:p>
    <w:p>
      <w:pPr>
        <w:pStyle w:val="12"/>
        <w:tabs>
          <w:tab w:val="right" w:leader="dot" w:pos="9344"/>
        </w:tabs>
        <w:spacing w:line="360" w:lineRule="auto"/>
        <w:rPr>
          <w:rFonts w:cs="Times New Roman" w:eastAsiaTheme="minorEastAsia"/>
          <w:szCs w:val="21"/>
        </w:rPr>
      </w:pPr>
      <w:r>
        <w:fldChar w:fldCharType="begin"/>
      </w:r>
      <w:r>
        <w:instrText xml:space="preserve"> HYPERLINK \l "_Toc97040277" </w:instrText>
      </w:r>
      <w:r>
        <w:fldChar w:fldCharType="separate"/>
      </w:r>
      <w:r>
        <w:rPr>
          <w:rStyle w:val="18"/>
          <w:rFonts w:cs="Times New Roman" w:eastAsiaTheme="minorEastAsia"/>
          <w:color w:val="auto"/>
          <w:szCs w:val="21"/>
        </w:rPr>
        <w:t>五、环境保护措施监督检查清单</w:t>
      </w:r>
      <w:r>
        <w:rPr>
          <w:rFonts w:cs="Times New Roman" w:eastAsiaTheme="minorEastAsia"/>
          <w:szCs w:val="21"/>
        </w:rPr>
        <w:tab/>
      </w:r>
      <w:r>
        <w:rPr>
          <w:rFonts w:cs="Times New Roman" w:eastAsiaTheme="minorEastAsia"/>
          <w:szCs w:val="21"/>
        </w:rPr>
        <w:fldChar w:fldCharType="begin"/>
      </w:r>
      <w:r>
        <w:rPr>
          <w:rFonts w:cs="Times New Roman" w:eastAsiaTheme="minorEastAsia"/>
          <w:szCs w:val="21"/>
        </w:rPr>
        <w:instrText xml:space="preserve"> PAGEREF _Toc97040277 \h </w:instrText>
      </w:r>
      <w:r>
        <w:rPr>
          <w:rFonts w:cs="Times New Roman" w:eastAsiaTheme="minorEastAsia"/>
          <w:szCs w:val="21"/>
        </w:rPr>
        <w:fldChar w:fldCharType="separate"/>
      </w:r>
      <w:r>
        <w:rPr>
          <w:rFonts w:cs="Times New Roman" w:eastAsiaTheme="minorEastAsia"/>
          <w:szCs w:val="21"/>
        </w:rPr>
        <w:t>52</w:t>
      </w:r>
      <w:r>
        <w:rPr>
          <w:rFonts w:cs="Times New Roman" w:eastAsiaTheme="minorEastAsia"/>
          <w:szCs w:val="21"/>
        </w:rPr>
        <w:fldChar w:fldCharType="end"/>
      </w:r>
      <w:r>
        <w:rPr>
          <w:rFonts w:cs="Times New Roman" w:eastAsiaTheme="minorEastAsia"/>
          <w:szCs w:val="21"/>
        </w:rPr>
        <w:fldChar w:fldCharType="end"/>
      </w:r>
    </w:p>
    <w:p>
      <w:pPr>
        <w:pStyle w:val="12"/>
        <w:tabs>
          <w:tab w:val="right" w:leader="dot" w:pos="9344"/>
        </w:tabs>
        <w:spacing w:line="360" w:lineRule="auto"/>
        <w:rPr>
          <w:rFonts w:cs="Times New Roman" w:eastAsiaTheme="minorEastAsia"/>
          <w:szCs w:val="21"/>
        </w:rPr>
      </w:pPr>
      <w:r>
        <w:fldChar w:fldCharType="begin"/>
      </w:r>
      <w:r>
        <w:instrText xml:space="preserve"> HYPERLINK \l "_Toc97040278" </w:instrText>
      </w:r>
      <w:r>
        <w:fldChar w:fldCharType="separate"/>
      </w:r>
      <w:r>
        <w:rPr>
          <w:rStyle w:val="18"/>
          <w:rFonts w:cs="Times New Roman" w:eastAsiaTheme="minorEastAsia"/>
          <w:color w:val="auto"/>
          <w:szCs w:val="21"/>
        </w:rPr>
        <w:t>六、结论</w:t>
      </w:r>
      <w:r>
        <w:rPr>
          <w:rFonts w:cs="Times New Roman" w:eastAsiaTheme="minorEastAsia"/>
          <w:szCs w:val="21"/>
        </w:rPr>
        <w:tab/>
      </w:r>
      <w:r>
        <w:rPr>
          <w:rFonts w:cs="Times New Roman" w:eastAsiaTheme="minorEastAsia"/>
          <w:szCs w:val="21"/>
        </w:rPr>
        <w:fldChar w:fldCharType="begin"/>
      </w:r>
      <w:r>
        <w:rPr>
          <w:rFonts w:cs="Times New Roman" w:eastAsiaTheme="minorEastAsia"/>
          <w:szCs w:val="21"/>
        </w:rPr>
        <w:instrText xml:space="preserve"> PAGEREF _Toc97040278 \h </w:instrText>
      </w:r>
      <w:r>
        <w:rPr>
          <w:rFonts w:cs="Times New Roman" w:eastAsiaTheme="minorEastAsia"/>
          <w:szCs w:val="21"/>
        </w:rPr>
        <w:fldChar w:fldCharType="separate"/>
      </w:r>
      <w:r>
        <w:rPr>
          <w:rFonts w:cs="Times New Roman" w:eastAsiaTheme="minorEastAsia"/>
          <w:szCs w:val="21"/>
        </w:rPr>
        <w:t>53</w:t>
      </w:r>
      <w:r>
        <w:rPr>
          <w:rFonts w:cs="Times New Roman" w:eastAsiaTheme="minorEastAsia"/>
          <w:szCs w:val="21"/>
        </w:rPr>
        <w:fldChar w:fldCharType="end"/>
      </w:r>
      <w:r>
        <w:rPr>
          <w:rFonts w:cs="Times New Roman" w:eastAsiaTheme="minorEastAsia"/>
          <w:szCs w:val="21"/>
        </w:rPr>
        <w:fldChar w:fldCharType="end"/>
      </w:r>
    </w:p>
    <w:p>
      <w:pPr>
        <w:pStyle w:val="12"/>
        <w:tabs>
          <w:tab w:val="right" w:leader="dot" w:pos="9344"/>
        </w:tabs>
        <w:spacing w:line="360" w:lineRule="auto"/>
        <w:rPr>
          <w:rFonts w:cs="Times New Roman" w:eastAsiaTheme="minorEastAsia"/>
          <w:szCs w:val="21"/>
        </w:rPr>
      </w:pPr>
      <w:r>
        <w:fldChar w:fldCharType="begin"/>
      </w:r>
      <w:r>
        <w:instrText xml:space="preserve"> HYPERLINK \l "_Toc97040279" </w:instrText>
      </w:r>
      <w:r>
        <w:fldChar w:fldCharType="separate"/>
      </w:r>
      <w:r>
        <w:rPr>
          <w:rStyle w:val="18"/>
          <w:rFonts w:cs="Times New Roman" w:eastAsiaTheme="minorEastAsia"/>
          <w:color w:val="auto"/>
          <w:szCs w:val="21"/>
        </w:rPr>
        <w:t>附表</w:t>
      </w:r>
      <w:r>
        <w:rPr>
          <w:rFonts w:cs="Times New Roman" w:eastAsiaTheme="minorEastAsia"/>
          <w:szCs w:val="21"/>
        </w:rPr>
        <w:tab/>
      </w:r>
      <w:r>
        <w:rPr>
          <w:rFonts w:cs="Times New Roman" w:eastAsiaTheme="minorEastAsia"/>
          <w:szCs w:val="21"/>
        </w:rPr>
        <w:fldChar w:fldCharType="begin"/>
      </w:r>
      <w:r>
        <w:rPr>
          <w:rFonts w:cs="Times New Roman" w:eastAsiaTheme="minorEastAsia"/>
          <w:szCs w:val="21"/>
        </w:rPr>
        <w:instrText xml:space="preserve"> PAGEREF _Toc97040279 \h </w:instrText>
      </w:r>
      <w:r>
        <w:rPr>
          <w:rFonts w:cs="Times New Roman" w:eastAsiaTheme="minorEastAsia"/>
          <w:szCs w:val="21"/>
        </w:rPr>
        <w:fldChar w:fldCharType="separate"/>
      </w:r>
      <w:r>
        <w:rPr>
          <w:rFonts w:cs="Times New Roman" w:eastAsiaTheme="minorEastAsia"/>
          <w:szCs w:val="21"/>
        </w:rPr>
        <w:t>54</w:t>
      </w:r>
      <w:r>
        <w:rPr>
          <w:rFonts w:cs="Times New Roman" w:eastAsiaTheme="minorEastAsia"/>
          <w:szCs w:val="21"/>
        </w:rPr>
        <w:fldChar w:fldCharType="end"/>
      </w:r>
      <w:r>
        <w:rPr>
          <w:rFonts w:cs="Times New Roman" w:eastAsiaTheme="minorEastAsia"/>
          <w:szCs w:val="21"/>
        </w:rPr>
        <w:fldChar w:fldCharType="end"/>
      </w:r>
    </w:p>
    <w:p>
      <w:pPr>
        <w:spacing w:line="360" w:lineRule="auto"/>
        <w:rPr>
          <w:rFonts w:cs="Times New Roman"/>
          <w:sz w:val="24"/>
          <w:szCs w:val="24"/>
        </w:rPr>
      </w:pPr>
      <w:r>
        <w:rPr>
          <w:rFonts w:cs="Times New Roman" w:eastAsiaTheme="minorEastAsia"/>
          <w:szCs w:val="21"/>
        </w:rPr>
        <w:fldChar w:fldCharType="end"/>
      </w:r>
    </w:p>
    <w:p>
      <w:pPr>
        <w:spacing w:line="360" w:lineRule="auto"/>
        <w:rPr>
          <w:rFonts w:cs="Times New Roman"/>
          <w:sz w:val="24"/>
          <w:szCs w:val="24"/>
        </w:rPr>
      </w:pPr>
    </w:p>
    <w:p>
      <w:pPr>
        <w:spacing w:line="360" w:lineRule="auto"/>
        <w:rPr>
          <w:b/>
          <w:sz w:val="24"/>
          <w:szCs w:val="24"/>
        </w:rPr>
        <w:sectPr>
          <w:pgSz w:w="11906" w:h="16838"/>
          <w:pgMar w:top="1134" w:right="1134" w:bottom="1134" w:left="1418" w:header="851" w:footer="992" w:gutter="0"/>
          <w:cols w:space="720" w:num="1"/>
          <w:docGrid w:type="lines" w:linePitch="312" w:charSpace="0"/>
        </w:sectPr>
      </w:pPr>
    </w:p>
    <w:p>
      <w:pPr>
        <w:pStyle w:val="39"/>
        <w:jc w:val="center"/>
        <w:rPr>
          <w:szCs w:val="24"/>
        </w:rPr>
      </w:pPr>
      <w:bookmarkStart w:id="0" w:name="_Toc97040273"/>
      <w:r>
        <w:rPr>
          <w:rFonts w:ascii="黑体" w:hAnsi="黑体" w:eastAsia="黑体"/>
          <w:b w:val="0"/>
          <w:sz w:val="30"/>
          <w:szCs w:val="30"/>
        </w:rPr>
        <w:t>一</w:t>
      </w:r>
      <w:r>
        <w:rPr>
          <w:rFonts w:hint="eastAsia" w:ascii="黑体" w:hAnsi="黑体" w:eastAsia="黑体"/>
          <w:b w:val="0"/>
          <w:sz w:val="30"/>
          <w:szCs w:val="30"/>
        </w:rPr>
        <w:t>、</w:t>
      </w:r>
      <w:r>
        <w:rPr>
          <w:rFonts w:ascii="黑体" w:hAnsi="黑体" w:eastAsia="黑体"/>
          <w:b w:val="0"/>
          <w:sz w:val="30"/>
          <w:szCs w:val="30"/>
        </w:rPr>
        <w:t>建设项目基本情况</w:t>
      </w:r>
      <w:bookmarkEnd w:id="0"/>
    </w:p>
    <w:tbl>
      <w:tblPr>
        <w:tblStyle w:val="15"/>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2233"/>
        <w:gridCol w:w="1818"/>
        <w:gridCol w:w="3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44" w:type="dxa"/>
            <w:vAlign w:val="center"/>
          </w:tcPr>
          <w:p>
            <w:pPr>
              <w:spacing w:line="360" w:lineRule="auto"/>
              <w:jc w:val="center"/>
              <w:rPr>
                <w:rFonts w:cs="Times New Roman"/>
                <w:sz w:val="24"/>
                <w:szCs w:val="24"/>
              </w:rPr>
            </w:pPr>
            <w:r>
              <w:rPr>
                <w:rFonts w:cs="Times New Roman"/>
                <w:sz w:val="24"/>
                <w:szCs w:val="24"/>
              </w:rPr>
              <w:t>建设项目名称</w:t>
            </w:r>
          </w:p>
        </w:tc>
        <w:tc>
          <w:tcPr>
            <w:tcW w:w="7926" w:type="dxa"/>
            <w:gridSpan w:val="3"/>
            <w:vAlign w:val="center"/>
          </w:tcPr>
          <w:p>
            <w:pPr>
              <w:spacing w:line="360" w:lineRule="auto"/>
              <w:jc w:val="center"/>
              <w:rPr>
                <w:rFonts w:hint="eastAsia" w:eastAsia="宋体" w:cs="Times New Roman"/>
                <w:sz w:val="24"/>
                <w:szCs w:val="24"/>
                <w:lang w:eastAsia="zh-CN"/>
              </w:rPr>
            </w:pPr>
            <w:r>
              <w:rPr>
                <w:rFonts w:hint="eastAsia" w:cs="Times New Roman"/>
                <w:sz w:val="24"/>
                <w:szCs w:val="24"/>
                <w:lang w:eastAsia="zh-CN"/>
              </w:rPr>
              <w:t>宣汉县城（明月坝）供水工程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vAlign w:val="center"/>
          </w:tcPr>
          <w:p>
            <w:pPr>
              <w:spacing w:line="360" w:lineRule="auto"/>
              <w:jc w:val="center"/>
              <w:rPr>
                <w:rFonts w:cs="Times New Roman"/>
                <w:sz w:val="24"/>
                <w:szCs w:val="24"/>
              </w:rPr>
            </w:pPr>
            <w:r>
              <w:rPr>
                <w:rFonts w:cs="Times New Roman"/>
                <w:sz w:val="24"/>
                <w:szCs w:val="24"/>
              </w:rPr>
              <w:t>项目代码</w:t>
            </w:r>
          </w:p>
        </w:tc>
        <w:tc>
          <w:tcPr>
            <w:tcW w:w="7926" w:type="dxa"/>
            <w:gridSpan w:val="3"/>
            <w:vAlign w:val="center"/>
          </w:tcPr>
          <w:p>
            <w:pPr>
              <w:spacing w:line="360" w:lineRule="auto"/>
              <w:jc w:val="center"/>
              <w:rPr>
                <w:rFonts w:hint="eastAsia" w:eastAsia="宋体" w:cs="Times New Roman"/>
                <w:sz w:val="24"/>
                <w:szCs w:val="24"/>
                <w:lang w:eastAsia="zh-CN"/>
              </w:rPr>
            </w:pPr>
            <w:r>
              <w:rPr>
                <w:rFonts w:hint="eastAsia" w:cs="Times New Roman"/>
                <w:sz w:val="24"/>
                <w:szCs w:val="24"/>
                <w:lang w:eastAsia="zh-CN"/>
              </w:rPr>
              <w:t>2202-511722-19-01-365356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vAlign w:val="center"/>
          </w:tcPr>
          <w:p>
            <w:pPr>
              <w:spacing w:line="360" w:lineRule="auto"/>
              <w:jc w:val="center"/>
              <w:rPr>
                <w:rFonts w:cs="Times New Roman"/>
                <w:sz w:val="24"/>
                <w:szCs w:val="24"/>
              </w:rPr>
            </w:pPr>
            <w:r>
              <w:rPr>
                <w:rFonts w:cs="Times New Roman"/>
                <w:sz w:val="24"/>
                <w:szCs w:val="24"/>
              </w:rPr>
              <w:t>建设单位联系人</w:t>
            </w:r>
          </w:p>
        </w:tc>
        <w:tc>
          <w:tcPr>
            <w:tcW w:w="2233" w:type="dxa"/>
            <w:vAlign w:val="center"/>
          </w:tcPr>
          <w:p>
            <w:pPr>
              <w:spacing w:line="360" w:lineRule="auto"/>
              <w:jc w:val="center"/>
              <w:rPr>
                <w:rFonts w:hint="eastAsia" w:eastAsia="宋体" w:cs="Times New Roman"/>
                <w:sz w:val="24"/>
                <w:szCs w:val="24"/>
                <w:lang w:eastAsia="zh-CN"/>
              </w:rPr>
            </w:pPr>
            <w:r>
              <w:rPr>
                <w:rFonts w:hint="eastAsia" w:cs="Times New Roman"/>
                <w:sz w:val="24"/>
                <w:szCs w:val="24"/>
                <w:lang w:val="en-US" w:eastAsia="zh-CN"/>
              </w:rPr>
              <w:t>杨洋</w:t>
            </w:r>
          </w:p>
        </w:tc>
        <w:tc>
          <w:tcPr>
            <w:tcW w:w="1818" w:type="dxa"/>
            <w:vAlign w:val="center"/>
          </w:tcPr>
          <w:p>
            <w:pPr>
              <w:spacing w:line="360" w:lineRule="auto"/>
              <w:jc w:val="center"/>
              <w:rPr>
                <w:rFonts w:cs="Times New Roman"/>
                <w:sz w:val="24"/>
                <w:szCs w:val="24"/>
              </w:rPr>
            </w:pPr>
            <w:r>
              <w:rPr>
                <w:rFonts w:cs="Times New Roman"/>
                <w:sz w:val="24"/>
                <w:szCs w:val="24"/>
              </w:rPr>
              <w:t>联系方式</w:t>
            </w:r>
          </w:p>
        </w:tc>
        <w:tc>
          <w:tcPr>
            <w:tcW w:w="3875" w:type="dxa"/>
            <w:vAlign w:val="center"/>
          </w:tcPr>
          <w:p>
            <w:pPr>
              <w:spacing w:line="360" w:lineRule="auto"/>
              <w:jc w:val="center"/>
              <w:rPr>
                <w:rFonts w:hint="default" w:eastAsia="宋体" w:cs="Times New Roman"/>
                <w:sz w:val="24"/>
                <w:szCs w:val="24"/>
                <w:lang w:val="en-US" w:eastAsia="zh-CN"/>
              </w:rPr>
            </w:pPr>
            <w:r>
              <w:rPr>
                <w:rFonts w:hint="eastAsia" w:cs="Times New Roman"/>
                <w:sz w:val="24"/>
                <w:szCs w:val="24"/>
                <w:lang w:val="en-US" w:eastAsia="zh-CN"/>
              </w:rPr>
              <w:t>15881829206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vAlign w:val="center"/>
          </w:tcPr>
          <w:p>
            <w:pPr>
              <w:spacing w:line="360" w:lineRule="auto"/>
              <w:jc w:val="center"/>
              <w:rPr>
                <w:rFonts w:cs="Times New Roman"/>
                <w:sz w:val="24"/>
                <w:szCs w:val="24"/>
              </w:rPr>
            </w:pPr>
            <w:r>
              <w:rPr>
                <w:rFonts w:cs="Times New Roman"/>
                <w:sz w:val="24"/>
                <w:szCs w:val="24"/>
              </w:rPr>
              <w:t>建设地点</w:t>
            </w:r>
          </w:p>
        </w:tc>
        <w:tc>
          <w:tcPr>
            <w:tcW w:w="7926" w:type="dxa"/>
            <w:gridSpan w:val="3"/>
            <w:vAlign w:val="center"/>
          </w:tcPr>
          <w:p>
            <w:pPr>
              <w:spacing w:line="360" w:lineRule="auto"/>
              <w:jc w:val="center"/>
              <w:rPr>
                <w:rFonts w:hint="eastAsia" w:eastAsia="宋体" w:cs="Times New Roman"/>
                <w:sz w:val="24"/>
                <w:szCs w:val="24"/>
                <w:lang w:eastAsia="zh-CN"/>
              </w:rPr>
            </w:pPr>
            <w:r>
              <w:rPr>
                <w:rFonts w:hint="eastAsia" w:cs="Times New Roman"/>
                <w:sz w:val="24"/>
                <w:szCs w:val="24"/>
                <w:lang w:eastAsia="zh-CN"/>
              </w:rPr>
              <w:t>宣汉县蒲江街道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vAlign w:val="center"/>
          </w:tcPr>
          <w:p>
            <w:pPr>
              <w:spacing w:line="360" w:lineRule="auto"/>
              <w:jc w:val="center"/>
              <w:rPr>
                <w:rFonts w:cs="Times New Roman"/>
                <w:sz w:val="24"/>
                <w:szCs w:val="24"/>
              </w:rPr>
            </w:pPr>
            <w:r>
              <w:rPr>
                <w:rFonts w:cs="Times New Roman"/>
                <w:sz w:val="24"/>
                <w:szCs w:val="24"/>
              </w:rPr>
              <w:t>地理坐标</w:t>
            </w:r>
          </w:p>
        </w:tc>
        <w:tc>
          <w:tcPr>
            <w:tcW w:w="7926" w:type="dxa"/>
            <w:gridSpan w:val="3"/>
            <w:vAlign w:val="center"/>
          </w:tcPr>
          <w:p>
            <w:pPr>
              <w:spacing w:line="360" w:lineRule="auto"/>
              <w:jc w:val="center"/>
              <w:rPr>
                <w:rFonts w:cs="Times New Roman"/>
                <w:sz w:val="24"/>
                <w:szCs w:val="24"/>
              </w:rPr>
            </w:pPr>
            <w:r>
              <w:rPr>
                <w:rFonts w:cs="Times New Roman"/>
                <w:sz w:val="24"/>
                <w:szCs w:val="24"/>
              </w:rPr>
              <w:t>东经10</w:t>
            </w:r>
            <w:r>
              <w:rPr>
                <w:rFonts w:hint="eastAsia" w:cs="Times New Roman"/>
                <w:sz w:val="24"/>
                <w:szCs w:val="24"/>
                <w:lang w:val="en-US" w:eastAsia="zh-CN"/>
              </w:rPr>
              <w:t>7</w:t>
            </w:r>
            <w:r>
              <w:rPr>
                <w:rFonts w:cs="Times New Roman"/>
                <w:sz w:val="24"/>
                <w:szCs w:val="24"/>
              </w:rPr>
              <w:t>度</w:t>
            </w:r>
            <w:r>
              <w:rPr>
                <w:rFonts w:hint="eastAsia" w:cs="Times New Roman"/>
                <w:sz w:val="24"/>
                <w:szCs w:val="24"/>
              </w:rPr>
              <w:t>43</w:t>
            </w:r>
            <w:r>
              <w:rPr>
                <w:rFonts w:cs="Times New Roman"/>
                <w:sz w:val="24"/>
                <w:szCs w:val="24"/>
              </w:rPr>
              <w:t>分</w:t>
            </w:r>
            <w:r>
              <w:rPr>
                <w:rFonts w:hint="eastAsia" w:cs="Times New Roman"/>
                <w:sz w:val="24"/>
                <w:szCs w:val="24"/>
              </w:rPr>
              <w:t>45.03</w:t>
            </w:r>
            <w:r>
              <w:rPr>
                <w:rFonts w:hint="eastAsia" w:cs="Times New Roman"/>
                <w:sz w:val="24"/>
                <w:szCs w:val="24"/>
                <w:lang w:val="en-US" w:eastAsia="zh-CN"/>
              </w:rPr>
              <w:t>2</w:t>
            </w:r>
            <w:r>
              <w:rPr>
                <w:rFonts w:cs="Times New Roman"/>
                <w:sz w:val="24"/>
                <w:szCs w:val="24"/>
              </w:rPr>
              <w:t>秒，北纬3</w:t>
            </w:r>
            <w:r>
              <w:rPr>
                <w:rFonts w:hint="eastAsia" w:cs="Times New Roman"/>
                <w:sz w:val="24"/>
                <w:szCs w:val="24"/>
                <w:lang w:val="en-US" w:eastAsia="zh-CN"/>
              </w:rPr>
              <w:t>1</w:t>
            </w:r>
            <w:r>
              <w:rPr>
                <w:rFonts w:cs="Times New Roman"/>
                <w:sz w:val="24"/>
                <w:szCs w:val="24"/>
              </w:rPr>
              <w:t>度2</w:t>
            </w:r>
            <w:r>
              <w:rPr>
                <w:rFonts w:hint="eastAsia" w:cs="Times New Roman"/>
                <w:sz w:val="24"/>
                <w:szCs w:val="24"/>
                <w:lang w:val="en-US" w:eastAsia="zh-CN"/>
              </w:rPr>
              <w:t>2</w:t>
            </w:r>
            <w:r>
              <w:rPr>
                <w:rFonts w:cs="Times New Roman"/>
                <w:sz w:val="24"/>
                <w:szCs w:val="24"/>
              </w:rPr>
              <w:t>分</w:t>
            </w:r>
            <w:r>
              <w:rPr>
                <w:rFonts w:hint="eastAsia" w:cs="Times New Roman"/>
                <w:sz w:val="24"/>
                <w:szCs w:val="24"/>
              </w:rPr>
              <w:t>2.61</w:t>
            </w:r>
            <w:r>
              <w:rPr>
                <w:rFonts w:hint="eastAsia" w:cs="Times New Roman"/>
                <w:sz w:val="24"/>
                <w:szCs w:val="24"/>
                <w:lang w:val="en-US" w:eastAsia="zh-CN"/>
              </w:rPr>
              <w:t>6</w:t>
            </w:r>
            <w:r>
              <w:rPr>
                <w:rFonts w:cs="Times New Roman"/>
                <w:sz w:val="24"/>
                <w:szCs w:val="24"/>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44" w:type="dxa"/>
            <w:vAlign w:val="center"/>
          </w:tcPr>
          <w:p>
            <w:pPr>
              <w:spacing w:line="360" w:lineRule="auto"/>
              <w:jc w:val="center"/>
              <w:rPr>
                <w:rFonts w:cs="Times New Roman"/>
                <w:sz w:val="24"/>
                <w:szCs w:val="24"/>
              </w:rPr>
            </w:pPr>
            <w:r>
              <w:rPr>
                <w:rFonts w:hint="eastAsia" w:cs="Times New Roman"/>
                <w:sz w:val="24"/>
                <w:szCs w:val="24"/>
              </w:rPr>
              <w:t>国民经济</w:t>
            </w:r>
          </w:p>
          <w:p>
            <w:pPr>
              <w:spacing w:line="360" w:lineRule="auto"/>
              <w:jc w:val="center"/>
              <w:rPr>
                <w:rFonts w:cs="Times New Roman"/>
                <w:sz w:val="24"/>
                <w:szCs w:val="24"/>
              </w:rPr>
            </w:pPr>
            <w:r>
              <w:rPr>
                <w:rFonts w:hint="eastAsia" w:cs="Times New Roman"/>
                <w:sz w:val="24"/>
                <w:szCs w:val="24"/>
              </w:rPr>
              <w:t>行业类别</w:t>
            </w:r>
          </w:p>
        </w:tc>
        <w:tc>
          <w:tcPr>
            <w:tcW w:w="2233" w:type="dxa"/>
            <w:vAlign w:val="center"/>
          </w:tcPr>
          <w:p>
            <w:pPr>
              <w:spacing w:line="360" w:lineRule="auto"/>
              <w:jc w:val="center"/>
              <w:rPr>
                <w:rFonts w:cs="Times New Roman"/>
                <w:sz w:val="24"/>
                <w:szCs w:val="24"/>
              </w:rPr>
            </w:pPr>
            <w:r>
              <w:rPr>
                <w:rFonts w:cs="Times New Roman"/>
                <w:sz w:val="24"/>
                <w:szCs w:val="24"/>
              </w:rPr>
              <w:t>4610</w:t>
            </w:r>
            <w:r>
              <w:rPr>
                <w:rFonts w:hint="eastAsia" w:cs="Times New Roman"/>
                <w:sz w:val="24"/>
                <w:szCs w:val="24"/>
              </w:rPr>
              <w:t xml:space="preserve"> 自来水生产和供应</w:t>
            </w:r>
          </w:p>
        </w:tc>
        <w:tc>
          <w:tcPr>
            <w:tcW w:w="1818" w:type="dxa"/>
            <w:vAlign w:val="center"/>
          </w:tcPr>
          <w:p>
            <w:pPr>
              <w:spacing w:line="360" w:lineRule="auto"/>
              <w:jc w:val="center"/>
              <w:rPr>
                <w:rFonts w:cs="Times New Roman"/>
                <w:sz w:val="24"/>
                <w:szCs w:val="24"/>
              </w:rPr>
            </w:pPr>
            <w:r>
              <w:rPr>
                <w:rFonts w:hint="eastAsia" w:cs="Times New Roman"/>
                <w:sz w:val="24"/>
                <w:szCs w:val="24"/>
              </w:rPr>
              <w:t>建设项目</w:t>
            </w:r>
          </w:p>
          <w:p>
            <w:pPr>
              <w:spacing w:line="360" w:lineRule="auto"/>
              <w:jc w:val="center"/>
              <w:rPr>
                <w:rFonts w:cs="Times New Roman"/>
                <w:sz w:val="24"/>
                <w:szCs w:val="24"/>
              </w:rPr>
            </w:pPr>
            <w:r>
              <w:rPr>
                <w:rFonts w:hint="eastAsia" w:cs="Times New Roman"/>
                <w:sz w:val="24"/>
                <w:szCs w:val="24"/>
              </w:rPr>
              <w:t>行业类别</w:t>
            </w:r>
          </w:p>
        </w:tc>
        <w:tc>
          <w:tcPr>
            <w:tcW w:w="3875" w:type="dxa"/>
            <w:vAlign w:val="center"/>
          </w:tcPr>
          <w:p>
            <w:pPr>
              <w:spacing w:line="360" w:lineRule="auto"/>
              <w:jc w:val="center"/>
              <w:rPr>
                <w:rFonts w:hint="eastAsia" w:cs="Times New Roman"/>
                <w:sz w:val="24"/>
                <w:szCs w:val="24"/>
                <w:lang w:val="en-US" w:eastAsia="zh-CN"/>
              </w:rPr>
            </w:pPr>
            <w:r>
              <w:rPr>
                <w:rFonts w:hint="eastAsia" w:cs="Times New Roman"/>
                <w:sz w:val="24"/>
                <w:szCs w:val="24"/>
                <w:lang w:val="en-US" w:eastAsia="zh-CN"/>
              </w:rPr>
              <w:t>四十三、水的生产和供应业</w:t>
            </w:r>
          </w:p>
          <w:p>
            <w:pPr>
              <w:spacing w:line="360" w:lineRule="auto"/>
              <w:jc w:val="center"/>
              <w:rPr>
                <w:rFonts w:cs="Times New Roman"/>
                <w:sz w:val="24"/>
                <w:szCs w:val="24"/>
              </w:rPr>
            </w:pPr>
            <w:r>
              <w:rPr>
                <w:rFonts w:cs="Times New Roman"/>
                <w:sz w:val="24"/>
                <w:szCs w:val="24"/>
              </w:rPr>
              <w:t xml:space="preserve">94 </w:t>
            </w:r>
            <w:r>
              <w:rPr>
                <w:rFonts w:hint="eastAsia" w:cs="Times New Roman"/>
                <w:sz w:val="24"/>
                <w:szCs w:val="24"/>
              </w:rPr>
              <w:t>自来水生产和供应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1644" w:type="dxa"/>
            <w:vAlign w:val="center"/>
          </w:tcPr>
          <w:p>
            <w:pPr>
              <w:spacing w:line="360" w:lineRule="auto"/>
              <w:jc w:val="center"/>
              <w:rPr>
                <w:rFonts w:cs="Times New Roman"/>
                <w:sz w:val="24"/>
                <w:szCs w:val="24"/>
              </w:rPr>
            </w:pPr>
            <w:r>
              <w:rPr>
                <w:rFonts w:cs="Times New Roman"/>
                <w:sz w:val="24"/>
                <w:szCs w:val="24"/>
              </w:rPr>
              <w:t>建设性质</w:t>
            </w:r>
          </w:p>
        </w:tc>
        <w:tc>
          <w:tcPr>
            <w:tcW w:w="2233" w:type="dxa"/>
            <w:vAlign w:val="center"/>
          </w:tcPr>
          <w:p>
            <w:pPr>
              <w:spacing w:line="360" w:lineRule="auto"/>
              <w:rPr>
                <w:rFonts w:cs="Times New Roman"/>
                <w:sz w:val="24"/>
                <w:szCs w:val="24"/>
              </w:rPr>
            </w:pPr>
            <w:r>
              <w:rPr>
                <w:rFonts w:cs="Times New Roman"/>
                <w:sz w:val="24"/>
                <w:szCs w:val="24"/>
              </w:rPr>
              <w:sym w:font="Wingdings 2" w:char="F052"/>
            </w:r>
            <w:r>
              <w:rPr>
                <w:rFonts w:cs="Times New Roman"/>
                <w:sz w:val="24"/>
                <w:szCs w:val="24"/>
              </w:rPr>
              <w:t>新建（迁建）</w:t>
            </w:r>
          </w:p>
          <w:p>
            <w:pPr>
              <w:spacing w:line="360" w:lineRule="auto"/>
              <w:rPr>
                <w:rFonts w:cs="Times New Roman" w:asciiTheme="minorEastAsia" w:hAnsiTheme="minorEastAsia" w:eastAsiaTheme="minorEastAsia"/>
                <w:sz w:val="24"/>
                <w:szCs w:val="24"/>
              </w:rPr>
            </w:pPr>
            <w:r>
              <w:rPr>
                <w:rFonts w:cs="Times New Roman" w:asciiTheme="minorEastAsia" w:hAnsiTheme="minorEastAsia" w:eastAsiaTheme="minorEastAsia"/>
                <w:sz w:val="24"/>
                <w:szCs w:val="24"/>
              </w:rPr>
              <w:t>□改建</w:t>
            </w:r>
          </w:p>
          <w:p>
            <w:pPr>
              <w:spacing w:line="360" w:lineRule="auto"/>
              <w:rPr>
                <w:rFonts w:cs="Times New Roman" w:asciiTheme="minorEastAsia" w:hAnsiTheme="minorEastAsia" w:eastAsiaTheme="minorEastAsia"/>
                <w:sz w:val="24"/>
                <w:szCs w:val="24"/>
              </w:rPr>
            </w:pPr>
            <w:r>
              <w:rPr>
                <w:rFonts w:cs="Times New Roman" w:asciiTheme="minorEastAsia" w:hAnsiTheme="minorEastAsia" w:eastAsiaTheme="minorEastAsia"/>
                <w:sz w:val="24"/>
                <w:szCs w:val="24"/>
              </w:rPr>
              <w:t>□扩建</w:t>
            </w:r>
          </w:p>
          <w:p>
            <w:pPr>
              <w:spacing w:line="360" w:lineRule="auto"/>
              <w:rPr>
                <w:rFonts w:cs="Times New Roman"/>
                <w:sz w:val="24"/>
                <w:szCs w:val="24"/>
              </w:rPr>
            </w:pPr>
            <w:r>
              <w:rPr>
                <w:rFonts w:cs="Times New Roman" w:asciiTheme="minorEastAsia" w:hAnsiTheme="minorEastAsia" w:eastAsiaTheme="minorEastAsia"/>
                <w:sz w:val="24"/>
                <w:szCs w:val="24"/>
              </w:rPr>
              <w:t>□技术改造</w:t>
            </w:r>
          </w:p>
        </w:tc>
        <w:tc>
          <w:tcPr>
            <w:tcW w:w="1818" w:type="dxa"/>
            <w:vAlign w:val="center"/>
          </w:tcPr>
          <w:p>
            <w:pPr>
              <w:spacing w:line="360" w:lineRule="auto"/>
              <w:jc w:val="center"/>
              <w:rPr>
                <w:rFonts w:cs="Times New Roman"/>
                <w:sz w:val="24"/>
                <w:szCs w:val="24"/>
              </w:rPr>
            </w:pPr>
            <w:r>
              <w:rPr>
                <w:rFonts w:cs="Times New Roman"/>
                <w:sz w:val="24"/>
                <w:szCs w:val="24"/>
              </w:rPr>
              <w:t>建设项目</w:t>
            </w:r>
          </w:p>
          <w:p>
            <w:pPr>
              <w:spacing w:line="360" w:lineRule="auto"/>
              <w:jc w:val="center"/>
              <w:rPr>
                <w:rFonts w:cs="Times New Roman"/>
                <w:sz w:val="24"/>
                <w:szCs w:val="24"/>
              </w:rPr>
            </w:pPr>
            <w:r>
              <w:rPr>
                <w:rFonts w:cs="Times New Roman"/>
                <w:sz w:val="24"/>
                <w:szCs w:val="24"/>
              </w:rPr>
              <w:t>申报情形</w:t>
            </w:r>
          </w:p>
        </w:tc>
        <w:tc>
          <w:tcPr>
            <w:tcW w:w="3875" w:type="dxa"/>
            <w:vAlign w:val="center"/>
          </w:tcPr>
          <w:p>
            <w:pPr>
              <w:spacing w:line="360" w:lineRule="auto"/>
              <w:rPr>
                <w:rFonts w:cs="Times New Roman" w:asciiTheme="minorEastAsia" w:hAnsiTheme="minorEastAsia" w:eastAsiaTheme="minorEastAsia"/>
                <w:sz w:val="24"/>
                <w:szCs w:val="24"/>
              </w:rPr>
            </w:pPr>
            <w:r>
              <w:rPr>
                <w:rFonts w:cs="Times New Roman"/>
                <w:sz w:val="24"/>
                <w:szCs w:val="24"/>
              </w:rPr>
              <w:sym w:font="Wingdings 2" w:char="F052"/>
            </w:r>
            <w:r>
              <w:rPr>
                <w:rFonts w:cs="Times New Roman" w:asciiTheme="minorEastAsia" w:hAnsiTheme="minorEastAsia" w:eastAsiaTheme="minorEastAsia"/>
                <w:sz w:val="24"/>
                <w:szCs w:val="24"/>
              </w:rPr>
              <w:t>首次申报项目</w:t>
            </w:r>
          </w:p>
          <w:p>
            <w:pPr>
              <w:spacing w:line="360" w:lineRule="auto"/>
              <w:rPr>
                <w:rFonts w:cs="Times New Roman" w:asciiTheme="minorEastAsia" w:hAnsiTheme="minorEastAsia" w:eastAsiaTheme="minorEastAsia"/>
                <w:sz w:val="24"/>
                <w:szCs w:val="24"/>
              </w:rPr>
            </w:pPr>
            <w:r>
              <w:rPr>
                <w:rFonts w:cs="Times New Roman" w:asciiTheme="minorEastAsia" w:hAnsiTheme="minorEastAsia" w:eastAsiaTheme="minorEastAsia"/>
                <w:sz w:val="24"/>
                <w:szCs w:val="24"/>
              </w:rPr>
              <w:t>□不予批准后再次申报项目</w:t>
            </w:r>
          </w:p>
          <w:p>
            <w:pPr>
              <w:spacing w:line="360" w:lineRule="auto"/>
              <w:rPr>
                <w:rFonts w:cs="Times New Roman" w:asciiTheme="minorEastAsia" w:hAnsiTheme="minorEastAsia" w:eastAsiaTheme="minorEastAsia"/>
                <w:sz w:val="24"/>
                <w:szCs w:val="24"/>
              </w:rPr>
            </w:pPr>
            <w:r>
              <w:rPr>
                <w:rFonts w:cs="Times New Roman" w:asciiTheme="minorEastAsia" w:hAnsiTheme="minorEastAsia" w:eastAsiaTheme="minorEastAsia"/>
                <w:sz w:val="24"/>
                <w:szCs w:val="24"/>
              </w:rPr>
              <w:t>□超五年重新审核项目</w:t>
            </w:r>
          </w:p>
          <w:p>
            <w:pPr>
              <w:spacing w:line="360" w:lineRule="auto"/>
              <w:rPr>
                <w:rFonts w:cs="Times New Roman"/>
                <w:sz w:val="24"/>
                <w:szCs w:val="24"/>
              </w:rPr>
            </w:pPr>
            <w:r>
              <w:rPr>
                <w:rFonts w:cs="Times New Roman" w:asciiTheme="minorEastAsia" w:hAnsiTheme="minorEastAsia" w:eastAsiaTheme="minorEastAsia"/>
                <w:sz w:val="24"/>
                <w:szCs w:val="24"/>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1644" w:type="dxa"/>
            <w:vAlign w:val="center"/>
          </w:tcPr>
          <w:p>
            <w:pPr>
              <w:spacing w:line="360" w:lineRule="auto"/>
              <w:jc w:val="center"/>
              <w:rPr>
                <w:rFonts w:cs="Times New Roman"/>
                <w:sz w:val="24"/>
                <w:szCs w:val="24"/>
              </w:rPr>
            </w:pPr>
            <w:r>
              <w:rPr>
                <w:rFonts w:hint="eastAsia" w:cs="Times New Roman"/>
                <w:sz w:val="24"/>
                <w:szCs w:val="24"/>
              </w:rPr>
              <w:t>项目审批（核准/备案）部门（选填）</w:t>
            </w:r>
          </w:p>
        </w:tc>
        <w:tc>
          <w:tcPr>
            <w:tcW w:w="2233" w:type="dxa"/>
            <w:vAlign w:val="center"/>
          </w:tcPr>
          <w:p>
            <w:pPr>
              <w:spacing w:line="360" w:lineRule="auto"/>
              <w:jc w:val="center"/>
              <w:rPr>
                <w:rFonts w:hint="eastAsia" w:eastAsia="宋体" w:cs="Times New Roman"/>
                <w:sz w:val="24"/>
                <w:szCs w:val="24"/>
                <w:lang w:eastAsia="zh-CN"/>
              </w:rPr>
            </w:pPr>
            <w:r>
              <w:rPr>
                <w:rFonts w:hint="eastAsia" w:cs="Times New Roman"/>
                <w:sz w:val="24"/>
                <w:szCs w:val="24"/>
                <w:lang w:eastAsia="zh-CN"/>
              </w:rPr>
              <w:t>宣汉县发展和改革局</w:t>
            </w:r>
          </w:p>
        </w:tc>
        <w:tc>
          <w:tcPr>
            <w:tcW w:w="1818" w:type="dxa"/>
            <w:vAlign w:val="center"/>
          </w:tcPr>
          <w:p>
            <w:pPr>
              <w:spacing w:line="360" w:lineRule="auto"/>
              <w:jc w:val="center"/>
              <w:rPr>
                <w:rFonts w:cs="Times New Roman"/>
                <w:sz w:val="24"/>
                <w:szCs w:val="24"/>
              </w:rPr>
            </w:pPr>
            <w:r>
              <w:rPr>
                <w:rFonts w:hint="eastAsia" w:cs="Times New Roman"/>
                <w:sz w:val="24"/>
                <w:szCs w:val="24"/>
              </w:rPr>
              <w:t>项目审批（核准/备案）文号（选填）</w:t>
            </w:r>
          </w:p>
        </w:tc>
        <w:tc>
          <w:tcPr>
            <w:tcW w:w="3875" w:type="dxa"/>
            <w:vAlign w:val="center"/>
          </w:tcPr>
          <w:p>
            <w:pPr>
              <w:spacing w:line="360" w:lineRule="auto"/>
              <w:jc w:val="center"/>
              <w:rPr>
                <w:rFonts w:hint="default" w:eastAsia="宋体" w:cs="Times New Roman"/>
                <w:sz w:val="24"/>
                <w:szCs w:val="24"/>
                <w:lang w:val="en-US" w:eastAsia="zh-CN"/>
              </w:rPr>
            </w:pPr>
            <w:r>
              <w:rPr>
                <w:rFonts w:hint="eastAsia" w:cs="Times New Roman"/>
                <w:sz w:val="24"/>
                <w:szCs w:val="24"/>
                <w:lang w:val="en-US" w:eastAsia="zh-CN"/>
              </w:rPr>
              <w:t>宣发改审[2022]94号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44" w:type="dxa"/>
            <w:vAlign w:val="center"/>
          </w:tcPr>
          <w:p>
            <w:pPr>
              <w:spacing w:line="360" w:lineRule="auto"/>
              <w:jc w:val="center"/>
              <w:rPr>
                <w:rFonts w:cs="Times New Roman"/>
                <w:sz w:val="24"/>
                <w:szCs w:val="24"/>
              </w:rPr>
            </w:pPr>
            <w:r>
              <w:rPr>
                <w:rFonts w:hint="eastAsia" w:cs="Times New Roman"/>
                <w:sz w:val="24"/>
                <w:szCs w:val="24"/>
              </w:rPr>
              <w:t>总投资（万元）</w:t>
            </w:r>
          </w:p>
        </w:tc>
        <w:tc>
          <w:tcPr>
            <w:tcW w:w="2233" w:type="dxa"/>
            <w:vAlign w:val="center"/>
          </w:tcPr>
          <w:p>
            <w:pPr>
              <w:spacing w:line="360" w:lineRule="auto"/>
              <w:jc w:val="center"/>
              <w:rPr>
                <w:rFonts w:hint="eastAsia" w:eastAsia="宋体" w:cs="Times New Roman"/>
                <w:sz w:val="24"/>
                <w:szCs w:val="24"/>
                <w:lang w:eastAsia="zh-CN"/>
              </w:rPr>
            </w:pPr>
            <w:r>
              <w:rPr>
                <w:rFonts w:hint="eastAsia" w:cs="Times New Roman"/>
                <w:sz w:val="24"/>
                <w:szCs w:val="24"/>
                <w:lang w:eastAsia="zh-CN"/>
              </w:rPr>
              <w:t>23600</w:t>
            </w:r>
          </w:p>
        </w:tc>
        <w:tc>
          <w:tcPr>
            <w:tcW w:w="1818" w:type="dxa"/>
            <w:vAlign w:val="center"/>
          </w:tcPr>
          <w:p>
            <w:pPr>
              <w:spacing w:line="360" w:lineRule="auto"/>
              <w:jc w:val="center"/>
              <w:rPr>
                <w:rFonts w:cs="Times New Roman"/>
                <w:sz w:val="24"/>
                <w:szCs w:val="24"/>
              </w:rPr>
            </w:pPr>
            <w:r>
              <w:rPr>
                <w:rFonts w:hint="eastAsia" w:cs="Times New Roman"/>
                <w:sz w:val="24"/>
                <w:szCs w:val="24"/>
              </w:rPr>
              <w:t>环保投资</w:t>
            </w:r>
          </w:p>
          <w:p>
            <w:pPr>
              <w:spacing w:line="360" w:lineRule="auto"/>
              <w:jc w:val="center"/>
              <w:rPr>
                <w:rFonts w:cs="Times New Roman"/>
                <w:sz w:val="24"/>
                <w:szCs w:val="24"/>
              </w:rPr>
            </w:pPr>
            <w:r>
              <w:rPr>
                <w:rFonts w:hint="eastAsia" w:cs="Times New Roman"/>
                <w:sz w:val="24"/>
                <w:szCs w:val="24"/>
              </w:rPr>
              <w:t>（万元）</w:t>
            </w:r>
          </w:p>
        </w:tc>
        <w:tc>
          <w:tcPr>
            <w:tcW w:w="3875" w:type="dxa"/>
            <w:vAlign w:val="center"/>
          </w:tcPr>
          <w:p>
            <w:pPr>
              <w:spacing w:line="360" w:lineRule="auto"/>
              <w:jc w:val="center"/>
              <w:rPr>
                <w:rFonts w:cs="Times New Roman"/>
                <w:color w:val="auto"/>
                <w:sz w:val="24"/>
                <w:szCs w:val="24"/>
              </w:rPr>
            </w:pPr>
            <w:r>
              <w:rPr>
                <w:rFonts w:hint="eastAsia" w:cs="Times New Roman"/>
                <w:color w:val="auto"/>
                <w:sz w:val="24"/>
                <w:szCs w:val="24"/>
              </w:rPr>
              <w:t>1</w:t>
            </w:r>
            <w:r>
              <w:rPr>
                <w:rFonts w:cs="Times New Roman"/>
                <w:color w:val="auto"/>
                <w:sz w:val="24"/>
                <w:szCs w:val="24"/>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44" w:type="dxa"/>
            <w:vAlign w:val="center"/>
          </w:tcPr>
          <w:p>
            <w:pPr>
              <w:spacing w:line="360" w:lineRule="auto"/>
              <w:rPr>
                <w:rFonts w:cs="Times New Roman"/>
                <w:sz w:val="24"/>
                <w:szCs w:val="24"/>
              </w:rPr>
            </w:pPr>
            <w:r>
              <w:rPr>
                <w:rFonts w:hint="eastAsia" w:cs="Times New Roman"/>
                <w:sz w:val="24"/>
                <w:szCs w:val="24"/>
              </w:rPr>
              <w:t>环保投资占比（%）</w:t>
            </w:r>
          </w:p>
        </w:tc>
        <w:tc>
          <w:tcPr>
            <w:tcW w:w="2233" w:type="dxa"/>
            <w:vAlign w:val="center"/>
          </w:tcPr>
          <w:p>
            <w:pPr>
              <w:spacing w:line="360" w:lineRule="auto"/>
              <w:jc w:val="center"/>
              <w:rPr>
                <w:rFonts w:hint="default" w:eastAsia="宋体" w:cs="Times New Roman"/>
                <w:sz w:val="24"/>
                <w:szCs w:val="24"/>
                <w:lang w:val="en-US" w:eastAsia="zh-CN"/>
              </w:rPr>
            </w:pPr>
            <w:r>
              <w:rPr>
                <w:rFonts w:hint="eastAsia" w:cs="Times New Roman"/>
                <w:color w:val="auto"/>
                <w:sz w:val="24"/>
                <w:szCs w:val="24"/>
                <w:lang w:val="en-US" w:eastAsia="zh-CN"/>
              </w:rPr>
              <w:t>0.58</w:t>
            </w:r>
          </w:p>
        </w:tc>
        <w:tc>
          <w:tcPr>
            <w:tcW w:w="1818" w:type="dxa"/>
            <w:vAlign w:val="center"/>
          </w:tcPr>
          <w:p>
            <w:pPr>
              <w:spacing w:line="360" w:lineRule="auto"/>
              <w:jc w:val="center"/>
              <w:rPr>
                <w:rFonts w:cs="Times New Roman"/>
                <w:sz w:val="24"/>
                <w:szCs w:val="24"/>
              </w:rPr>
            </w:pPr>
            <w:r>
              <w:rPr>
                <w:rFonts w:hint="eastAsia" w:cs="Times New Roman"/>
                <w:sz w:val="24"/>
                <w:szCs w:val="24"/>
              </w:rPr>
              <w:t>施工工期</w:t>
            </w:r>
          </w:p>
        </w:tc>
        <w:tc>
          <w:tcPr>
            <w:tcW w:w="3875" w:type="dxa"/>
            <w:vAlign w:val="center"/>
          </w:tcPr>
          <w:p>
            <w:pPr>
              <w:spacing w:line="360" w:lineRule="auto"/>
              <w:jc w:val="center"/>
              <w:rPr>
                <w:rFonts w:cs="Times New Roman"/>
                <w:color w:val="auto"/>
                <w:sz w:val="24"/>
                <w:szCs w:val="24"/>
              </w:rPr>
            </w:pPr>
            <w:r>
              <w:rPr>
                <w:rFonts w:cs="Times New Roman"/>
                <w:color w:val="auto"/>
                <w:sz w:val="24"/>
                <w:szCs w:val="24"/>
              </w:rPr>
              <w:t>9个月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644" w:type="dxa"/>
            <w:vAlign w:val="center"/>
          </w:tcPr>
          <w:p>
            <w:pPr>
              <w:spacing w:line="360" w:lineRule="auto"/>
              <w:jc w:val="center"/>
              <w:rPr>
                <w:rFonts w:cs="Times New Roman"/>
                <w:sz w:val="24"/>
                <w:szCs w:val="24"/>
              </w:rPr>
            </w:pPr>
            <w:r>
              <w:rPr>
                <w:rFonts w:hint="eastAsia" w:cs="Times New Roman"/>
                <w:sz w:val="24"/>
                <w:szCs w:val="24"/>
              </w:rPr>
              <w:t>是否开工建设</w:t>
            </w:r>
          </w:p>
        </w:tc>
        <w:tc>
          <w:tcPr>
            <w:tcW w:w="2233" w:type="dxa"/>
            <w:vAlign w:val="center"/>
          </w:tcPr>
          <w:p>
            <w:pPr>
              <w:spacing w:line="360" w:lineRule="auto"/>
              <w:rPr>
                <w:rFonts w:cs="Times New Roman"/>
                <w:sz w:val="24"/>
                <w:szCs w:val="24"/>
              </w:rPr>
            </w:pPr>
            <w:r>
              <w:rPr>
                <w:rFonts w:cs="Times New Roman"/>
                <w:sz w:val="24"/>
                <w:szCs w:val="24"/>
              </w:rPr>
              <w:sym w:font="Wingdings 2" w:char="F052"/>
            </w:r>
            <w:r>
              <w:rPr>
                <w:rFonts w:hint="eastAsia" w:cs="Times New Roman"/>
                <w:sz w:val="24"/>
                <w:szCs w:val="24"/>
              </w:rPr>
              <w:t>否</w:t>
            </w:r>
          </w:p>
          <w:p>
            <w:pPr>
              <w:spacing w:line="360" w:lineRule="auto"/>
              <w:rPr>
                <w:rFonts w:cs="Times New Roman"/>
                <w:sz w:val="24"/>
                <w:szCs w:val="24"/>
                <w:u w:val="single"/>
              </w:rPr>
            </w:pPr>
            <w:r>
              <w:rPr>
                <w:rFonts w:cs="Times New Roman" w:asciiTheme="minorEastAsia" w:hAnsiTheme="minorEastAsia" w:eastAsiaTheme="minorEastAsia"/>
                <w:sz w:val="24"/>
                <w:szCs w:val="24"/>
              </w:rPr>
              <w:t>□</w:t>
            </w:r>
            <w:r>
              <w:rPr>
                <w:rFonts w:hint="eastAsia" w:cs="Times New Roman"/>
                <w:sz w:val="24"/>
                <w:szCs w:val="24"/>
              </w:rPr>
              <w:t>是：</w:t>
            </w:r>
            <w:r>
              <w:rPr>
                <w:rFonts w:hint="eastAsia" w:cs="Times New Roman"/>
                <w:sz w:val="24"/>
                <w:szCs w:val="24"/>
                <w:u w:val="single"/>
              </w:rPr>
              <w:t xml:space="preserve"> </w:t>
            </w:r>
            <w:r>
              <w:rPr>
                <w:rFonts w:cs="Times New Roman"/>
                <w:sz w:val="24"/>
                <w:szCs w:val="24"/>
                <w:u w:val="single"/>
              </w:rPr>
              <w:t xml:space="preserve">            </w:t>
            </w:r>
            <w:r>
              <w:rPr>
                <w:rFonts w:hint="eastAsia" w:cs="Times New Roman"/>
                <w:sz w:val="24"/>
                <w:szCs w:val="24"/>
                <w:u w:val="single"/>
              </w:rPr>
              <w:t xml:space="preserve"> </w:t>
            </w:r>
          </w:p>
        </w:tc>
        <w:tc>
          <w:tcPr>
            <w:tcW w:w="1818" w:type="dxa"/>
            <w:vAlign w:val="center"/>
          </w:tcPr>
          <w:p>
            <w:pPr>
              <w:spacing w:line="360" w:lineRule="auto"/>
              <w:rPr>
                <w:rFonts w:cs="Times New Roman"/>
                <w:sz w:val="24"/>
                <w:szCs w:val="24"/>
              </w:rPr>
            </w:pPr>
            <w:r>
              <w:rPr>
                <w:rFonts w:hint="eastAsia" w:cs="Times New Roman"/>
                <w:sz w:val="24"/>
                <w:szCs w:val="24"/>
              </w:rPr>
              <w:t>用地（用海）面积（m</w:t>
            </w:r>
            <w:r>
              <w:rPr>
                <w:rFonts w:hint="eastAsia" w:cs="Times New Roman"/>
                <w:sz w:val="24"/>
                <w:szCs w:val="24"/>
                <w:vertAlign w:val="superscript"/>
              </w:rPr>
              <w:t>2</w:t>
            </w:r>
            <w:r>
              <w:rPr>
                <w:rFonts w:hint="eastAsia" w:cs="Times New Roman"/>
                <w:sz w:val="24"/>
                <w:szCs w:val="24"/>
              </w:rPr>
              <w:t>）</w:t>
            </w:r>
          </w:p>
        </w:tc>
        <w:tc>
          <w:tcPr>
            <w:tcW w:w="3875" w:type="dxa"/>
            <w:vAlign w:val="center"/>
          </w:tcPr>
          <w:p>
            <w:pPr>
              <w:spacing w:line="360" w:lineRule="auto"/>
              <w:jc w:val="center"/>
              <w:rPr>
                <w:rFonts w:hint="default" w:eastAsia="宋体" w:cs="Times New Roman"/>
                <w:sz w:val="24"/>
                <w:szCs w:val="24"/>
                <w:lang w:val="en-US" w:eastAsia="zh-CN"/>
              </w:rPr>
            </w:pPr>
            <w:r>
              <w:rPr>
                <w:rFonts w:hint="eastAsia" w:cs="Times New Roman"/>
                <w:sz w:val="24"/>
                <w:szCs w:val="24"/>
                <w:lang w:val="en-US" w:eastAsia="zh-CN"/>
              </w:rPr>
              <w:t>11980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644" w:type="dxa"/>
            <w:vAlign w:val="center"/>
          </w:tcPr>
          <w:p>
            <w:pPr>
              <w:spacing w:line="360" w:lineRule="auto"/>
              <w:jc w:val="center"/>
              <w:rPr>
                <w:rFonts w:cs="Times New Roman"/>
                <w:sz w:val="24"/>
                <w:szCs w:val="24"/>
              </w:rPr>
            </w:pPr>
            <w:r>
              <w:rPr>
                <w:rFonts w:hint="eastAsia" w:cs="Times New Roman"/>
                <w:sz w:val="24"/>
                <w:szCs w:val="24"/>
              </w:rPr>
              <w:t>专项评价设置情况</w:t>
            </w:r>
          </w:p>
        </w:tc>
        <w:tc>
          <w:tcPr>
            <w:tcW w:w="7926" w:type="dxa"/>
            <w:gridSpan w:val="3"/>
            <w:vAlign w:val="center"/>
          </w:tcPr>
          <w:p>
            <w:pPr>
              <w:spacing w:line="360" w:lineRule="auto"/>
              <w:ind w:firstLine="480" w:firstLineChars="200"/>
              <w:rPr>
                <w:rFonts w:cs="Times New Roman"/>
                <w:sz w:val="24"/>
                <w:szCs w:val="24"/>
              </w:rPr>
            </w:pPr>
            <w:r>
              <w:rPr>
                <w:rFonts w:cs="Times New Roman"/>
                <w:sz w:val="24"/>
                <w:szCs w:val="24"/>
              </w:rPr>
              <w:t>根据《建设项目环境影响报告表编制技术指南（污染影响类）（试行）》，</w:t>
            </w:r>
            <w:r>
              <w:rPr>
                <w:rFonts w:hint="eastAsia" w:cs="Times New Roman"/>
                <w:sz w:val="24"/>
                <w:szCs w:val="24"/>
              </w:rPr>
              <w:t>本项目专项评价设置情况见下表</w:t>
            </w:r>
            <w:r>
              <w:rPr>
                <w:rFonts w:cs="Times New Roman"/>
                <w:sz w:val="24"/>
                <w:szCs w:val="24"/>
              </w:rPr>
              <w:t>：</w:t>
            </w:r>
          </w:p>
          <w:p>
            <w:pPr>
              <w:spacing w:line="360" w:lineRule="auto"/>
              <w:jc w:val="center"/>
              <w:rPr>
                <w:rFonts w:eastAsia="黑体" w:cs="Times New Roman"/>
                <w:szCs w:val="21"/>
              </w:rPr>
            </w:pPr>
            <w:r>
              <w:rPr>
                <w:rFonts w:eastAsia="黑体" w:cs="Times New Roman"/>
                <w:szCs w:val="21"/>
              </w:rPr>
              <w:t>表1-1  专项评价设置表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3057"/>
              <w:gridCol w:w="2752"/>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5" w:type="pct"/>
                  <w:shd w:val="clear" w:color="auto" w:fill="auto"/>
                  <w:vAlign w:val="center"/>
                </w:tcPr>
                <w:p>
                  <w:pPr>
                    <w:jc w:val="center"/>
                    <w:rPr>
                      <w:rFonts w:cs="Times New Roman"/>
                      <w:b/>
                      <w:bCs/>
                      <w:szCs w:val="21"/>
                    </w:rPr>
                  </w:pPr>
                  <w:r>
                    <w:rPr>
                      <w:rFonts w:cs="Times New Roman"/>
                      <w:b/>
                      <w:bCs/>
                      <w:szCs w:val="21"/>
                    </w:rPr>
                    <w:t>专项评价类别</w:t>
                  </w:r>
                </w:p>
              </w:tc>
              <w:tc>
                <w:tcPr>
                  <w:tcW w:w="1985" w:type="pct"/>
                  <w:vAlign w:val="center"/>
                </w:tcPr>
                <w:p>
                  <w:pPr>
                    <w:jc w:val="center"/>
                    <w:rPr>
                      <w:rFonts w:cs="Times New Roman"/>
                      <w:b/>
                      <w:bCs/>
                      <w:szCs w:val="21"/>
                    </w:rPr>
                  </w:pPr>
                  <w:r>
                    <w:rPr>
                      <w:rFonts w:cs="Times New Roman"/>
                      <w:b/>
                      <w:bCs/>
                      <w:szCs w:val="21"/>
                    </w:rPr>
                    <w:t>设置原则</w:t>
                  </w:r>
                </w:p>
              </w:tc>
              <w:tc>
                <w:tcPr>
                  <w:tcW w:w="1787" w:type="pct"/>
                  <w:vAlign w:val="center"/>
                </w:tcPr>
                <w:p>
                  <w:pPr>
                    <w:jc w:val="center"/>
                    <w:rPr>
                      <w:rFonts w:cs="Times New Roman"/>
                      <w:b/>
                      <w:bCs/>
                      <w:szCs w:val="21"/>
                    </w:rPr>
                  </w:pPr>
                  <w:r>
                    <w:rPr>
                      <w:rFonts w:cs="Times New Roman"/>
                      <w:b/>
                      <w:bCs/>
                      <w:szCs w:val="21"/>
                    </w:rPr>
                    <w:t>本项目情况</w:t>
                  </w:r>
                </w:p>
              </w:tc>
              <w:tc>
                <w:tcPr>
                  <w:tcW w:w="613" w:type="pct"/>
                  <w:vAlign w:val="center"/>
                </w:tcPr>
                <w:p>
                  <w:pPr>
                    <w:jc w:val="center"/>
                    <w:rPr>
                      <w:rFonts w:cs="Times New Roman"/>
                      <w:b/>
                      <w:bCs/>
                      <w:szCs w:val="21"/>
                    </w:rPr>
                  </w:pPr>
                  <w:r>
                    <w:rPr>
                      <w:rFonts w:cs="Times New Roman"/>
                      <w:b/>
                      <w:bCs/>
                      <w:szCs w:val="21"/>
                    </w:rPr>
                    <w:t>是否专项评价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shd w:val="clear" w:color="auto" w:fill="auto"/>
                  <w:vAlign w:val="center"/>
                </w:tcPr>
                <w:p>
                  <w:pPr>
                    <w:jc w:val="center"/>
                    <w:rPr>
                      <w:rFonts w:cs="Times New Roman"/>
                      <w:szCs w:val="21"/>
                    </w:rPr>
                  </w:pPr>
                  <w:r>
                    <w:rPr>
                      <w:rFonts w:cs="Times New Roman"/>
                      <w:szCs w:val="21"/>
                    </w:rPr>
                    <w:t>大气</w:t>
                  </w:r>
                </w:p>
              </w:tc>
              <w:tc>
                <w:tcPr>
                  <w:tcW w:w="1985" w:type="pct"/>
                  <w:vAlign w:val="center"/>
                </w:tcPr>
                <w:p>
                  <w:pPr>
                    <w:rPr>
                      <w:rFonts w:cs="Times New Roman"/>
                      <w:szCs w:val="21"/>
                    </w:rPr>
                  </w:pPr>
                  <w:r>
                    <w:rPr>
                      <w:rFonts w:cs="Times New Roman"/>
                      <w:szCs w:val="21"/>
                    </w:rPr>
                    <w:t>排放废气含有有毒有害物、二噁英、苯并[a]芘、氰化物、氯气且厂界外500米范围内有环境空气保护目标的建设项目</w:t>
                  </w:r>
                </w:p>
              </w:tc>
              <w:tc>
                <w:tcPr>
                  <w:tcW w:w="1787" w:type="pct"/>
                  <w:vAlign w:val="center"/>
                </w:tcPr>
                <w:p>
                  <w:pPr>
                    <w:rPr>
                      <w:rFonts w:cs="Times New Roman"/>
                      <w:szCs w:val="21"/>
                    </w:rPr>
                  </w:pPr>
                  <w:r>
                    <w:rPr>
                      <w:rFonts w:cs="Times New Roman"/>
                      <w:szCs w:val="21"/>
                    </w:rPr>
                    <w:t>排放废气</w:t>
                  </w:r>
                  <w:r>
                    <w:rPr>
                      <w:rFonts w:hint="eastAsia" w:cs="Times New Roman"/>
                      <w:szCs w:val="21"/>
                    </w:rPr>
                    <w:t>不涉及</w:t>
                  </w:r>
                  <w:r>
                    <w:rPr>
                      <w:rFonts w:cs="Times New Roman"/>
                      <w:szCs w:val="21"/>
                    </w:rPr>
                    <w:t>列入《有毒有害大气污染物名录（2018年）》中的</w:t>
                  </w:r>
                  <w:r>
                    <w:rPr>
                      <w:rFonts w:hint="eastAsia" w:cs="Times New Roman"/>
                      <w:szCs w:val="21"/>
                    </w:rPr>
                    <w:t>有毒有害物质</w:t>
                  </w:r>
                </w:p>
              </w:tc>
              <w:tc>
                <w:tcPr>
                  <w:tcW w:w="613" w:type="pct"/>
                  <w:vAlign w:val="center"/>
                </w:tcPr>
                <w:p>
                  <w:pPr>
                    <w:jc w:val="center"/>
                    <w:rPr>
                      <w:rFonts w:cs="Times New Roman"/>
                      <w:szCs w:val="21"/>
                    </w:rPr>
                  </w:pPr>
                  <w:r>
                    <w:rPr>
                      <w:rFonts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Merge w:val="restart"/>
                  <w:shd w:val="clear" w:color="auto" w:fill="auto"/>
                  <w:vAlign w:val="center"/>
                </w:tcPr>
                <w:p>
                  <w:pPr>
                    <w:jc w:val="center"/>
                    <w:rPr>
                      <w:rFonts w:cs="Times New Roman"/>
                      <w:szCs w:val="21"/>
                    </w:rPr>
                  </w:pPr>
                  <w:r>
                    <w:rPr>
                      <w:rFonts w:cs="Times New Roman"/>
                      <w:szCs w:val="21"/>
                    </w:rPr>
                    <w:t>地表水</w:t>
                  </w:r>
                </w:p>
              </w:tc>
              <w:tc>
                <w:tcPr>
                  <w:tcW w:w="1985" w:type="pct"/>
                  <w:vAlign w:val="center"/>
                </w:tcPr>
                <w:p>
                  <w:pPr>
                    <w:rPr>
                      <w:rFonts w:cs="Times New Roman"/>
                      <w:szCs w:val="21"/>
                    </w:rPr>
                  </w:pPr>
                  <w:r>
                    <w:rPr>
                      <w:rFonts w:cs="Times New Roman"/>
                      <w:szCs w:val="21"/>
                    </w:rPr>
                    <w:t>新增工业废水直排建设项目（槽罐车外送污水处理厂的除外）</w:t>
                  </w:r>
                </w:p>
              </w:tc>
              <w:tc>
                <w:tcPr>
                  <w:tcW w:w="1787" w:type="pct"/>
                  <w:vMerge w:val="restart"/>
                  <w:vAlign w:val="center"/>
                </w:tcPr>
                <w:p>
                  <w:pPr>
                    <w:rPr>
                      <w:rFonts w:cs="Times New Roman"/>
                      <w:szCs w:val="21"/>
                    </w:rPr>
                  </w:pPr>
                  <w:r>
                    <w:rPr>
                      <w:rFonts w:cs="Times New Roman"/>
                      <w:szCs w:val="21"/>
                    </w:rPr>
                    <w:t>废水经预处理后排入</w:t>
                  </w:r>
                  <w:r>
                    <w:rPr>
                      <w:rFonts w:hint="eastAsia" w:cs="Times New Roman"/>
                      <w:szCs w:val="21"/>
                    </w:rPr>
                    <w:t>市政</w:t>
                  </w:r>
                  <w:r>
                    <w:rPr>
                      <w:rFonts w:cs="Times New Roman"/>
                      <w:szCs w:val="21"/>
                    </w:rPr>
                    <w:t>污</w:t>
                  </w:r>
                  <w:r>
                    <w:rPr>
                      <w:rFonts w:cs="Times New Roman"/>
                      <w:color w:val="auto"/>
                      <w:szCs w:val="21"/>
                    </w:rPr>
                    <w:t>水管网，经</w:t>
                  </w:r>
                  <w:r>
                    <w:rPr>
                      <w:rFonts w:hint="eastAsia" w:cs="Times New Roman"/>
                      <w:color w:val="auto"/>
                      <w:szCs w:val="21"/>
                      <w:lang w:eastAsia="zh-CN"/>
                    </w:rPr>
                    <w:t>宣汉县城市生活污水处理厂</w:t>
                  </w:r>
                  <w:r>
                    <w:rPr>
                      <w:rFonts w:hint="eastAsia" w:cs="Times New Roman"/>
                      <w:color w:val="auto"/>
                      <w:szCs w:val="21"/>
                    </w:rPr>
                    <w:t>处理后排入</w:t>
                  </w:r>
                  <w:r>
                    <w:rPr>
                      <w:rFonts w:hint="eastAsia" w:cs="Times New Roman"/>
                      <w:color w:val="auto"/>
                      <w:szCs w:val="21"/>
                      <w:lang w:eastAsia="zh-CN"/>
                    </w:rPr>
                    <w:t>后河</w:t>
                  </w:r>
                  <w:r>
                    <w:rPr>
                      <w:rFonts w:hint="eastAsia" w:cs="Times New Roman"/>
                      <w:color w:val="auto"/>
                      <w:szCs w:val="21"/>
                    </w:rPr>
                    <w:t>，项目排放方式为</w:t>
                  </w:r>
                  <w:r>
                    <w:rPr>
                      <w:rFonts w:cs="Times New Roman"/>
                      <w:color w:val="auto"/>
                      <w:szCs w:val="21"/>
                    </w:rPr>
                    <w:t>间接排放</w:t>
                  </w:r>
                </w:p>
              </w:tc>
              <w:tc>
                <w:tcPr>
                  <w:tcW w:w="613" w:type="pct"/>
                  <w:vMerge w:val="restart"/>
                  <w:vAlign w:val="center"/>
                </w:tcPr>
                <w:p>
                  <w:pPr>
                    <w:jc w:val="center"/>
                    <w:rPr>
                      <w:rFonts w:cs="Times New Roman"/>
                      <w:szCs w:val="21"/>
                    </w:rPr>
                  </w:pPr>
                  <w:r>
                    <w:rPr>
                      <w:rFonts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Merge w:val="continue"/>
                  <w:shd w:val="clear" w:color="auto" w:fill="auto"/>
                  <w:vAlign w:val="center"/>
                </w:tcPr>
                <w:p>
                  <w:pPr>
                    <w:jc w:val="center"/>
                    <w:rPr>
                      <w:rFonts w:cs="Times New Roman"/>
                      <w:szCs w:val="21"/>
                    </w:rPr>
                  </w:pPr>
                </w:p>
              </w:tc>
              <w:tc>
                <w:tcPr>
                  <w:tcW w:w="1985" w:type="pct"/>
                  <w:vAlign w:val="center"/>
                </w:tcPr>
                <w:p>
                  <w:pPr>
                    <w:rPr>
                      <w:rFonts w:cs="Times New Roman"/>
                      <w:szCs w:val="21"/>
                    </w:rPr>
                  </w:pPr>
                  <w:r>
                    <w:rPr>
                      <w:rFonts w:cs="Times New Roman"/>
                      <w:szCs w:val="21"/>
                    </w:rPr>
                    <w:t>新增废水直接排放的污水集中处理厂</w:t>
                  </w:r>
                </w:p>
              </w:tc>
              <w:tc>
                <w:tcPr>
                  <w:tcW w:w="1787" w:type="pct"/>
                  <w:vMerge w:val="continue"/>
                  <w:vAlign w:val="center"/>
                </w:tcPr>
                <w:p>
                  <w:pPr>
                    <w:rPr>
                      <w:rFonts w:cs="Times New Roman"/>
                      <w:szCs w:val="21"/>
                    </w:rPr>
                  </w:pPr>
                </w:p>
              </w:tc>
              <w:tc>
                <w:tcPr>
                  <w:tcW w:w="613" w:type="pct"/>
                  <w:vMerge w:val="continue"/>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shd w:val="clear" w:color="auto" w:fill="auto"/>
                  <w:vAlign w:val="center"/>
                </w:tcPr>
                <w:p>
                  <w:pPr>
                    <w:jc w:val="center"/>
                    <w:rPr>
                      <w:rFonts w:cs="Times New Roman"/>
                      <w:szCs w:val="21"/>
                    </w:rPr>
                  </w:pPr>
                  <w:r>
                    <w:rPr>
                      <w:rFonts w:cs="Times New Roman"/>
                      <w:szCs w:val="21"/>
                    </w:rPr>
                    <w:t>环境风险</w:t>
                  </w:r>
                </w:p>
              </w:tc>
              <w:tc>
                <w:tcPr>
                  <w:tcW w:w="1985" w:type="pct"/>
                  <w:vAlign w:val="center"/>
                </w:tcPr>
                <w:p>
                  <w:pPr>
                    <w:rPr>
                      <w:rFonts w:cs="Times New Roman"/>
                      <w:szCs w:val="21"/>
                    </w:rPr>
                  </w:pPr>
                  <w:r>
                    <w:rPr>
                      <w:rFonts w:cs="Times New Roman"/>
                      <w:szCs w:val="21"/>
                    </w:rPr>
                    <w:t>有毒有害和易燃易爆危险物质存储量超过临界量的建设项目</w:t>
                  </w:r>
                </w:p>
              </w:tc>
              <w:tc>
                <w:tcPr>
                  <w:tcW w:w="1787" w:type="pct"/>
                  <w:vAlign w:val="center"/>
                </w:tcPr>
                <w:p>
                  <w:pPr>
                    <w:rPr>
                      <w:rFonts w:cs="Times New Roman"/>
                      <w:szCs w:val="21"/>
                    </w:rPr>
                  </w:pPr>
                  <w:r>
                    <w:rPr>
                      <w:rFonts w:cs="Times New Roman"/>
                      <w:szCs w:val="21"/>
                    </w:rPr>
                    <w:t>危险物质存储量未超过临界量</w:t>
                  </w:r>
                </w:p>
              </w:tc>
              <w:tc>
                <w:tcPr>
                  <w:tcW w:w="613" w:type="pct"/>
                  <w:vAlign w:val="center"/>
                </w:tcPr>
                <w:p>
                  <w:pPr>
                    <w:jc w:val="center"/>
                    <w:rPr>
                      <w:rFonts w:cs="Times New Roman"/>
                      <w:szCs w:val="21"/>
                    </w:rPr>
                  </w:pPr>
                  <w:r>
                    <w:rPr>
                      <w:rFonts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shd w:val="clear" w:color="auto" w:fill="auto"/>
                  <w:vAlign w:val="center"/>
                </w:tcPr>
                <w:p>
                  <w:pPr>
                    <w:jc w:val="center"/>
                    <w:rPr>
                      <w:rFonts w:cs="Times New Roman"/>
                      <w:szCs w:val="21"/>
                    </w:rPr>
                  </w:pPr>
                  <w:r>
                    <w:rPr>
                      <w:rFonts w:cs="Times New Roman"/>
                      <w:szCs w:val="21"/>
                    </w:rPr>
                    <w:t>生态</w:t>
                  </w:r>
                </w:p>
              </w:tc>
              <w:tc>
                <w:tcPr>
                  <w:tcW w:w="1985" w:type="pct"/>
                  <w:vAlign w:val="center"/>
                </w:tcPr>
                <w:p>
                  <w:pPr>
                    <w:rPr>
                      <w:rFonts w:cs="Times New Roman"/>
                      <w:color w:val="auto"/>
                      <w:szCs w:val="21"/>
                    </w:rPr>
                  </w:pPr>
                  <w:r>
                    <w:rPr>
                      <w:rFonts w:cs="Times New Roman"/>
                      <w:color w:val="auto"/>
                      <w:szCs w:val="21"/>
                    </w:rPr>
                    <w:t>取水口下游500米范围内有重要水生生物的自然产卵场、索饵场、越冬场和洄游通道的新增河道取水的污染类建设项目</w:t>
                  </w:r>
                </w:p>
              </w:tc>
              <w:tc>
                <w:tcPr>
                  <w:tcW w:w="1787" w:type="pct"/>
                  <w:vAlign w:val="center"/>
                </w:tcPr>
                <w:p>
                  <w:pPr>
                    <w:rPr>
                      <w:rFonts w:cs="Times New Roman"/>
                      <w:color w:val="auto"/>
                      <w:szCs w:val="21"/>
                    </w:rPr>
                  </w:pPr>
                  <w:r>
                    <w:rPr>
                      <w:rFonts w:hint="eastAsia" w:cs="Times New Roman"/>
                      <w:color w:val="auto"/>
                      <w:szCs w:val="21"/>
                    </w:rPr>
                    <w:t>项目</w:t>
                  </w:r>
                  <w:r>
                    <w:rPr>
                      <w:rFonts w:cs="Times New Roman"/>
                      <w:color w:val="auto"/>
                      <w:szCs w:val="21"/>
                    </w:rPr>
                    <w:t>取水从</w:t>
                  </w:r>
                  <w:r>
                    <w:rPr>
                      <w:rFonts w:hint="eastAsia" w:cs="Times New Roman"/>
                      <w:color w:val="auto"/>
                      <w:szCs w:val="21"/>
                      <w:lang w:eastAsia="zh-CN"/>
                    </w:rPr>
                    <w:t>徐家坡水厂DN700</w:t>
                  </w:r>
                  <w:r>
                    <w:rPr>
                      <w:rFonts w:cs="Times New Roman"/>
                      <w:color w:val="auto"/>
                      <w:szCs w:val="21"/>
                    </w:rPr>
                    <w:t>原水输水管道取水，不</w:t>
                  </w:r>
                  <w:r>
                    <w:rPr>
                      <w:rFonts w:hint="eastAsia" w:cs="Times New Roman"/>
                      <w:color w:val="auto"/>
                      <w:szCs w:val="21"/>
                    </w:rPr>
                    <w:t>新建</w:t>
                  </w:r>
                  <w:r>
                    <w:rPr>
                      <w:rFonts w:cs="Times New Roman"/>
                      <w:color w:val="auto"/>
                      <w:szCs w:val="21"/>
                    </w:rPr>
                    <w:t>取水口</w:t>
                  </w:r>
                </w:p>
              </w:tc>
              <w:tc>
                <w:tcPr>
                  <w:tcW w:w="613" w:type="pct"/>
                  <w:vAlign w:val="center"/>
                </w:tcPr>
                <w:p>
                  <w:pPr>
                    <w:jc w:val="center"/>
                    <w:rPr>
                      <w:rFonts w:cs="Times New Roman"/>
                      <w:szCs w:val="21"/>
                    </w:rPr>
                  </w:pPr>
                  <w:r>
                    <w:rPr>
                      <w:rFonts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shd w:val="clear" w:color="auto" w:fill="auto"/>
                  <w:vAlign w:val="center"/>
                </w:tcPr>
                <w:p>
                  <w:pPr>
                    <w:jc w:val="center"/>
                    <w:rPr>
                      <w:rFonts w:cs="Times New Roman"/>
                      <w:szCs w:val="21"/>
                    </w:rPr>
                  </w:pPr>
                  <w:r>
                    <w:rPr>
                      <w:rFonts w:cs="Times New Roman"/>
                      <w:szCs w:val="21"/>
                    </w:rPr>
                    <w:t>海洋</w:t>
                  </w:r>
                </w:p>
              </w:tc>
              <w:tc>
                <w:tcPr>
                  <w:tcW w:w="1985" w:type="pct"/>
                  <w:vAlign w:val="center"/>
                </w:tcPr>
                <w:p>
                  <w:pPr>
                    <w:rPr>
                      <w:rFonts w:cs="Times New Roman"/>
                      <w:szCs w:val="21"/>
                    </w:rPr>
                  </w:pPr>
                  <w:r>
                    <w:rPr>
                      <w:rFonts w:cs="Times New Roman"/>
                      <w:szCs w:val="21"/>
                    </w:rPr>
                    <w:t>直接向海排放污染物的海洋工程建设项目</w:t>
                  </w:r>
                </w:p>
              </w:tc>
              <w:tc>
                <w:tcPr>
                  <w:tcW w:w="1787" w:type="pct"/>
                  <w:vAlign w:val="center"/>
                </w:tcPr>
                <w:p>
                  <w:pPr>
                    <w:rPr>
                      <w:rFonts w:cs="Times New Roman"/>
                      <w:szCs w:val="21"/>
                    </w:rPr>
                  </w:pPr>
                  <w:r>
                    <w:rPr>
                      <w:rFonts w:cs="Times New Roman"/>
                      <w:szCs w:val="21"/>
                    </w:rPr>
                    <w:t>不涉及</w:t>
                  </w:r>
                </w:p>
              </w:tc>
              <w:tc>
                <w:tcPr>
                  <w:tcW w:w="613" w:type="pct"/>
                  <w:vAlign w:val="center"/>
                </w:tcPr>
                <w:p>
                  <w:pPr>
                    <w:jc w:val="center"/>
                    <w:rPr>
                      <w:rFonts w:cs="Times New Roman"/>
                      <w:szCs w:val="21"/>
                    </w:rPr>
                  </w:pPr>
                  <w:r>
                    <w:rPr>
                      <w:rFonts w:cs="Times New Roman"/>
                      <w:szCs w:val="21"/>
                    </w:rPr>
                    <w:t>否</w:t>
                  </w:r>
                </w:p>
              </w:tc>
            </w:tr>
          </w:tbl>
          <w:p>
            <w:pPr>
              <w:spacing w:line="360" w:lineRule="auto"/>
              <w:ind w:firstLine="480" w:firstLineChars="200"/>
              <w:rPr>
                <w:rFonts w:cs="Times New Roman"/>
                <w:sz w:val="24"/>
                <w:szCs w:val="24"/>
              </w:rPr>
            </w:pPr>
            <w:r>
              <w:rPr>
                <w:rFonts w:cs="Times New Roman"/>
                <w:sz w:val="24"/>
                <w:szCs w:val="24"/>
              </w:rPr>
              <w:t>因此，本项目不需开展专项评价工作。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44" w:type="dxa"/>
            <w:vAlign w:val="center"/>
          </w:tcPr>
          <w:p>
            <w:pPr>
              <w:spacing w:line="360" w:lineRule="auto"/>
              <w:jc w:val="center"/>
              <w:rPr>
                <w:rFonts w:cs="Times New Roman"/>
                <w:sz w:val="24"/>
                <w:szCs w:val="24"/>
              </w:rPr>
            </w:pPr>
            <w:r>
              <w:rPr>
                <w:rFonts w:hint="eastAsia" w:cs="Times New Roman"/>
                <w:sz w:val="24"/>
                <w:szCs w:val="24"/>
              </w:rPr>
              <w:t>规划情况</w:t>
            </w:r>
          </w:p>
        </w:tc>
        <w:tc>
          <w:tcPr>
            <w:tcW w:w="7926" w:type="dxa"/>
            <w:gridSpan w:val="3"/>
            <w:vAlign w:val="center"/>
          </w:tcPr>
          <w:p>
            <w:pPr>
              <w:spacing w:line="360" w:lineRule="auto"/>
              <w:ind w:firstLine="480" w:firstLineChars="200"/>
              <w:rPr>
                <w:rFonts w:hint="default" w:eastAsia="宋体" w:cs="Times New Roman"/>
                <w:sz w:val="24"/>
                <w:szCs w:val="24"/>
                <w:lang w:val="en-US" w:eastAsia="zh-CN"/>
              </w:rPr>
            </w:pPr>
            <w:r>
              <w:rPr>
                <w:rFonts w:hint="eastAsia" w:cs="Times New Roman"/>
                <w:sz w:val="24"/>
                <w:szCs w:val="24"/>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44" w:type="dxa"/>
            <w:vAlign w:val="center"/>
          </w:tcPr>
          <w:p>
            <w:pPr>
              <w:spacing w:line="360" w:lineRule="auto"/>
              <w:jc w:val="center"/>
              <w:rPr>
                <w:rFonts w:cs="Times New Roman"/>
                <w:sz w:val="24"/>
                <w:szCs w:val="24"/>
                <w:highlight w:val="yellow"/>
              </w:rPr>
            </w:pPr>
            <w:r>
              <w:rPr>
                <w:rFonts w:hint="eastAsia" w:cs="Times New Roman"/>
                <w:sz w:val="24"/>
                <w:szCs w:val="24"/>
              </w:rPr>
              <w:t>规划环境影响评价情况</w:t>
            </w:r>
          </w:p>
        </w:tc>
        <w:tc>
          <w:tcPr>
            <w:tcW w:w="7926" w:type="dxa"/>
            <w:gridSpan w:val="3"/>
            <w:vAlign w:val="center"/>
          </w:tcPr>
          <w:p>
            <w:pPr>
              <w:spacing w:line="360" w:lineRule="auto"/>
              <w:ind w:firstLine="480" w:firstLineChars="200"/>
              <w:rPr>
                <w:rFonts w:cs="Times New Roman"/>
                <w:sz w:val="24"/>
                <w:szCs w:val="24"/>
                <w:highlight w:val="yellow"/>
              </w:rPr>
            </w:pPr>
            <w:r>
              <w:rPr>
                <w:rFonts w:hint="eastAsia" w:cs="Times New Roman"/>
                <w:sz w:val="24"/>
                <w:szCs w:val="24"/>
              </w:rPr>
              <w:t>无</w:t>
            </w:r>
            <w:r>
              <w:rPr>
                <w:rFonts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44" w:type="dxa"/>
            <w:vAlign w:val="center"/>
          </w:tcPr>
          <w:p>
            <w:pPr>
              <w:spacing w:line="360" w:lineRule="auto"/>
              <w:jc w:val="center"/>
              <w:rPr>
                <w:rFonts w:cs="Times New Roman"/>
                <w:color w:val="auto"/>
                <w:sz w:val="24"/>
                <w:szCs w:val="24"/>
              </w:rPr>
            </w:pPr>
            <w:r>
              <w:rPr>
                <w:rFonts w:hint="eastAsia" w:cs="Times New Roman"/>
                <w:color w:val="auto"/>
                <w:sz w:val="24"/>
                <w:szCs w:val="24"/>
              </w:rPr>
              <w:t>规划及规划环境影响评价符合性分析</w:t>
            </w:r>
          </w:p>
        </w:tc>
        <w:tc>
          <w:tcPr>
            <w:tcW w:w="7926" w:type="dxa"/>
            <w:gridSpan w:val="3"/>
            <w:vAlign w:val="center"/>
          </w:tcPr>
          <w:p>
            <w:pPr>
              <w:spacing w:line="360" w:lineRule="auto"/>
              <w:ind w:firstLine="480" w:firstLineChars="200"/>
              <w:rPr>
                <w:rFonts w:hint="eastAsia" w:eastAsia="宋体" w:cs="Times New Roman"/>
                <w:color w:val="auto"/>
                <w:sz w:val="24"/>
                <w:szCs w:val="24"/>
                <w:lang w:eastAsia="zh-CN"/>
              </w:rPr>
            </w:pPr>
            <w:r>
              <w:rPr>
                <w:rFonts w:hint="eastAsia" w:cs="Times New Roman"/>
                <w:color w:val="auto"/>
                <w:sz w:val="24"/>
                <w:szCs w:val="24"/>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44" w:type="dxa"/>
            <w:vAlign w:val="center"/>
          </w:tcPr>
          <w:p>
            <w:pPr>
              <w:spacing w:line="360" w:lineRule="auto"/>
              <w:jc w:val="center"/>
              <w:rPr>
                <w:rFonts w:cs="Times New Roman"/>
                <w:sz w:val="24"/>
                <w:szCs w:val="24"/>
              </w:rPr>
            </w:pPr>
            <w:r>
              <w:rPr>
                <w:rFonts w:hint="eastAsia" w:cs="Times New Roman"/>
                <w:sz w:val="24"/>
                <w:szCs w:val="24"/>
              </w:rPr>
              <w:t>其他符合性分析</w:t>
            </w:r>
          </w:p>
        </w:tc>
        <w:tc>
          <w:tcPr>
            <w:tcW w:w="7926" w:type="dxa"/>
            <w:gridSpan w:val="3"/>
            <w:vAlign w:val="center"/>
          </w:tcPr>
          <w:p>
            <w:pPr>
              <w:spacing w:line="360" w:lineRule="auto"/>
              <w:ind w:firstLine="482" w:firstLineChars="200"/>
              <w:rPr>
                <w:rFonts w:cs="Times New Roman"/>
                <w:b/>
                <w:sz w:val="24"/>
                <w:szCs w:val="24"/>
              </w:rPr>
            </w:pPr>
            <w:r>
              <w:rPr>
                <w:rFonts w:hint="eastAsia" w:cs="Times New Roman"/>
                <w:b/>
                <w:sz w:val="24"/>
                <w:szCs w:val="24"/>
              </w:rPr>
              <w:t>1、产业政策符合性</w:t>
            </w:r>
          </w:p>
          <w:p>
            <w:pPr>
              <w:spacing w:line="360" w:lineRule="auto"/>
              <w:ind w:firstLine="480" w:firstLineChars="200"/>
              <w:rPr>
                <w:rFonts w:cstheme="minorHAnsi"/>
                <w:sz w:val="24"/>
                <w:szCs w:val="24"/>
              </w:rPr>
            </w:pPr>
            <w:r>
              <w:rPr>
                <w:bCs/>
                <w:sz w:val="24"/>
              </w:rPr>
              <w:t>本项目</w:t>
            </w:r>
            <w:r>
              <w:rPr>
                <w:rFonts w:hint="eastAsia"/>
                <w:bCs/>
                <w:sz w:val="24"/>
              </w:rPr>
              <w:t>为自来水生产与供应</w:t>
            </w:r>
            <w:r>
              <w:rPr>
                <w:sz w:val="24"/>
              </w:rPr>
              <w:t>，</w:t>
            </w:r>
            <w:r>
              <w:rPr>
                <w:rFonts w:hint="eastAsia" w:cs="Times New Roman"/>
                <w:sz w:val="24"/>
                <w:szCs w:val="24"/>
              </w:rPr>
              <w:t>属国家发展和改革委员会第</w:t>
            </w:r>
            <w:r>
              <w:rPr>
                <w:rFonts w:cs="Times New Roman"/>
                <w:sz w:val="24"/>
                <w:szCs w:val="24"/>
              </w:rPr>
              <w:t>29</w:t>
            </w:r>
            <w:r>
              <w:rPr>
                <w:rFonts w:hint="eastAsia" w:cs="Times New Roman"/>
                <w:sz w:val="24"/>
                <w:szCs w:val="24"/>
              </w:rPr>
              <w:t>号令《产业结构调整指导目录（201</w:t>
            </w:r>
            <w:r>
              <w:rPr>
                <w:rFonts w:cs="Times New Roman"/>
                <w:sz w:val="24"/>
                <w:szCs w:val="24"/>
              </w:rPr>
              <w:t>9</w:t>
            </w:r>
            <w:r>
              <w:rPr>
                <w:rFonts w:hint="eastAsia" w:cs="Times New Roman"/>
                <w:sz w:val="24"/>
                <w:szCs w:val="24"/>
              </w:rPr>
              <w:t>年本）》中“</w:t>
            </w:r>
            <w:r>
              <w:rPr>
                <w:rFonts w:hint="eastAsia" w:cs="Times New Roman"/>
                <w:i/>
                <w:sz w:val="24"/>
                <w:szCs w:val="24"/>
              </w:rPr>
              <w:t>第一类 鼓励类/二十二、城市基础设施/</w:t>
            </w:r>
            <w:r>
              <w:rPr>
                <w:rFonts w:cs="Times New Roman"/>
                <w:i/>
                <w:sz w:val="24"/>
                <w:szCs w:val="24"/>
              </w:rPr>
              <w:t>7、</w:t>
            </w:r>
            <w:r>
              <w:rPr>
                <w:rFonts w:hint="eastAsia" w:cs="Times New Roman"/>
                <w:i/>
                <w:sz w:val="24"/>
                <w:szCs w:val="24"/>
              </w:rPr>
              <w:t>城镇安全饮水工程、供水水源及净水厂工程</w:t>
            </w:r>
            <w:r>
              <w:rPr>
                <w:rFonts w:ascii="宋体" w:hAnsi="宋体" w:cs="Times New Roman"/>
                <w:sz w:val="24"/>
                <w:szCs w:val="24"/>
              </w:rPr>
              <w:t>”</w:t>
            </w:r>
            <w:r>
              <w:rPr>
                <w:rFonts w:hint="eastAsia" w:cs="Times New Roman"/>
                <w:sz w:val="24"/>
                <w:szCs w:val="24"/>
              </w:rPr>
              <w:t>，符合国家现行产业政策</w:t>
            </w:r>
            <w:r>
              <w:rPr>
                <w:rFonts w:cstheme="minorHAnsi"/>
                <w:sz w:val="24"/>
                <w:szCs w:val="24"/>
              </w:rPr>
              <w:t>。</w:t>
            </w:r>
            <w:r>
              <w:rPr>
                <w:rFonts w:cstheme="minorHAnsi"/>
                <w:kern w:val="24"/>
                <w:sz w:val="24"/>
                <w:szCs w:val="20"/>
              </w:rPr>
              <w:t>同时，</w:t>
            </w:r>
            <w:r>
              <w:rPr>
                <w:rFonts w:hint="eastAsia" w:cstheme="minorHAnsi"/>
                <w:kern w:val="24"/>
                <w:sz w:val="24"/>
                <w:szCs w:val="20"/>
                <w:lang w:val="en-US" w:eastAsia="zh-CN"/>
              </w:rPr>
              <w:t>项目</w:t>
            </w:r>
            <w:r>
              <w:rPr>
                <w:rFonts w:hint="eastAsia" w:cstheme="minorHAnsi"/>
                <w:kern w:val="24"/>
                <w:sz w:val="24"/>
                <w:szCs w:val="20"/>
              </w:rPr>
              <w:t>于20</w:t>
            </w:r>
            <w:r>
              <w:rPr>
                <w:rFonts w:cstheme="minorHAnsi"/>
                <w:kern w:val="24"/>
                <w:sz w:val="24"/>
                <w:szCs w:val="20"/>
              </w:rPr>
              <w:t>22</w:t>
            </w:r>
            <w:r>
              <w:rPr>
                <w:rFonts w:hint="eastAsia" w:cstheme="minorHAnsi"/>
                <w:kern w:val="24"/>
                <w:sz w:val="24"/>
                <w:szCs w:val="20"/>
              </w:rPr>
              <w:t>年</w:t>
            </w:r>
            <w:r>
              <w:rPr>
                <w:rFonts w:hint="eastAsia" w:cstheme="minorHAnsi"/>
                <w:kern w:val="24"/>
                <w:sz w:val="24"/>
                <w:szCs w:val="20"/>
                <w:lang w:val="en-US" w:eastAsia="zh-CN"/>
              </w:rPr>
              <w:t>2</w:t>
            </w:r>
            <w:r>
              <w:rPr>
                <w:rFonts w:hint="eastAsia" w:cstheme="minorHAnsi"/>
                <w:kern w:val="24"/>
                <w:sz w:val="24"/>
                <w:szCs w:val="20"/>
              </w:rPr>
              <w:t>月</w:t>
            </w:r>
            <w:r>
              <w:rPr>
                <w:rFonts w:hint="eastAsia" w:cstheme="minorHAnsi"/>
                <w:kern w:val="24"/>
                <w:sz w:val="24"/>
                <w:szCs w:val="20"/>
                <w:lang w:val="en-US" w:eastAsia="zh-CN"/>
              </w:rPr>
              <w:t>取得了</w:t>
            </w:r>
            <w:r>
              <w:rPr>
                <w:rFonts w:hint="eastAsia" w:cstheme="minorHAnsi"/>
                <w:kern w:val="24"/>
                <w:sz w:val="24"/>
                <w:szCs w:val="20"/>
                <w:lang w:eastAsia="zh-CN"/>
              </w:rPr>
              <w:t>宣汉县发展和改革局</w:t>
            </w:r>
            <w:r>
              <w:rPr>
                <w:rFonts w:hint="eastAsia" w:cstheme="minorHAnsi"/>
                <w:kern w:val="24"/>
                <w:sz w:val="24"/>
                <w:szCs w:val="20"/>
                <w:lang w:val="en-US" w:eastAsia="zh-CN"/>
              </w:rPr>
              <w:t>出具的“关于宣汉县城（明月坝）供水工程可行性研究报告的批复”</w:t>
            </w:r>
            <w:r>
              <w:rPr>
                <w:rFonts w:cstheme="minorHAnsi"/>
                <w:kern w:val="24"/>
                <w:sz w:val="24"/>
                <w:szCs w:val="20"/>
              </w:rPr>
              <w:t>（</w:t>
            </w:r>
            <w:r>
              <w:rPr>
                <w:rFonts w:hint="eastAsia" w:cstheme="minorHAnsi"/>
                <w:kern w:val="24"/>
                <w:sz w:val="24"/>
                <w:szCs w:val="20"/>
                <w:lang w:val="en-US" w:eastAsia="zh-CN"/>
              </w:rPr>
              <w:t>宣发改审[2022]94号</w:t>
            </w:r>
            <w:r>
              <w:rPr>
                <w:rFonts w:cstheme="minorHAnsi"/>
                <w:kern w:val="24"/>
                <w:sz w:val="24"/>
                <w:szCs w:val="20"/>
              </w:rPr>
              <w:t>）。</w:t>
            </w:r>
          </w:p>
          <w:p>
            <w:pPr>
              <w:spacing w:line="360" w:lineRule="auto"/>
              <w:ind w:firstLine="480" w:firstLineChars="200"/>
              <w:rPr>
                <w:rFonts w:cstheme="minorHAnsi"/>
                <w:sz w:val="24"/>
                <w:szCs w:val="24"/>
              </w:rPr>
            </w:pPr>
            <w:r>
              <w:rPr>
                <w:rFonts w:cstheme="minorHAnsi"/>
                <w:sz w:val="24"/>
                <w:szCs w:val="24"/>
              </w:rPr>
              <w:t>因此，本项目符合国家现行产业政策。</w:t>
            </w:r>
          </w:p>
          <w:p>
            <w:pPr>
              <w:spacing w:line="360" w:lineRule="auto"/>
              <w:ind w:firstLine="482" w:firstLineChars="200"/>
              <w:rPr>
                <w:rFonts w:cstheme="minorHAnsi"/>
                <w:sz w:val="24"/>
                <w:szCs w:val="24"/>
              </w:rPr>
            </w:pPr>
            <w:r>
              <w:rPr>
                <w:rFonts w:cs="Times New Roman"/>
                <w:b/>
                <w:sz w:val="24"/>
                <w:szCs w:val="24"/>
              </w:rPr>
              <w:t>2</w:t>
            </w:r>
            <w:r>
              <w:rPr>
                <w:rFonts w:hint="eastAsia" w:cs="Times New Roman"/>
                <w:b/>
                <w:sz w:val="24"/>
                <w:szCs w:val="24"/>
              </w:rPr>
              <w:t>、与“三线一单”符合性</w:t>
            </w:r>
          </w:p>
          <w:p>
            <w:pPr>
              <w:adjustRightInd w:val="0"/>
              <w:spacing w:line="360" w:lineRule="auto"/>
              <w:ind w:firstLine="480" w:firstLineChars="200"/>
              <w:textAlignment w:val="baseline"/>
              <w:rPr>
                <w:rFonts w:hint="eastAsia"/>
                <w:sz w:val="24"/>
              </w:rPr>
            </w:pPr>
            <w:r>
              <w:rPr>
                <w:rFonts w:hint="eastAsia"/>
                <w:sz w:val="24"/>
              </w:rPr>
              <w:t>根据四川省生态环境厅办公室《关于印发&lt;产业园区规划环评“三线一单”符合性分析技术要点（试行）&gt;和&lt;项目环评“三线一单”符合性分析技术要点（试行）&gt;的通知》（川环办函〔2021〕469号），本项目与“三线一单”符合性分析如下：</w:t>
            </w:r>
          </w:p>
          <w:p>
            <w:pPr>
              <w:spacing w:line="360" w:lineRule="auto"/>
              <w:ind w:firstLine="482" w:firstLineChars="200"/>
              <w:rPr>
                <w:b/>
                <w:bCs/>
                <w:sz w:val="24"/>
                <w:szCs w:val="24"/>
              </w:rPr>
            </w:pPr>
            <w:r>
              <w:rPr>
                <w:rFonts w:hint="eastAsia"/>
                <w:b/>
                <w:bCs/>
                <w:sz w:val="24"/>
                <w:szCs w:val="24"/>
              </w:rPr>
              <w:t>（1）与《关于落实生态保护红线、环境质量底线、资源利用上线 制定生态环境准入清单实施生态环境分区管控的通知》（川府发〔2020〕9 号）符合性分析</w:t>
            </w:r>
          </w:p>
          <w:p>
            <w:pPr>
              <w:spacing w:line="360" w:lineRule="auto"/>
              <w:ind w:firstLine="480" w:firstLineChars="200"/>
              <w:rPr>
                <w:sz w:val="24"/>
                <w:szCs w:val="24"/>
              </w:rPr>
            </w:pPr>
            <w:r>
              <w:rPr>
                <w:sz w:val="24"/>
                <w:szCs w:val="24"/>
              </w:rPr>
              <w:t>根据四川省人民政府《关于落实生态保护红线、环境质量底线、资源利用上线制定生态环境准入清单实施生态环境分区管控的通知》（川 府发[2020]9 号）。本项目位于</w:t>
            </w:r>
            <w:r>
              <w:rPr>
                <w:rFonts w:hint="eastAsia" w:cs="宋体"/>
                <w:sz w:val="24"/>
                <w:szCs w:val="24"/>
              </w:rPr>
              <w:t>宣汉县城蒲江街道龙背村徐家坡水厂</w:t>
            </w:r>
            <w:r>
              <w:rPr>
                <w:sz w:val="24"/>
                <w:szCs w:val="24"/>
              </w:rPr>
              <w:t>，为</w:t>
            </w:r>
            <w:r>
              <w:rPr>
                <w:rFonts w:hint="eastAsia"/>
                <w:sz w:val="24"/>
                <w:szCs w:val="24"/>
              </w:rPr>
              <w:t>优先保护</w:t>
            </w:r>
            <w:r>
              <w:rPr>
                <w:sz w:val="24"/>
                <w:szCs w:val="24"/>
              </w:rPr>
              <w:t>单元，所在区域属于</w:t>
            </w:r>
            <w:r>
              <w:rPr>
                <w:rFonts w:hint="eastAsia"/>
                <w:sz w:val="24"/>
                <w:szCs w:val="24"/>
              </w:rPr>
              <w:t>川东北经济区</w:t>
            </w:r>
            <w:r>
              <w:rPr>
                <w:sz w:val="24"/>
                <w:szCs w:val="24"/>
              </w:rPr>
              <w:t>。本项目与四川省生态环境分区管控情况相符性分析见表1-</w:t>
            </w:r>
            <w:r>
              <w:rPr>
                <w:rFonts w:hint="eastAsia"/>
                <w:sz w:val="24"/>
                <w:szCs w:val="24"/>
                <w:lang w:val="en-US" w:eastAsia="zh-CN"/>
              </w:rPr>
              <w:t>2</w:t>
            </w:r>
            <w:r>
              <w:rPr>
                <w:sz w:val="24"/>
                <w:szCs w:val="24"/>
              </w:rPr>
              <w:t>。</w:t>
            </w:r>
          </w:p>
          <w:p>
            <w:pPr>
              <w:spacing w:line="360" w:lineRule="auto"/>
              <w:jc w:val="center"/>
              <w:rPr>
                <w:rFonts w:eastAsia="黑体" w:cs="Times New Roman"/>
                <w:szCs w:val="21"/>
              </w:rPr>
            </w:pPr>
            <w:r>
              <w:rPr>
                <w:rFonts w:hint="eastAsia" w:eastAsia="黑体" w:cs="Times New Roman"/>
                <w:szCs w:val="21"/>
              </w:rPr>
              <w:t>表1-</w:t>
            </w:r>
            <w:r>
              <w:rPr>
                <w:rFonts w:hint="eastAsia" w:eastAsia="黑体" w:cs="Times New Roman"/>
                <w:szCs w:val="21"/>
                <w:lang w:val="en-US" w:eastAsia="zh-CN"/>
              </w:rPr>
              <w:t>2</w:t>
            </w:r>
            <w:r>
              <w:rPr>
                <w:rFonts w:eastAsia="黑体" w:cs="Times New Roman"/>
                <w:szCs w:val="21"/>
              </w:rPr>
              <w:t xml:space="preserve">  </w:t>
            </w:r>
            <w:r>
              <w:rPr>
                <w:rFonts w:hint="eastAsia" w:eastAsia="黑体" w:cs="Times New Roman"/>
                <w:szCs w:val="21"/>
              </w:rPr>
              <w:t>项目与四川省生态环境分区管控情况相符性分析</w:t>
            </w:r>
          </w:p>
          <w:tbl>
            <w:tblPr>
              <w:tblStyle w:val="15"/>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8"/>
              <w:gridCol w:w="3488"/>
              <w:gridCol w:w="2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pct"/>
                  <w:noWrap w:val="0"/>
                  <w:vAlign w:val="center"/>
                </w:tcPr>
                <w:p>
                  <w:pPr>
                    <w:spacing w:line="276" w:lineRule="auto"/>
                    <w:jc w:val="center"/>
                    <w:rPr>
                      <w:rFonts w:hint="eastAsia"/>
                      <w:b/>
                      <w:bCs/>
                      <w:sz w:val="21"/>
                      <w:szCs w:val="21"/>
                    </w:rPr>
                  </w:pPr>
                  <w:r>
                    <w:rPr>
                      <w:rFonts w:hint="eastAsia"/>
                      <w:b/>
                      <w:bCs/>
                      <w:sz w:val="21"/>
                      <w:szCs w:val="21"/>
                    </w:rPr>
                    <w:t>环境管控单元类型</w:t>
                  </w:r>
                </w:p>
              </w:tc>
              <w:tc>
                <w:tcPr>
                  <w:tcW w:w="2264" w:type="pct"/>
                  <w:noWrap w:val="0"/>
                  <w:vAlign w:val="center"/>
                </w:tcPr>
                <w:p>
                  <w:pPr>
                    <w:spacing w:line="276" w:lineRule="auto"/>
                    <w:jc w:val="center"/>
                    <w:rPr>
                      <w:rFonts w:hint="eastAsia"/>
                      <w:b/>
                      <w:bCs/>
                      <w:sz w:val="21"/>
                      <w:szCs w:val="21"/>
                    </w:rPr>
                  </w:pPr>
                  <w:r>
                    <w:rPr>
                      <w:rFonts w:hint="eastAsia"/>
                      <w:b/>
                      <w:bCs/>
                      <w:sz w:val="21"/>
                      <w:szCs w:val="21"/>
                    </w:rPr>
                    <w:t>总体生态环境管控要求</w:t>
                  </w:r>
                </w:p>
              </w:tc>
              <w:tc>
                <w:tcPr>
                  <w:tcW w:w="1314" w:type="pct"/>
                  <w:noWrap w:val="0"/>
                  <w:vAlign w:val="center"/>
                </w:tcPr>
                <w:p>
                  <w:pPr>
                    <w:spacing w:line="276" w:lineRule="auto"/>
                    <w:jc w:val="center"/>
                    <w:rPr>
                      <w:rFonts w:hint="eastAsia"/>
                      <w:b/>
                      <w:bCs/>
                      <w:sz w:val="21"/>
                      <w:szCs w:val="21"/>
                    </w:rPr>
                  </w:pPr>
                  <w:r>
                    <w:rPr>
                      <w:rFonts w:hint="eastAsia"/>
                      <w:b/>
                      <w:bCs/>
                      <w:sz w:val="21"/>
                      <w:szCs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pct"/>
                  <w:noWrap w:val="0"/>
                  <w:vAlign w:val="center"/>
                </w:tcPr>
                <w:p>
                  <w:pPr>
                    <w:spacing w:line="276" w:lineRule="auto"/>
                    <w:jc w:val="center"/>
                    <w:rPr>
                      <w:rFonts w:hint="eastAsia"/>
                      <w:sz w:val="21"/>
                      <w:szCs w:val="21"/>
                    </w:rPr>
                  </w:pPr>
                  <w:r>
                    <w:rPr>
                      <w:rFonts w:hint="eastAsia"/>
                      <w:sz w:val="21"/>
                      <w:szCs w:val="21"/>
                    </w:rPr>
                    <w:t>优先保护单元</w:t>
                  </w:r>
                </w:p>
              </w:tc>
              <w:tc>
                <w:tcPr>
                  <w:tcW w:w="2264" w:type="pct"/>
                  <w:noWrap w:val="0"/>
                  <w:vAlign w:val="center"/>
                </w:tcPr>
                <w:p>
                  <w:pPr>
                    <w:spacing w:line="276" w:lineRule="auto"/>
                    <w:jc w:val="center"/>
                    <w:rPr>
                      <w:rFonts w:hint="eastAsia"/>
                      <w:sz w:val="21"/>
                      <w:szCs w:val="21"/>
                    </w:rPr>
                  </w:pPr>
                  <w:r>
                    <w:rPr>
                      <w:rFonts w:hint="eastAsia"/>
                      <w:sz w:val="21"/>
                      <w:szCs w:val="21"/>
                    </w:rPr>
                    <w:t>优先保护单元中，应以生态环境保护优先为原则，严格执行相关法律、法规要求，严守生态环境质量底线，确保生态环境功能不降低。</w:t>
                  </w:r>
                </w:p>
              </w:tc>
              <w:tc>
                <w:tcPr>
                  <w:tcW w:w="1314" w:type="pct"/>
                  <w:vMerge w:val="restart"/>
                  <w:noWrap w:val="0"/>
                  <w:vAlign w:val="center"/>
                </w:tcPr>
                <w:p>
                  <w:pPr>
                    <w:spacing w:line="276" w:lineRule="auto"/>
                    <w:jc w:val="center"/>
                    <w:rPr>
                      <w:rFonts w:hint="eastAsia"/>
                      <w:sz w:val="21"/>
                      <w:szCs w:val="21"/>
                    </w:rPr>
                  </w:pPr>
                  <w:r>
                    <w:rPr>
                      <w:rFonts w:hint="eastAsia"/>
                      <w:sz w:val="21"/>
                      <w:szCs w:val="21"/>
                    </w:rPr>
                    <w:t>本项目</w:t>
                  </w:r>
                  <w:r>
                    <w:rPr>
                      <w:rFonts w:hint="eastAsia"/>
                      <w:sz w:val="21"/>
                      <w:szCs w:val="21"/>
                      <w:lang w:val="en-US" w:eastAsia="zh-CN"/>
                    </w:rPr>
                    <w:t>水厂位于重点管控单元，原水输送管线位于</w:t>
                  </w:r>
                  <w:r>
                    <w:rPr>
                      <w:rFonts w:hint="eastAsia"/>
                      <w:sz w:val="21"/>
                      <w:szCs w:val="21"/>
                    </w:rPr>
                    <w:t>优先保护单元。项目为自来水供应工程，</w:t>
                  </w:r>
                  <w:r>
                    <w:rPr>
                      <w:rFonts w:hint="eastAsia"/>
                      <w:sz w:val="21"/>
                      <w:szCs w:val="21"/>
                      <w:lang w:val="en-US" w:eastAsia="zh-CN"/>
                    </w:rPr>
                    <w:t>原水输送管线营运期无污染物产生</w:t>
                  </w:r>
                  <w:r>
                    <w:rPr>
                      <w:rFonts w:hint="eastAsia"/>
                      <w:sz w:val="21"/>
                      <w:szCs w:val="21"/>
                    </w:rPr>
                    <w:t>，且为短暂性影响，对周围环境影响甚微。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pct"/>
                  <w:noWrap w:val="0"/>
                  <w:vAlign w:val="center"/>
                </w:tcPr>
                <w:p>
                  <w:pPr>
                    <w:spacing w:line="276" w:lineRule="auto"/>
                    <w:jc w:val="center"/>
                    <w:rPr>
                      <w:rFonts w:hint="eastAsia"/>
                      <w:sz w:val="21"/>
                      <w:szCs w:val="21"/>
                    </w:rPr>
                  </w:pPr>
                  <w:r>
                    <w:rPr>
                      <w:rFonts w:hint="eastAsia"/>
                      <w:sz w:val="21"/>
                      <w:szCs w:val="21"/>
                    </w:rPr>
                    <w:t>重点管控单元</w:t>
                  </w:r>
                </w:p>
              </w:tc>
              <w:tc>
                <w:tcPr>
                  <w:tcW w:w="2264" w:type="pct"/>
                  <w:noWrap w:val="0"/>
                  <w:vAlign w:val="center"/>
                </w:tcPr>
                <w:p>
                  <w:pPr>
                    <w:spacing w:line="276" w:lineRule="auto"/>
                    <w:jc w:val="center"/>
                    <w:rPr>
                      <w:rFonts w:hint="eastAsia"/>
                      <w:sz w:val="21"/>
                      <w:szCs w:val="21"/>
                    </w:rPr>
                  </w:pPr>
                  <w:r>
                    <w:rPr>
                      <w:rFonts w:hint="eastAsia"/>
                      <w:sz w:val="21"/>
                      <w:szCs w:val="21"/>
                    </w:rPr>
                    <w:t>重点管控单元中，针对环境质量是否达标以及经济社会发展水平等因素制定别化的生态环境准入要求。对环境质量不达标区域，环境质量不达标区域，提出污染物削减比例要求，对环境质量达标区域，提出允许排放量建议指标。</w:t>
                  </w:r>
                </w:p>
              </w:tc>
              <w:tc>
                <w:tcPr>
                  <w:tcW w:w="1314" w:type="pct"/>
                  <w:vMerge w:val="continue"/>
                  <w:noWrap w:val="0"/>
                  <w:vAlign w:val="center"/>
                </w:tcPr>
                <w:p>
                  <w:pPr>
                    <w:spacing w:line="276" w:lineRule="auto"/>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pct"/>
                  <w:noWrap w:val="0"/>
                  <w:vAlign w:val="center"/>
                </w:tcPr>
                <w:p>
                  <w:pPr>
                    <w:spacing w:line="276" w:lineRule="auto"/>
                    <w:jc w:val="center"/>
                    <w:rPr>
                      <w:rFonts w:hint="eastAsia"/>
                      <w:sz w:val="21"/>
                      <w:szCs w:val="21"/>
                    </w:rPr>
                  </w:pPr>
                  <w:r>
                    <w:rPr>
                      <w:rFonts w:hint="eastAsia"/>
                      <w:sz w:val="21"/>
                      <w:szCs w:val="21"/>
                    </w:rPr>
                    <w:t>一般管控单元</w:t>
                  </w:r>
                </w:p>
              </w:tc>
              <w:tc>
                <w:tcPr>
                  <w:tcW w:w="2264" w:type="pct"/>
                  <w:noWrap w:val="0"/>
                  <w:vAlign w:val="center"/>
                </w:tcPr>
                <w:p>
                  <w:pPr>
                    <w:spacing w:line="276" w:lineRule="auto"/>
                    <w:jc w:val="center"/>
                    <w:rPr>
                      <w:rFonts w:hint="eastAsia"/>
                      <w:sz w:val="21"/>
                      <w:szCs w:val="21"/>
                    </w:rPr>
                  </w:pPr>
                  <w:r>
                    <w:rPr>
                      <w:rFonts w:hint="eastAsia"/>
                      <w:sz w:val="21"/>
                      <w:szCs w:val="21"/>
                    </w:rPr>
                    <w:t>一般管控单元中，执行区域生态环境保护的基本要求。重点加强农业、生活等领域污染治理。</w:t>
                  </w:r>
                </w:p>
              </w:tc>
              <w:tc>
                <w:tcPr>
                  <w:tcW w:w="1314" w:type="pct"/>
                  <w:vMerge w:val="continue"/>
                  <w:noWrap w:val="0"/>
                  <w:vAlign w:val="center"/>
                </w:tcPr>
                <w:p>
                  <w:pPr>
                    <w:spacing w:line="276" w:lineRule="auto"/>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pct"/>
                  <w:noWrap w:val="0"/>
                  <w:vAlign w:val="center"/>
                </w:tcPr>
                <w:p>
                  <w:pPr>
                    <w:spacing w:line="276" w:lineRule="auto"/>
                    <w:jc w:val="center"/>
                    <w:rPr>
                      <w:rFonts w:hint="eastAsia"/>
                      <w:b/>
                      <w:bCs/>
                      <w:sz w:val="21"/>
                      <w:szCs w:val="21"/>
                    </w:rPr>
                  </w:pPr>
                  <w:r>
                    <w:rPr>
                      <w:rFonts w:hint="eastAsia"/>
                      <w:b/>
                      <w:bCs/>
                      <w:sz w:val="21"/>
                      <w:szCs w:val="21"/>
                    </w:rPr>
                    <w:t>区域</w:t>
                  </w:r>
                </w:p>
              </w:tc>
              <w:tc>
                <w:tcPr>
                  <w:tcW w:w="2264" w:type="pct"/>
                  <w:noWrap w:val="0"/>
                  <w:vAlign w:val="center"/>
                </w:tcPr>
                <w:p>
                  <w:pPr>
                    <w:spacing w:line="276" w:lineRule="auto"/>
                    <w:jc w:val="center"/>
                    <w:rPr>
                      <w:rFonts w:hint="eastAsia"/>
                      <w:b/>
                      <w:bCs/>
                      <w:sz w:val="21"/>
                      <w:szCs w:val="21"/>
                    </w:rPr>
                  </w:pPr>
                  <w:r>
                    <w:rPr>
                      <w:rFonts w:hint="eastAsia"/>
                      <w:b/>
                      <w:bCs/>
                      <w:sz w:val="21"/>
                      <w:szCs w:val="21"/>
                    </w:rPr>
                    <w:t>总体生态环境管控要求</w:t>
                  </w:r>
                </w:p>
              </w:tc>
              <w:tc>
                <w:tcPr>
                  <w:tcW w:w="1314" w:type="pct"/>
                  <w:noWrap w:val="0"/>
                  <w:vAlign w:val="center"/>
                </w:tcPr>
                <w:p>
                  <w:pPr>
                    <w:spacing w:line="276" w:lineRule="auto"/>
                    <w:jc w:val="center"/>
                    <w:rPr>
                      <w:rFonts w:hint="eastAsia"/>
                      <w:b/>
                      <w:bCs/>
                      <w:sz w:val="21"/>
                      <w:szCs w:val="21"/>
                    </w:rPr>
                  </w:pPr>
                  <w:r>
                    <w:rPr>
                      <w:rFonts w:hint="eastAsia"/>
                      <w:b/>
                      <w:bCs/>
                      <w:sz w:val="21"/>
                      <w:szCs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pct"/>
                  <w:noWrap w:val="0"/>
                  <w:vAlign w:val="center"/>
                </w:tcPr>
                <w:p>
                  <w:pPr>
                    <w:spacing w:line="276" w:lineRule="auto"/>
                    <w:jc w:val="center"/>
                    <w:rPr>
                      <w:rFonts w:hint="eastAsia"/>
                      <w:sz w:val="21"/>
                      <w:szCs w:val="21"/>
                    </w:rPr>
                  </w:pPr>
                  <w:r>
                    <w:rPr>
                      <w:rFonts w:hint="eastAsia"/>
                      <w:sz w:val="21"/>
                      <w:szCs w:val="21"/>
                    </w:rPr>
                    <w:t>川东北经济区</w:t>
                  </w:r>
                </w:p>
              </w:tc>
              <w:tc>
                <w:tcPr>
                  <w:tcW w:w="2264" w:type="pct"/>
                  <w:noWrap w:val="0"/>
                  <w:vAlign w:val="center"/>
                </w:tcPr>
                <w:p>
                  <w:pPr>
                    <w:spacing w:line="276" w:lineRule="auto"/>
                    <w:jc w:val="center"/>
                    <w:rPr>
                      <w:rFonts w:hint="eastAsia"/>
                      <w:sz w:val="21"/>
                      <w:szCs w:val="21"/>
                    </w:rPr>
                  </w:pPr>
                  <w:r>
                    <w:rPr>
                      <w:rFonts w:hint="eastAsia"/>
                      <w:sz w:val="21"/>
                      <w:szCs w:val="21"/>
                    </w:rPr>
                    <w:t>①控制农村面源污染，提高废水收集处理率，加快乡镇污水处理基础设施建设。</w:t>
                  </w:r>
                </w:p>
                <w:p>
                  <w:pPr>
                    <w:spacing w:line="276" w:lineRule="auto"/>
                    <w:jc w:val="center"/>
                    <w:rPr>
                      <w:rFonts w:hint="eastAsia"/>
                      <w:sz w:val="21"/>
                      <w:szCs w:val="21"/>
                    </w:rPr>
                  </w:pPr>
                  <w:r>
                    <w:rPr>
                      <w:rFonts w:hint="eastAsia"/>
                      <w:sz w:val="21"/>
                      <w:szCs w:val="21"/>
                    </w:rPr>
                    <w:t>②建设流域水环境风险联防联控体系。</w:t>
                  </w:r>
                </w:p>
                <w:p>
                  <w:pPr>
                    <w:spacing w:line="276" w:lineRule="auto"/>
                    <w:jc w:val="center"/>
                    <w:rPr>
                      <w:rFonts w:hint="eastAsia"/>
                      <w:sz w:val="21"/>
                      <w:szCs w:val="21"/>
                    </w:rPr>
                  </w:pPr>
                  <w:r>
                    <w:rPr>
                      <w:rFonts w:hint="eastAsia"/>
                      <w:sz w:val="21"/>
                      <w:szCs w:val="21"/>
                    </w:rPr>
                    <w:t>③提高大气污染治理水平。</w:t>
                  </w:r>
                </w:p>
              </w:tc>
              <w:tc>
                <w:tcPr>
                  <w:tcW w:w="1314" w:type="pct"/>
                  <w:noWrap w:val="0"/>
                  <w:vAlign w:val="center"/>
                </w:tcPr>
                <w:p>
                  <w:pPr>
                    <w:spacing w:line="276" w:lineRule="auto"/>
                    <w:jc w:val="center"/>
                    <w:rPr>
                      <w:rFonts w:hint="eastAsia" w:eastAsia="宋体"/>
                      <w:sz w:val="21"/>
                      <w:szCs w:val="21"/>
                      <w:lang w:eastAsia="zh-CN"/>
                    </w:rPr>
                  </w:pPr>
                  <w:r>
                    <w:rPr>
                      <w:rFonts w:hint="eastAsia"/>
                      <w:color w:val="auto"/>
                      <w:sz w:val="21"/>
                      <w:szCs w:val="21"/>
                    </w:rPr>
                    <w:t>本项目运营期产生的</w:t>
                  </w:r>
                  <w:r>
                    <w:rPr>
                      <w:rFonts w:hint="eastAsia"/>
                      <w:color w:val="auto"/>
                      <w:sz w:val="21"/>
                      <w:szCs w:val="21"/>
                      <w:lang w:val="en-US" w:eastAsia="zh-CN"/>
                    </w:rPr>
                    <w:t>废水经处理后排入宣汉县城市生活污水厂</w:t>
                  </w:r>
                  <w:r>
                    <w:rPr>
                      <w:rFonts w:hint="eastAsia"/>
                      <w:color w:val="auto"/>
                      <w:sz w:val="21"/>
                      <w:szCs w:val="21"/>
                      <w:lang w:eastAsia="zh-CN"/>
                    </w:rPr>
                    <w:t>。</w:t>
                  </w:r>
                </w:p>
              </w:tc>
            </w:tr>
          </w:tbl>
          <w:p>
            <w:pPr>
              <w:spacing w:line="360" w:lineRule="auto"/>
              <w:ind w:firstLine="480" w:firstLineChars="200"/>
              <w:rPr>
                <w:rFonts w:ascii="宋体" w:hAnsi="宋体"/>
                <w:color w:val="000000"/>
                <w:sz w:val="24"/>
                <w:szCs w:val="24"/>
                <w:shd w:val="clear" w:color="auto" w:fill="FFFFFF"/>
              </w:rPr>
            </w:pPr>
            <w:r>
              <w:rPr>
                <w:rFonts w:hint="eastAsia"/>
                <w:sz w:val="24"/>
                <w:szCs w:val="24"/>
              </w:rPr>
              <w:t>综上，本项目符合</w:t>
            </w:r>
            <w:r>
              <w:rPr>
                <w:sz w:val="24"/>
                <w:szCs w:val="24"/>
              </w:rPr>
              <w:t>《关于落实生态保护红线、环境质量底线、资源利用上线制定生态环境准入清单实施生态环境分区管控的通知》（川府发[2020]9号）</w:t>
            </w:r>
            <w:r>
              <w:rPr>
                <w:rFonts w:hint="eastAsia"/>
                <w:sz w:val="24"/>
                <w:szCs w:val="24"/>
              </w:rPr>
              <w:t>相关内容。</w:t>
            </w:r>
          </w:p>
          <w:p>
            <w:pPr>
              <w:spacing w:line="360" w:lineRule="auto"/>
              <w:ind w:firstLine="482" w:firstLineChars="200"/>
              <w:rPr>
                <w:sz w:val="24"/>
                <w:szCs w:val="24"/>
              </w:rPr>
            </w:pPr>
            <w:r>
              <w:rPr>
                <w:rFonts w:hint="eastAsia"/>
                <w:b/>
                <w:bCs/>
                <w:sz w:val="24"/>
                <w:szCs w:val="24"/>
              </w:rPr>
              <w:t>（2）与《关于落实生态保护红线、环境质量底线、资源利用上线制定生态环境准人清单实施生态环境分区管控的通知》（达市府发〔2021〕17号）符合性分析</w:t>
            </w:r>
          </w:p>
          <w:p>
            <w:pPr>
              <w:spacing w:line="360" w:lineRule="auto"/>
              <w:ind w:firstLine="480" w:firstLineChars="200"/>
              <w:rPr>
                <w:sz w:val="24"/>
                <w:szCs w:val="24"/>
              </w:rPr>
            </w:pPr>
            <w:r>
              <w:rPr>
                <w:rFonts w:hint="eastAsia"/>
                <w:sz w:val="24"/>
                <w:szCs w:val="24"/>
              </w:rPr>
              <w:t>根据达州市人民政府发布的《关于落实生态保护红线、环境质量底线、资源利用上线制定生态环境准人清单实施生态环境分区管控的通知》（达市府发〔2021〕17号），为深入贯彻习近平生态文明思想，全面落实党中央、国务院和省委、省政府关于全面加强生态环境保护深入打好污染防治攻坚战的重大决策部署，推动全市生态环境质量持续改善和经济社会高质量发展，根据《四川省人民政府关于落实生态保护红线、环境质量底线、资源利用上线制定生态环境准入清单实施生态环境分区管控的通知》（川府发〔2020〕9号）精神，现就落实生态保护红线、环境质量底线、资源利用上线，制定生态环境准入清单。</w:t>
            </w:r>
          </w:p>
          <w:p>
            <w:pPr>
              <w:spacing w:line="360" w:lineRule="auto"/>
              <w:ind w:firstLine="480" w:firstLineChars="200"/>
              <w:rPr>
                <w:rFonts w:hint="eastAsia"/>
                <w:sz w:val="24"/>
                <w:szCs w:val="24"/>
              </w:rPr>
            </w:pPr>
            <w:r>
              <w:rPr>
                <w:rFonts w:hint="eastAsia"/>
                <w:sz w:val="24"/>
                <w:szCs w:val="24"/>
              </w:rPr>
              <w:t>1）生态环境分区管控及其要求</w:t>
            </w:r>
          </w:p>
          <w:p>
            <w:pPr>
              <w:spacing w:line="360" w:lineRule="auto"/>
              <w:ind w:firstLine="480" w:firstLineChars="200"/>
              <w:rPr>
                <w:sz w:val="24"/>
                <w:szCs w:val="24"/>
              </w:rPr>
            </w:pPr>
            <w:r>
              <w:rPr>
                <w:rFonts w:hint="eastAsia"/>
                <w:sz w:val="24"/>
                <w:szCs w:val="24"/>
              </w:rPr>
              <w:t>达州市行政区域从生态环境保护角度划分为优先保护、重点管控和一般管控三类环境管控单元。达州市环境管控单元统计见下表。</w:t>
            </w:r>
          </w:p>
          <w:p>
            <w:pPr>
              <w:spacing w:line="360" w:lineRule="auto"/>
              <w:jc w:val="center"/>
              <w:rPr>
                <w:rFonts w:hint="eastAsia" w:eastAsia="黑体" w:cs="Times New Roman"/>
                <w:szCs w:val="21"/>
              </w:rPr>
            </w:pPr>
            <w:r>
              <w:rPr>
                <w:rFonts w:hint="eastAsia" w:eastAsia="黑体" w:cs="Times New Roman"/>
                <w:szCs w:val="21"/>
              </w:rPr>
              <w:t>表1-</w:t>
            </w:r>
            <w:r>
              <w:rPr>
                <w:rFonts w:hint="eastAsia" w:eastAsia="黑体" w:cs="Times New Roman"/>
                <w:szCs w:val="21"/>
                <w:lang w:val="en-US" w:eastAsia="zh-CN"/>
              </w:rPr>
              <w:t>3</w:t>
            </w:r>
            <w:r>
              <w:rPr>
                <w:rFonts w:hint="eastAsia" w:eastAsia="黑体" w:cs="Times New Roman"/>
                <w:szCs w:val="21"/>
              </w:rPr>
              <w:t xml:space="preserve"> </w:t>
            </w:r>
            <w:r>
              <w:rPr>
                <w:rFonts w:hint="eastAsia" w:eastAsia="黑体" w:cs="Times New Roman"/>
                <w:szCs w:val="21"/>
                <w:lang w:val="en-US" w:eastAsia="zh-CN"/>
              </w:rPr>
              <w:t xml:space="preserve"> </w:t>
            </w:r>
            <w:r>
              <w:rPr>
                <w:rFonts w:hint="eastAsia" w:eastAsia="黑体" w:cs="Times New Roman"/>
                <w:szCs w:val="21"/>
              </w:rPr>
              <w:t>达州市环境管控单元统计表</w:t>
            </w:r>
          </w:p>
          <w:tbl>
            <w:tblPr>
              <w:tblStyle w:val="15"/>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1220"/>
              <w:gridCol w:w="874"/>
              <w:gridCol w:w="4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792"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环境管控单元分类</w:t>
                  </w:r>
                </w:p>
              </w:tc>
              <w:tc>
                <w:tcPr>
                  <w:tcW w:w="56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数量</w:t>
                  </w:r>
                </w:p>
              </w:tc>
              <w:tc>
                <w:tcPr>
                  <w:tcW w:w="31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792"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优先保护单元</w:t>
                  </w:r>
                </w:p>
              </w:tc>
              <w:tc>
                <w:tcPr>
                  <w:tcW w:w="56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17个</w:t>
                  </w:r>
                </w:p>
              </w:tc>
              <w:tc>
                <w:tcPr>
                  <w:tcW w:w="31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以生态环境保护为主的区域，全市划分优先保护单元17个，主要包括生态保护红线、自然保护地、饮用水水源保护区等，应以生态环境保护优先为原则，严格执行相关法律、法规要求，严守生态环境质量底线，确保生态环境功能不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792"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重点管控单元</w:t>
                  </w:r>
                </w:p>
              </w:tc>
              <w:tc>
                <w:tcPr>
                  <w:tcW w:w="56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22个</w:t>
                  </w:r>
                </w:p>
              </w:tc>
              <w:tc>
                <w:tcPr>
                  <w:tcW w:w="31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涉及水、大气、土壤、自然资源等资源环境要素重点管控的区域，全市划分重点管控单元22个，主要包括人口密集的城镇规划区和产业集聚的工业园区（工业集聚区）等，应不断提升资源利用效率，有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792"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一般管控单元</w:t>
                  </w:r>
                </w:p>
              </w:tc>
              <w:tc>
                <w:tcPr>
                  <w:tcW w:w="56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7个</w:t>
                  </w:r>
                </w:p>
              </w:tc>
              <w:tc>
                <w:tcPr>
                  <w:tcW w:w="31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除优先保护单元和重点管控单元之外的其他区域，全市共划分一般管控单元7个。执行区域生态环境保护的基本要求，重点加强农业、生活等领域污染治理。</w:t>
                  </w:r>
                </w:p>
              </w:tc>
            </w:tr>
          </w:tbl>
          <w:p>
            <w:pPr>
              <w:spacing w:line="360" w:lineRule="auto"/>
              <w:ind w:firstLine="480" w:firstLineChars="200"/>
              <w:rPr>
                <w:sz w:val="24"/>
                <w:szCs w:val="24"/>
              </w:rPr>
            </w:pPr>
            <w:r>
              <w:rPr>
                <w:rFonts w:hint="eastAsia"/>
                <w:sz w:val="24"/>
                <w:szCs w:val="24"/>
              </w:rPr>
              <w:t>本项目</w:t>
            </w:r>
            <w:r>
              <w:rPr>
                <w:rFonts w:hint="eastAsia"/>
                <w:sz w:val="24"/>
                <w:szCs w:val="24"/>
                <w:lang w:val="en-US" w:eastAsia="zh-CN"/>
              </w:rPr>
              <w:t>水厂位于重点管控单元，原水输送管线位于</w:t>
            </w:r>
            <w:r>
              <w:rPr>
                <w:rFonts w:hint="eastAsia"/>
                <w:sz w:val="24"/>
                <w:szCs w:val="24"/>
              </w:rPr>
              <w:t>优先保护单元，项目为自来水供应项目，建成后严格执行相关法律、法规要求，严守生态环境质量底线，确保生态环境功能不降低。</w:t>
            </w:r>
          </w:p>
          <w:p>
            <w:pPr>
              <w:spacing w:line="360" w:lineRule="auto"/>
              <w:ind w:firstLine="480" w:firstLineChars="200"/>
              <w:rPr>
                <w:sz w:val="24"/>
                <w:szCs w:val="24"/>
              </w:rPr>
            </w:pPr>
            <w:r>
              <w:rPr>
                <w:sz w:val="24"/>
                <w:szCs w:val="24"/>
              </w:rPr>
              <w:t>2</w:t>
            </w:r>
            <w:r>
              <w:rPr>
                <w:rFonts w:hint="eastAsia"/>
                <w:sz w:val="24"/>
                <w:szCs w:val="24"/>
              </w:rPr>
              <w:t>）达州市及宣汉县管控要求</w:t>
            </w:r>
          </w:p>
          <w:p>
            <w:pPr>
              <w:spacing w:line="360" w:lineRule="auto"/>
              <w:jc w:val="center"/>
              <w:rPr>
                <w:rFonts w:hint="eastAsia" w:eastAsia="黑体" w:cs="Times New Roman"/>
                <w:szCs w:val="21"/>
              </w:rPr>
            </w:pPr>
            <w:r>
              <w:rPr>
                <w:rFonts w:hint="eastAsia" w:eastAsia="黑体" w:cs="Times New Roman"/>
                <w:szCs w:val="21"/>
              </w:rPr>
              <w:t>表1-</w:t>
            </w:r>
            <w:r>
              <w:rPr>
                <w:rFonts w:hint="eastAsia" w:eastAsia="黑体" w:cs="Times New Roman"/>
                <w:szCs w:val="21"/>
                <w:lang w:val="en-US" w:eastAsia="zh-CN"/>
              </w:rPr>
              <w:t xml:space="preserve">4 </w:t>
            </w:r>
            <w:r>
              <w:rPr>
                <w:rFonts w:hint="eastAsia" w:eastAsia="黑体" w:cs="Times New Roman"/>
                <w:szCs w:val="21"/>
              </w:rPr>
              <w:t xml:space="preserve"> 达州市及宣汉县总体管控要求</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3838"/>
              <w:gridCol w:w="2093"/>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市域</w:t>
                  </w:r>
                </w:p>
              </w:tc>
              <w:tc>
                <w:tcPr>
                  <w:tcW w:w="2492"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总体管控要求</w:t>
                  </w:r>
                </w:p>
              </w:tc>
              <w:tc>
                <w:tcPr>
                  <w:tcW w:w="135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本项目情况</w:t>
                  </w:r>
                </w:p>
              </w:tc>
              <w:tc>
                <w:tcPr>
                  <w:tcW w:w="64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达州市</w:t>
                  </w:r>
                </w:p>
              </w:tc>
              <w:tc>
                <w:tcPr>
                  <w:tcW w:w="2492"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1．对钢铁行业提出严格资源环境绩效水平要求；</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2．高污染企业限期退城入园；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3．普光气田开发污染防治和环境管理等方面要达到国内先进水平；</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4．引进项目应符合园区规划环评和区域产业准入清单要求；</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5．长江干支流岸线1km范围内，不得新建、扩建化工园区和化工项目；</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6．严控产业转移环境准入；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7．造纸等产业污染治理和环境管理应达到国内先进水平。优化制浆造纸产业布局，提升行业清洁生产水平，推动制浆造纸工业向节能、环保、绿色方向发展。</w:t>
                  </w:r>
                </w:p>
              </w:tc>
              <w:tc>
                <w:tcPr>
                  <w:tcW w:w="135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1.本项目不属于钢铁行业；</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2.本项目不属于高污染企业；</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3.本项目不属于普光气田开发项目；</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4.本项目为自来水供应项目，属于市政工程项目；</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5.本项目不属于化工项目；</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 本项目为自来水供应项目，不涉及环境准入；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7.本项目不属于造纸产业。</w:t>
                  </w:r>
                </w:p>
              </w:tc>
              <w:tc>
                <w:tcPr>
                  <w:tcW w:w="64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宣汉县</w:t>
                  </w:r>
                </w:p>
              </w:tc>
              <w:tc>
                <w:tcPr>
                  <w:tcW w:w="2492"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1．加强小流域水环境保护，推动农村环保基础设施建设，全面推进农村环境综合整治、生活污水处理项目。大力开展沿河畜禽养殖污染整治，大力推广生态种植，减少农药化肥使用量；</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2．打好升级版污染防治攻坚战。持续优化调整产业布局，以PM</w:t>
                  </w:r>
                  <w:r>
                    <w:rPr>
                      <w:rFonts w:hint="default" w:ascii="Times New Roman" w:hAnsi="Times New Roman" w:eastAsia="宋体" w:cs="Times New Roman"/>
                      <w:sz w:val="21"/>
                      <w:szCs w:val="21"/>
                      <w:vertAlign w:val="subscript"/>
                    </w:rPr>
                    <w:t>2.5</w:t>
                  </w:r>
                  <w:r>
                    <w:rPr>
                      <w:rFonts w:hint="default" w:ascii="Times New Roman" w:hAnsi="Times New Roman" w:eastAsia="宋体" w:cs="Times New Roman"/>
                      <w:sz w:val="21"/>
                      <w:szCs w:val="21"/>
                    </w:rPr>
                    <w:t>和臭氧污染协同控制为重点，全面开展VOCs治理，实施移动源整治，持续推进空气质量精细化管理；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优化天然气化工、硫化工、锂钾综合开发、冶金建材、新材料等产业布局，切实做好危险化学品生产、使用、贮运、废弃全过程的安全防范措施，妥善处理好锂钾综合开发产业副产物及“三废”的综合利用途径或处置去向。</w:t>
                  </w:r>
                </w:p>
              </w:tc>
              <w:tc>
                <w:tcPr>
                  <w:tcW w:w="135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1.本项目为自来水供应项目，项目取水已划定饮用水源保护区范围；</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2.本项目不涉及VOCs污染物排放；</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3.本项目不属于天然气化工、硫化工、锂钾综合开发、冶金建材、新材料等产业。</w:t>
                  </w:r>
                </w:p>
              </w:tc>
              <w:tc>
                <w:tcPr>
                  <w:tcW w:w="64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bl>
          <w:p>
            <w:pPr>
              <w:spacing w:line="360" w:lineRule="auto"/>
              <w:ind w:firstLine="482" w:firstLineChars="200"/>
              <w:rPr>
                <w:b/>
                <w:bCs/>
                <w:sz w:val="24"/>
                <w:szCs w:val="24"/>
              </w:rPr>
            </w:pPr>
            <w:r>
              <w:rPr>
                <w:rFonts w:hint="eastAsia"/>
                <w:b/>
                <w:bCs/>
                <w:sz w:val="24"/>
                <w:szCs w:val="24"/>
              </w:rPr>
              <w:t>（3）与《项目环评“三线一单”符合性分析技术要求（试行）》符合性分析</w:t>
            </w:r>
          </w:p>
          <w:p>
            <w:pPr>
              <w:spacing w:line="360" w:lineRule="auto"/>
              <w:ind w:firstLine="480" w:firstLineChars="200"/>
              <w:rPr>
                <w:color w:val="333333"/>
                <w:sz w:val="24"/>
                <w:szCs w:val="24"/>
                <w:shd w:val="clear" w:color="auto" w:fill="FFFFFF"/>
              </w:rPr>
            </w:pPr>
            <w:r>
              <w:rPr>
                <w:rFonts w:hint="eastAsia"/>
                <w:color w:val="333333"/>
                <w:sz w:val="24"/>
                <w:szCs w:val="24"/>
                <w:shd w:val="clear" w:color="auto" w:fill="FFFFFF"/>
              </w:rPr>
              <w:t>根据四川省生态环境厅办公室发布的《产业园区规划环评“三线一单”符合性分析技术要点(试行)》和《项目环评“三线一单”符合性分析技术要点(试行)》的通知（川环办函[2021</w:t>
            </w:r>
            <w:r>
              <w:rPr>
                <w:color w:val="333333"/>
                <w:sz w:val="24"/>
                <w:szCs w:val="24"/>
                <w:shd w:val="clear" w:color="auto" w:fill="FFFFFF"/>
              </w:rPr>
              <w:t>]</w:t>
            </w:r>
            <w:r>
              <w:rPr>
                <w:rFonts w:hint="eastAsia"/>
                <w:color w:val="333333"/>
                <w:sz w:val="24"/>
                <w:szCs w:val="24"/>
                <w:shd w:val="clear" w:color="auto" w:fill="FFFFFF"/>
              </w:rPr>
              <w:t>469号）可知，若建设项目位于产业园区外，需进行空间符合性分析以及管控要求符合性分析。本项目属于自来水供应工程，位于产业园区之外，为此，需要进行空间符合性分析以及管控要求符合性分析。</w:t>
            </w:r>
          </w:p>
          <w:p>
            <w:pPr>
              <w:spacing w:line="360" w:lineRule="auto"/>
              <w:ind w:firstLine="480" w:firstLineChars="200"/>
              <w:rPr>
                <w:color w:val="333333"/>
                <w:sz w:val="24"/>
                <w:szCs w:val="24"/>
                <w:shd w:val="clear" w:color="auto" w:fill="FFFFFF"/>
              </w:rPr>
            </w:pPr>
            <w:r>
              <w:rPr>
                <w:rFonts w:hint="eastAsia"/>
                <w:color w:val="333333"/>
                <w:sz w:val="24"/>
                <w:szCs w:val="24"/>
                <w:shd w:val="clear" w:color="auto" w:fill="FFFFFF"/>
              </w:rPr>
              <w:t>经在四川省生态环境厅“三线一单”符合性分析平台查询，项目所属自来水生产和供应行业，共涉及</w:t>
            </w:r>
            <w:r>
              <w:rPr>
                <w:color w:val="333333"/>
                <w:sz w:val="24"/>
                <w:szCs w:val="24"/>
                <w:shd w:val="clear" w:color="auto" w:fill="FFFFFF"/>
              </w:rPr>
              <w:t>4</w:t>
            </w:r>
            <w:r>
              <w:rPr>
                <w:rFonts w:hint="eastAsia"/>
                <w:color w:val="333333"/>
                <w:sz w:val="24"/>
                <w:szCs w:val="24"/>
                <w:shd w:val="clear" w:color="auto" w:fill="FFFFFF"/>
              </w:rPr>
              <w:t>个管控单元。查询情况见下图，涉及到的管控单元见表1-</w:t>
            </w:r>
            <w:r>
              <w:rPr>
                <w:rFonts w:hint="eastAsia"/>
                <w:color w:val="333333"/>
                <w:sz w:val="24"/>
                <w:szCs w:val="24"/>
                <w:shd w:val="clear" w:color="auto" w:fill="FFFFFF"/>
                <w:lang w:val="en-US" w:eastAsia="zh-CN"/>
              </w:rPr>
              <w:t>5</w:t>
            </w:r>
            <w:r>
              <w:rPr>
                <w:rFonts w:hint="eastAsia"/>
                <w:color w:val="333333"/>
                <w:sz w:val="24"/>
                <w:szCs w:val="24"/>
                <w:shd w:val="clear" w:color="auto" w:fill="FFFFFF"/>
              </w:rPr>
              <w:t>。</w:t>
            </w:r>
          </w:p>
          <w:p>
            <w:pPr>
              <w:spacing w:line="360" w:lineRule="auto"/>
              <w:jc w:val="center"/>
              <w:rPr>
                <w:rFonts w:eastAsia="黑体" w:cs="Times New Roman"/>
                <w:color w:val="auto"/>
                <w:szCs w:val="21"/>
              </w:rPr>
            </w:pPr>
            <w:r>
              <w:rPr>
                <w:rFonts w:hint="eastAsia" w:eastAsia="黑体" w:cs="Times New Roman"/>
                <w:color w:val="auto"/>
                <w:szCs w:val="21"/>
              </w:rPr>
              <w:t>表</w:t>
            </w:r>
            <w:r>
              <w:rPr>
                <w:rFonts w:eastAsia="黑体" w:cs="Times New Roman"/>
                <w:color w:val="auto"/>
                <w:szCs w:val="21"/>
              </w:rPr>
              <w:t>1-</w:t>
            </w:r>
            <w:r>
              <w:rPr>
                <w:rFonts w:hint="eastAsia" w:eastAsia="黑体" w:cs="Times New Roman"/>
                <w:color w:val="auto"/>
                <w:szCs w:val="21"/>
                <w:lang w:val="en-US" w:eastAsia="zh-CN"/>
              </w:rPr>
              <w:t>5</w:t>
            </w:r>
            <w:r>
              <w:rPr>
                <w:rFonts w:eastAsia="黑体" w:cs="Times New Roman"/>
                <w:color w:val="auto"/>
                <w:szCs w:val="21"/>
              </w:rPr>
              <w:t xml:space="preserve">  </w:t>
            </w:r>
            <w:r>
              <w:rPr>
                <w:rFonts w:hint="eastAsia" w:eastAsia="黑体" w:cs="Times New Roman"/>
                <w:color w:val="auto"/>
                <w:szCs w:val="21"/>
              </w:rPr>
              <w:t>项目涉及环境管控单元表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1676"/>
              <w:gridCol w:w="1163"/>
              <w:gridCol w:w="803"/>
              <w:gridCol w:w="816"/>
              <w:gridCol w:w="1120"/>
              <w:gridCol w:w="1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2" w:type="pct"/>
                  <w:vAlign w:val="center"/>
                </w:tcPr>
                <w:p>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088" w:type="pct"/>
                  <w:vAlign w:val="center"/>
                </w:tcPr>
                <w:p>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管控单元编码</w:t>
                  </w:r>
                </w:p>
              </w:tc>
              <w:tc>
                <w:tcPr>
                  <w:tcW w:w="755" w:type="pct"/>
                  <w:vAlign w:val="center"/>
                </w:tcPr>
                <w:p>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管控单元名称</w:t>
                  </w:r>
                </w:p>
              </w:tc>
              <w:tc>
                <w:tcPr>
                  <w:tcW w:w="521" w:type="pct"/>
                  <w:vAlign w:val="center"/>
                </w:tcPr>
                <w:p>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所属城市</w:t>
                  </w:r>
                </w:p>
              </w:tc>
              <w:tc>
                <w:tcPr>
                  <w:tcW w:w="530" w:type="pct"/>
                  <w:vAlign w:val="center"/>
                </w:tcPr>
                <w:p>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所属区县</w:t>
                  </w:r>
                </w:p>
              </w:tc>
              <w:tc>
                <w:tcPr>
                  <w:tcW w:w="727" w:type="pct"/>
                  <w:vAlign w:val="center"/>
                </w:tcPr>
                <w:p>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准入清单类型</w:t>
                  </w:r>
                </w:p>
              </w:tc>
              <w:tc>
                <w:tcPr>
                  <w:tcW w:w="1054" w:type="pct"/>
                  <w:vAlign w:val="center"/>
                </w:tcPr>
                <w:p>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2" w:type="pct"/>
                  <w:vAlign w:val="center"/>
                </w:tcPr>
                <w:p>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088" w:type="pct"/>
                  <w:vAlign w:val="center"/>
                </w:tcPr>
                <w:p>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Style w:val="17"/>
                      <w:rFonts w:hint="default" w:ascii="Times New Roman" w:hAnsi="Times New Roman" w:eastAsia="宋体" w:cs="Times New Roman"/>
                      <w:color w:val="auto"/>
                      <w:kern w:val="2"/>
                      <w:sz w:val="21"/>
                      <w:szCs w:val="21"/>
                      <w:lang w:val="en-US" w:eastAsia="zh-CN" w:bidi="ar-SA"/>
                    </w:rPr>
                    <w:t>ZH51172220001</w:t>
                  </w:r>
                </w:p>
              </w:tc>
              <w:tc>
                <w:tcPr>
                  <w:tcW w:w="755" w:type="pct"/>
                  <w:vAlign w:val="center"/>
                </w:tcPr>
                <w:p>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Style w:val="17"/>
                      <w:rFonts w:hint="default" w:ascii="Times New Roman" w:hAnsi="Times New Roman" w:eastAsia="宋体" w:cs="Times New Roman"/>
                      <w:color w:val="auto"/>
                      <w:kern w:val="2"/>
                      <w:sz w:val="21"/>
                      <w:szCs w:val="21"/>
                      <w:lang w:val="en-US" w:eastAsia="zh-CN" w:bidi="ar-SA"/>
                    </w:rPr>
                    <w:t>宣汉县中心城区</w:t>
                  </w:r>
                </w:p>
              </w:tc>
              <w:tc>
                <w:tcPr>
                  <w:tcW w:w="521" w:type="pct"/>
                  <w:vAlign w:val="top"/>
                </w:tcPr>
                <w:p>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Style w:val="17"/>
                      <w:rFonts w:hint="default" w:ascii="Times New Roman" w:hAnsi="Times New Roman" w:eastAsia="宋体" w:cs="Times New Roman"/>
                      <w:color w:val="auto"/>
                      <w:kern w:val="2"/>
                      <w:sz w:val="21"/>
                      <w:szCs w:val="21"/>
                      <w:lang w:val="en-US" w:eastAsia="zh-CN" w:bidi="ar-SA"/>
                    </w:rPr>
                    <w:t>达州市</w:t>
                  </w:r>
                </w:p>
              </w:tc>
              <w:tc>
                <w:tcPr>
                  <w:tcW w:w="530" w:type="pct"/>
                  <w:vAlign w:val="top"/>
                </w:tcPr>
                <w:p>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Style w:val="17"/>
                      <w:rFonts w:hint="default" w:ascii="Times New Roman" w:hAnsi="Times New Roman" w:eastAsia="宋体" w:cs="Times New Roman"/>
                      <w:color w:val="auto"/>
                      <w:kern w:val="2"/>
                      <w:sz w:val="21"/>
                      <w:szCs w:val="21"/>
                      <w:lang w:val="en-US" w:eastAsia="zh-CN" w:bidi="ar-SA"/>
                    </w:rPr>
                    <w:t>宣汉县</w:t>
                  </w:r>
                </w:p>
              </w:tc>
              <w:tc>
                <w:tcPr>
                  <w:tcW w:w="727" w:type="pct"/>
                  <w:vAlign w:val="center"/>
                </w:tcPr>
                <w:p>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Style w:val="17"/>
                      <w:rFonts w:hint="default" w:ascii="Times New Roman" w:hAnsi="Times New Roman" w:eastAsia="宋体" w:cs="Times New Roman"/>
                      <w:color w:val="auto"/>
                      <w:kern w:val="2"/>
                      <w:sz w:val="21"/>
                      <w:szCs w:val="21"/>
                      <w:lang w:val="en-US" w:eastAsia="zh-CN" w:bidi="ar-SA"/>
                    </w:rPr>
                    <w:t>环境管控单元</w:t>
                  </w:r>
                </w:p>
              </w:tc>
              <w:tc>
                <w:tcPr>
                  <w:tcW w:w="1054" w:type="pct"/>
                  <w:vAlign w:val="center"/>
                </w:tcPr>
                <w:p>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Style w:val="17"/>
                      <w:rFonts w:hint="default" w:ascii="Times New Roman" w:hAnsi="Times New Roman" w:eastAsia="宋体" w:cs="Times New Roman"/>
                      <w:color w:val="auto"/>
                      <w:kern w:val="2"/>
                      <w:sz w:val="21"/>
                      <w:szCs w:val="21"/>
                      <w:lang w:val="en-US" w:eastAsia="zh-CN" w:bidi="ar-SA"/>
                    </w:rPr>
                    <w:t>环境综合管控单元城镇重点管控单元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2" w:type="pct"/>
                  <w:vAlign w:val="center"/>
                </w:tcPr>
                <w:p>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088" w:type="pct"/>
                  <w:vAlign w:val="center"/>
                </w:tcPr>
                <w:p>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Style w:val="17"/>
                      <w:rFonts w:hint="default" w:ascii="Times New Roman" w:hAnsi="Times New Roman" w:eastAsia="宋体" w:cs="Times New Roman"/>
                      <w:color w:val="auto"/>
                      <w:kern w:val="2"/>
                      <w:sz w:val="21"/>
                      <w:szCs w:val="21"/>
                      <w:lang w:val="en-US" w:eastAsia="zh-CN" w:bidi="ar-SA"/>
                    </w:rPr>
                    <w:t>YS5117222220001</w:t>
                  </w:r>
                </w:p>
              </w:tc>
              <w:tc>
                <w:tcPr>
                  <w:tcW w:w="755" w:type="pct"/>
                  <w:vAlign w:val="center"/>
                </w:tcPr>
                <w:p>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FF0000"/>
                      <w:sz w:val="21"/>
                      <w:szCs w:val="21"/>
                    </w:rPr>
                  </w:pPr>
                  <w:r>
                    <w:rPr>
                      <w:rStyle w:val="17"/>
                      <w:rFonts w:hint="default" w:ascii="Times New Roman" w:hAnsi="Times New Roman" w:eastAsia="宋体" w:cs="Times New Roman"/>
                      <w:kern w:val="2"/>
                      <w:sz w:val="21"/>
                      <w:szCs w:val="21"/>
                      <w:lang w:val="en-US" w:eastAsia="zh-CN" w:bidi="ar-SA"/>
                    </w:rPr>
                    <w:t>州河宣汉县张鼓坪控制单元</w:t>
                  </w:r>
                </w:p>
              </w:tc>
              <w:tc>
                <w:tcPr>
                  <w:tcW w:w="521" w:type="pct"/>
                  <w:vAlign w:val="top"/>
                </w:tcPr>
                <w:p>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FF0000"/>
                      <w:sz w:val="21"/>
                      <w:szCs w:val="21"/>
                    </w:rPr>
                  </w:pPr>
                  <w:r>
                    <w:rPr>
                      <w:rStyle w:val="17"/>
                      <w:rFonts w:hint="default" w:ascii="Times New Roman" w:hAnsi="Times New Roman" w:eastAsia="宋体" w:cs="Times New Roman"/>
                      <w:kern w:val="2"/>
                      <w:sz w:val="21"/>
                      <w:szCs w:val="21"/>
                      <w:lang w:val="en-US" w:eastAsia="zh-CN" w:bidi="ar-SA"/>
                    </w:rPr>
                    <w:t>达州市</w:t>
                  </w:r>
                </w:p>
              </w:tc>
              <w:tc>
                <w:tcPr>
                  <w:tcW w:w="530" w:type="pct"/>
                  <w:vAlign w:val="top"/>
                </w:tcPr>
                <w:p>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FF0000"/>
                      <w:sz w:val="21"/>
                      <w:szCs w:val="21"/>
                    </w:rPr>
                  </w:pPr>
                  <w:r>
                    <w:rPr>
                      <w:rStyle w:val="17"/>
                      <w:rFonts w:hint="default" w:ascii="Times New Roman" w:hAnsi="Times New Roman" w:eastAsia="宋体" w:cs="Times New Roman"/>
                      <w:kern w:val="2"/>
                      <w:sz w:val="21"/>
                      <w:szCs w:val="21"/>
                      <w:lang w:val="en-US" w:eastAsia="zh-CN" w:bidi="ar-SA"/>
                    </w:rPr>
                    <w:t>宣汉县</w:t>
                  </w:r>
                </w:p>
              </w:tc>
              <w:tc>
                <w:tcPr>
                  <w:tcW w:w="727" w:type="pct"/>
                  <w:vAlign w:val="center"/>
                </w:tcPr>
                <w:p>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FF0000"/>
                      <w:sz w:val="21"/>
                      <w:szCs w:val="21"/>
                    </w:rPr>
                  </w:pPr>
                  <w:r>
                    <w:rPr>
                      <w:rStyle w:val="17"/>
                      <w:rFonts w:hint="default" w:ascii="Times New Roman" w:hAnsi="Times New Roman" w:eastAsia="宋体" w:cs="Times New Roman"/>
                      <w:kern w:val="2"/>
                      <w:sz w:val="21"/>
                      <w:szCs w:val="21"/>
                      <w:lang w:val="en-US" w:eastAsia="zh-CN" w:bidi="ar-SA"/>
                    </w:rPr>
                    <w:t>水环境管控分区</w:t>
                  </w:r>
                </w:p>
              </w:tc>
              <w:tc>
                <w:tcPr>
                  <w:tcW w:w="1054" w:type="pct"/>
                  <w:vAlign w:val="center"/>
                </w:tcPr>
                <w:p>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FF0000"/>
                      <w:sz w:val="21"/>
                      <w:szCs w:val="21"/>
                    </w:rPr>
                  </w:pPr>
                  <w:r>
                    <w:rPr>
                      <w:rStyle w:val="17"/>
                      <w:rFonts w:hint="default" w:ascii="Times New Roman" w:hAnsi="Times New Roman" w:eastAsia="宋体" w:cs="Times New Roman"/>
                      <w:kern w:val="2"/>
                      <w:sz w:val="21"/>
                      <w:szCs w:val="21"/>
                      <w:lang w:val="en-US" w:eastAsia="zh-CN" w:bidi="ar-SA"/>
                    </w:rPr>
                    <w:t>水环境城镇生活污染重点管控区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2" w:type="pct"/>
                  <w:vAlign w:val="center"/>
                </w:tcPr>
                <w:p>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088" w:type="pct"/>
                  <w:vAlign w:val="center"/>
                </w:tcPr>
                <w:p>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Style w:val="17"/>
                      <w:rFonts w:hint="default" w:ascii="Times New Roman" w:hAnsi="Times New Roman" w:eastAsia="宋体" w:cs="Times New Roman"/>
                      <w:color w:val="auto"/>
                      <w:kern w:val="2"/>
                      <w:sz w:val="21"/>
                      <w:szCs w:val="21"/>
                      <w:lang w:val="en-US" w:eastAsia="zh-CN" w:bidi="ar-SA"/>
                    </w:rPr>
                    <w:t>YS5117222340007</w:t>
                  </w:r>
                </w:p>
              </w:tc>
              <w:tc>
                <w:tcPr>
                  <w:tcW w:w="755" w:type="pct"/>
                  <w:vAlign w:val="center"/>
                </w:tcPr>
                <w:p>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FF0000"/>
                      <w:sz w:val="21"/>
                      <w:szCs w:val="21"/>
                    </w:rPr>
                  </w:pPr>
                  <w:r>
                    <w:rPr>
                      <w:rStyle w:val="17"/>
                      <w:rFonts w:hint="default" w:ascii="Times New Roman" w:hAnsi="Times New Roman" w:eastAsia="宋体" w:cs="Times New Roman"/>
                      <w:kern w:val="2"/>
                      <w:sz w:val="21"/>
                      <w:szCs w:val="21"/>
                      <w:lang w:val="en-US" w:eastAsia="zh-CN" w:bidi="ar-SA"/>
                    </w:rPr>
                    <w:t>宣汉县中心城区</w:t>
                  </w:r>
                </w:p>
              </w:tc>
              <w:tc>
                <w:tcPr>
                  <w:tcW w:w="521" w:type="pct"/>
                  <w:vAlign w:val="top"/>
                </w:tcPr>
                <w:p>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FF0000"/>
                      <w:sz w:val="21"/>
                      <w:szCs w:val="21"/>
                    </w:rPr>
                  </w:pPr>
                  <w:r>
                    <w:rPr>
                      <w:rStyle w:val="17"/>
                      <w:rFonts w:hint="default" w:ascii="Times New Roman" w:hAnsi="Times New Roman" w:eastAsia="宋体" w:cs="Times New Roman"/>
                      <w:kern w:val="2"/>
                      <w:sz w:val="21"/>
                      <w:szCs w:val="21"/>
                      <w:lang w:val="en-US" w:eastAsia="zh-CN" w:bidi="ar-SA"/>
                    </w:rPr>
                    <w:t>达州市</w:t>
                  </w:r>
                </w:p>
              </w:tc>
              <w:tc>
                <w:tcPr>
                  <w:tcW w:w="530" w:type="pct"/>
                  <w:vAlign w:val="top"/>
                </w:tcPr>
                <w:p>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FF0000"/>
                      <w:sz w:val="21"/>
                      <w:szCs w:val="21"/>
                    </w:rPr>
                  </w:pPr>
                  <w:r>
                    <w:rPr>
                      <w:rStyle w:val="17"/>
                      <w:rFonts w:hint="default" w:ascii="Times New Roman" w:hAnsi="Times New Roman" w:eastAsia="宋体" w:cs="Times New Roman"/>
                      <w:kern w:val="2"/>
                      <w:sz w:val="21"/>
                      <w:szCs w:val="21"/>
                      <w:lang w:val="en-US" w:eastAsia="zh-CN" w:bidi="ar-SA"/>
                    </w:rPr>
                    <w:t>宣汉县</w:t>
                  </w:r>
                </w:p>
              </w:tc>
              <w:tc>
                <w:tcPr>
                  <w:tcW w:w="727" w:type="pct"/>
                  <w:vAlign w:val="center"/>
                </w:tcPr>
                <w:p>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FF0000"/>
                      <w:sz w:val="21"/>
                      <w:szCs w:val="21"/>
                    </w:rPr>
                  </w:pPr>
                  <w:r>
                    <w:rPr>
                      <w:rStyle w:val="17"/>
                      <w:rFonts w:hint="default" w:ascii="Times New Roman" w:hAnsi="Times New Roman" w:eastAsia="宋体" w:cs="Times New Roman"/>
                      <w:kern w:val="2"/>
                      <w:sz w:val="21"/>
                      <w:szCs w:val="21"/>
                      <w:lang w:val="en-US" w:eastAsia="zh-CN" w:bidi="ar-SA"/>
                    </w:rPr>
                    <w:t>大气环境管控分区</w:t>
                  </w:r>
                </w:p>
              </w:tc>
              <w:tc>
                <w:tcPr>
                  <w:tcW w:w="1054" w:type="pct"/>
                  <w:vAlign w:val="center"/>
                </w:tcPr>
                <w:p>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FF0000"/>
                      <w:sz w:val="21"/>
                      <w:szCs w:val="21"/>
                    </w:rPr>
                  </w:pPr>
                  <w:r>
                    <w:rPr>
                      <w:rStyle w:val="17"/>
                      <w:rFonts w:hint="default" w:ascii="Times New Roman" w:hAnsi="Times New Roman" w:eastAsia="宋体" w:cs="Times New Roman"/>
                      <w:kern w:val="2"/>
                      <w:sz w:val="21"/>
                      <w:szCs w:val="21"/>
                      <w:lang w:val="en-US" w:eastAsia="zh-CN" w:bidi="ar-SA"/>
                    </w:rPr>
                    <w:t>大气环境受体敏感重点管控区</w:t>
                  </w:r>
                </w:p>
              </w:tc>
            </w:tr>
          </w:tbl>
          <w:p>
            <w:pPr>
              <w:adjustRightInd w:val="0"/>
              <w:spacing w:line="360" w:lineRule="auto"/>
              <w:jc w:val="center"/>
              <w:textAlignment w:val="baseline"/>
              <w:rPr>
                <w:sz w:val="24"/>
              </w:rPr>
            </w:pPr>
            <w:r>
              <w:drawing>
                <wp:inline distT="0" distB="0" distL="114300" distR="114300">
                  <wp:extent cx="5562600" cy="3926205"/>
                  <wp:effectExtent l="0" t="0" r="0" b="17145"/>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5"/>
                          <a:stretch>
                            <a:fillRect/>
                          </a:stretch>
                        </pic:blipFill>
                        <pic:spPr>
                          <a:xfrm>
                            <a:off x="0" y="0"/>
                            <a:ext cx="5562600" cy="3926205"/>
                          </a:xfrm>
                          <a:prstGeom prst="rect">
                            <a:avLst/>
                          </a:prstGeom>
                          <a:noFill/>
                          <a:ln>
                            <a:noFill/>
                          </a:ln>
                        </pic:spPr>
                      </pic:pic>
                    </a:graphicData>
                  </a:graphic>
                </wp:inline>
              </w:drawing>
            </w:r>
          </w:p>
          <w:p>
            <w:pPr>
              <w:spacing w:line="360" w:lineRule="auto"/>
              <w:jc w:val="center"/>
              <w:rPr>
                <w:rFonts w:eastAsia="黑体"/>
                <w:szCs w:val="21"/>
              </w:rPr>
            </w:pPr>
            <w:r>
              <w:rPr>
                <w:rFonts w:hint="eastAsia" w:eastAsia="黑体"/>
                <w:szCs w:val="21"/>
              </w:rPr>
              <w:t>图</w:t>
            </w:r>
            <w:r>
              <w:rPr>
                <w:rFonts w:eastAsia="黑体"/>
                <w:szCs w:val="21"/>
              </w:rPr>
              <w:t xml:space="preserve">1-1  </w:t>
            </w:r>
            <w:r>
              <w:rPr>
                <w:rFonts w:hint="eastAsia" w:eastAsia="黑体"/>
                <w:szCs w:val="21"/>
              </w:rPr>
              <w:t>项目“三线一单”符合性分析查询截图</w:t>
            </w:r>
          </w:p>
          <w:p>
            <w:pPr>
              <w:adjustRightInd w:val="0"/>
              <w:spacing w:line="360" w:lineRule="auto"/>
              <w:ind w:firstLine="470" w:firstLineChars="196"/>
              <w:textAlignment w:val="baseline"/>
              <w:rPr>
                <w:sz w:val="24"/>
              </w:rPr>
            </w:pPr>
            <w:r>
              <w:rPr>
                <w:rFonts w:hint="eastAsia"/>
                <w:sz w:val="24"/>
              </w:rPr>
              <w:t>由以上分析可行，本项目所在地</w:t>
            </w:r>
            <w:r>
              <w:rPr>
                <w:rFonts w:hint="eastAsia"/>
                <w:sz w:val="24"/>
                <w:lang w:val="en-US" w:eastAsia="zh-CN"/>
              </w:rPr>
              <w:t>位于</w:t>
            </w:r>
            <w:r>
              <w:rPr>
                <w:rFonts w:hint="eastAsia"/>
                <w:sz w:val="24"/>
              </w:rPr>
              <w:t>达州市宣汉县环境综合管控单元城镇重点管控单元（管控单元名称：宣汉县中心城区，管控单元编号：ZH51172220001）</w:t>
            </w:r>
            <w:r>
              <w:rPr>
                <w:rFonts w:hint="eastAsia"/>
                <w:sz w:val="24"/>
                <w:lang w:eastAsia="zh-CN"/>
              </w:rPr>
              <w:t>，</w:t>
            </w:r>
            <w:r>
              <w:rPr>
                <w:rFonts w:hint="eastAsia"/>
                <w:sz w:val="24"/>
              </w:rPr>
              <w:t>项目与管控单元相对位置如下图所示。</w:t>
            </w:r>
          </w:p>
          <w:p>
            <w:pPr>
              <w:adjustRightInd w:val="0"/>
              <w:spacing w:line="360" w:lineRule="auto"/>
              <w:jc w:val="center"/>
              <w:textAlignment w:val="baseline"/>
              <w:rPr>
                <w:sz w:val="24"/>
              </w:rPr>
            </w:pPr>
            <w:r>
              <mc:AlternateContent>
                <mc:Choice Requires="wps">
                  <w:drawing>
                    <wp:anchor distT="0" distB="0" distL="114300" distR="114300" simplePos="0" relativeHeight="251661312" behindDoc="0" locked="0" layoutInCell="1" allowOverlap="1">
                      <wp:simplePos x="0" y="0"/>
                      <wp:positionH relativeFrom="column">
                        <wp:posOffset>2896870</wp:posOffset>
                      </wp:positionH>
                      <wp:positionV relativeFrom="paragraph">
                        <wp:posOffset>2333625</wp:posOffset>
                      </wp:positionV>
                      <wp:extent cx="914400" cy="348615"/>
                      <wp:effectExtent l="6350" t="1013460" r="336550" b="9525"/>
                      <wp:wrapNone/>
                      <wp:docPr id="21" name="AutoShape 9"/>
                      <wp:cNvGraphicFramePr/>
                      <a:graphic xmlns:a="http://schemas.openxmlformats.org/drawingml/2006/main">
                        <a:graphicData uri="http://schemas.microsoft.com/office/word/2010/wordprocessingShape">
                          <wps:wsp>
                            <wps:cNvSpPr>
                              <a:spLocks noChangeArrowheads="1"/>
                            </wps:cNvSpPr>
                            <wps:spPr bwMode="auto">
                              <a:xfrm>
                                <a:off x="0" y="0"/>
                                <a:ext cx="914400" cy="348615"/>
                              </a:xfrm>
                              <a:prstGeom prst="wedgeRoundRectCallout">
                                <a:avLst>
                                  <a:gd name="adj1" fmla="val 83472"/>
                                  <a:gd name="adj2" fmla="val -327777"/>
                                  <a:gd name="adj3" fmla="val 16667"/>
                                </a:avLst>
                              </a:prstGeom>
                              <a:solidFill>
                                <a:srgbClr val="FFFFFF"/>
                              </a:solidFill>
                              <a:ln w="12700">
                                <a:solidFill>
                                  <a:srgbClr val="FF0000"/>
                                </a:solidFill>
                                <a:miter lim="800000"/>
                              </a:ln>
                            </wps:spPr>
                            <wps:txbx>
                              <w:txbxContent>
                                <w:p>
                                  <w:pPr>
                                    <w:jc w:val="center"/>
                                    <w:rPr>
                                      <w:color w:val="FF0000"/>
                                      <w:sz w:val="24"/>
                                    </w:rPr>
                                  </w:pPr>
                                  <w:r>
                                    <w:rPr>
                                      <w:rFonts w:hint="eastAsia"/>
                                      <w:color w:val="FF0000"/>
                                      <w:sz w:val="24"/>
                                    </w:rPr>
                                    <w:t>本项目</w:t>
                                  </w:r>
                                </w:p>
                              </w:txbxContent>
                            </wps:txbx>
                            <wps:bodyPr rot="0" vert="horz" wrap="square" lIns="91440" tIns="45720" rIns="91440" bIns="45720" anchor="t" anchorCtr="0" upright="1">
                              <a:noAutofit/>
                            </wps:bodyPr>
                          </wps:wsp>
                        </a:graphicData>
                      </a:graphic>
                    </wp:anchor>
                  </w:drawing>
                </mc:Choice>
                <mc:Fallback>
                  <w:pict>
                    <v:shape id="AutoShape 9" o:spid="_x0000_s1026" o:spt="62" type="#_x0000_t62" style="position:absolute;left:0pt;margin-left:228.1pt;margin-top:183.75pt;height:27.45pt;width:72pt;z-index:251661312;mso-width-relative:page;mso-height-relative:page;" fillcolor="#FFFFFF" filled="t" stroked="t" coordsize="21600,21600" o:gfxdata="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qSsC2AAAAAsBAAAPAAAAAAAAAAEAIAAAACIAAABkcnMvZG93bnJldi54bWxQSwECFAAUAAAA&#10;CACHTuJAYGie+GACAAAGBQAADgAAAAAAAAABACAAAAAnAQAAZHJzL2Uyb0RvYy54bWxQSwUGAAAA&#10;AAYABgBZAQAA+QUAAAAA&#10;" adj="28830,-60000,14400">
                      <v:fill on="t" focussize="0,0"/>
                      <v:stroke weight="1pt" color="#FF0000" miterlimit="8" joinstyle="miter"/>
                      <v:imagedata o:title=""/>
                      <o:lock v:ext="edit" aspectratio="f"/>
                      <v:textbox>
                        <w:txbxContent>
                          <w:p>
                            <w:pPr>
                              <w:jc w:val="center"/>
                              <w:rPr>
                                <w:color w:val="FF0000"/>
                                <w:sz w:val="24"/>
                              </w:rPr>
                            </w:pPr>
                            <w:r>
                              <w:rPr>
                                <w:rFonts w:hint="eastAsia"/>
                                <w:color w:val="FF0000"/>
                                <w:sz w:val="24"/>
                              </w:rPr>
                              <w:t>本项目</w:t>
                            </w:r>
                          </w:p>
                        </w:txbxContent>
                      </v:textbox>
                    </v:shape>
                  </w:pict>
                </mc:Fallback>
              </mc:AlternateContent>
            </w:r>
            <w:r>
              <w:rPr>
                <w:rFonts w:hint="default" w:ascii="Helvetica" w:hAnsi="Helvetica" w:eastAsia="Helvetica"/>
                <w:sz w:val="28"/>
                <w:szCs w:val="24"/>
              </w:rPr>
              <w:drawing>
                <wp:inline distT="0" distB="0" distL="114300" distR="114300">
                  <wp:extent cx="4971415" cy="2983230"/>
                  <wp:effectExtent l="0" t="0" r="635" b="7620"/>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6"/>
                          <a:stretch>
                            <a:fillRect/>
                          </a:stretch>
                        </pic:blipFill>
                        <pic:spPr>
                          <a:xfrm>
                            <a:off x="0" y="0"/>
                            <a:ext cx="4971415" cy="2983230"/>
                          </a:xfrm>
                          <a:prstGeom prst="rect">
                            <a:avLst/>
                          </a:prstGeom>
                          <a:noFill/>
                          <a:ln>
                            <a:noFill/>
                          </a:ln>
                        </pic:spPr>
                      </pic:pic>
                    </a:graphicData>
                  </a:graphic>
                </wp:inline>
              </w:drawing>
            </w:r>
          </w:p>
          <w:p>
            <w:pPr>
              <w:spacing w:line="360" w:lineRule="auto"/>
              <w:jc w:val="center"/>
              <w:rPr>
                <w:rFonts w:cs="Times New Roman"/>
                <w:sz w:val="24"/>
                <w:szCs w:val="24"/>
              </w:rPr>
            </w:pPr>
            <w:r>
              <w:rPr>
                <w:rFonts w:hint="eastAsia" w:eastAsia="黑体"/>
                <w:szCs w:val="21"/>
              </w:rPr>
              <w:t>图</w:t>
            </w:r>
            <w:r>
              <w:rPr>
                <w:rFonts w:eastAsia="黑体"/>
                <w:szCs w:val="21"/>
              </w:rPr>
              <w:t xml:space="preserve">1-2  </w:t>
            </w:r>
            <w:r>
              <w:rPr>
                <w:rFonts w:hint="eastAsia" w:eastAsia="黑体"/>
                <w:szCs w:val="21"/>
              </w:rPr>
              <w:t>项目与管控单元相对位置图</w:t>
            </w:r>
          </w:p>
        </w:tc>
      </w:tr>
    </w:tbl>
    <w:p>
      <w:pPr>
        <w:tabs>
          <w:tab w:val="left" w:pos="2040"/>
        </w:tabs>
        <w:spacing w:line="360" w:lineRule="auto"/>
        <w:rPr>
          <w:b/>
          <w:sz w:val="28"/>
          <w:szCs w:val="28"/>
        </w:rPr>
        <w:sectPr>
          <w:footerReference r:id="rId3" w:type="default"/>
          <w:pgSz w:w="11906" w:h="16838"/>
          <w:pgMar w:top="1134" w:right="1134" w:bottom="1134" w:left="1418" w:header="851" w:footer="992" w:gutter="0"/>
          <w:pgNumType w:start="1"/>
          <w:cols w:space="720" w:num="1"/>
          <w:docGrid w:type="lines"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60" w:type="dxa"/>
          </w:tcPr>
          <w:p>
            <w:pPr>
              <w:spacing w:line="360" w:lineRule="auto"/>
              <w:jc w:val="center"/>
              <w:rPr>
                <w:rFonts w:eastAsia="黑体" w:cs="Times New Roman"/>
                <w:color w:val="auto"/>
                <w:szCs w:val="21"/>
              </w:rPr>
            </w:pPr>
            <w:r>
              <w:rPr>
                <w:rFonts w:hint="eastAsia" w:eastAsia="黑体" w:cs="Times New Roman"/>
                <w:color w:val="auto"/>
                <w:szCs w:val="21"/>
              </w:rPr>
              <w:t>表</w:t>
            </w:r>
            <w:r>
              <w:rPr>
                <w:rFonts w:eastAsia="黑体" w:cs="Times New Roman"/>
                <w:color w:val="auto"/>
                <w:szCs w:val="21"/>
              </w:rPr>
              <w:t>1-</w:t>
            </w:r>
            <w:r>
              <w:rPr>
                <w:rFonts w:hint="eastAsia" w:eastAsia="黑体" w:cs="Times New Roman"/>
                <w:color w:val="auto"/>
                <w:szCs w:val="21"/>
                <w:lang w:val="en-US" w:eastAsia="zh-CN"/>
              </w:rPr>
              <w:t xml:space="preserve">6  </w:t>
            </w:r>
            <w:r>
              <w:rPr>
                <w:rFonts w:hint="eastAsia" w:eastAsia="黑体" w:cs="Times New Roman"/>
                <w:color w:val="auto"/>
                <w:szCs w:val="21"/>
              </w:rPr>
              <w:t>本项目与所涉及环境管控单元符合性分析一览表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851"/>
              <w:gridCol w:w="709"/>
              <w:gridCol w:w="1362"/>
              <w:gridCol w:w="6963"/>
              <w:gridCol w:w="2589"/>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4" w:type="dxa"/>
                  <w:gridSpan w:val="5"/>
                  <w:vAlign w:val="center"/>
                </w:tcPr>
                <w:p>
                  <w:pPr>
                    <w:keepNext w:val="0"/>
                    <w:keepLines w:val="0"/>
                    <w:pageBreakBefore w:val="0"/>
                    <w:kinsoku/>
                    <w:wordWrap/>
                    <w:overflowPunct/>
                    <w:topLinePunct w:val="0"/>
                    <w:autoSpaceDE/>
                    <w:autoSpaceDN/>
                    <w:bidi w:val="0"/>
                    <w:adjustRightInd/>
                    <w:snapToGrid/>
                    <w:jc w:val="center"/>
                    <w:textAlignment w:val="auto"/>
                    <w:rPr>
                      <w:b/>
                      <w:bCs/>
                      <w:color w:val="auto"/>
                      <w:sz w:val="21"/>
                      <w:szCs w:val="21"/>
                    </w:rPr>
                  </w:pPr>
                  <w:r>
                    <w:rPr>
                      <w:rFonts w:hint="eastAsia"/>
                      <w:b/>
                      <w:bCs/>
                      <w:color w:val="auto"/>
                      <w:sz w:val="21"/>
                      <w:szCs w:val="21"/>
                    </w:rPr>
                    <w:t>“三线一单”的具体要求</w:t>
                  </w:r>
                </w:p>
              </w:tc>
              <w:tc>
                <w:tcPr>
                  <w:tcW w:w="2589" w:type="dxa"/>
                  <w:vMerge w:val="restart"/>
                  <w:vAlign w:val="center"/>
                </w:tcPr>
                <w:p>
                  <w:pPr>
                    <w:keepNext w:val="0"/>
                    <w:keepLines w:val="0"/>
                    <w:pageBreakBefore w:val="0"/>
                    <w:kinsoku/>
                    <w:wordWrap/>
                    <w:overflowPunct/>
                    <w:topLinePunct w:val="0"/>
                    <w:autoSpaceDE/>
                    <w:autoSpaceDN/>
                    <w:bidi w:val="0"/>
                    <w:adjustRightInd/>
                    <w:snapToGrid/>
                    <w:jc w:val="center"/>
                    <w:textAlignment w:val="auto"/>
                    <w:rPr>
                      <w:b/>
                      <w:bCs/>
                      <w:color w:val="auto"/>
                      <w:sz w:val="21"/>
                      <w:szCs w:val="21"/>
                    </w:rPr>
                  </w:pPr>
                  <w:r>
                    <w:rPr>
                      <w:rFonts w:hint="eastAsia"/>
                      <w:b/>
                      <w:bCs/>
                      <w:color w:val="auto"/>
                      <w:sz w:val="21"/>
                      <w:szCs w:val="21"/>
                    </w:rPr>
                    <w:t>项目对应情况介绍</w:t>
                  </w:r>
                </w:p>
              </w:tc>
              <w:tc>
                <w:tcPr>
                  <w:tcW w:w="851" w:type="dxa"/>
                  <w:vMerge w:val="restart"/>
                  <w:vAlign w:val="center"/>
                </w:tcPr>
                <w:p>
                  <w:pPr>
                    <w:keepNext w:val="0"/>
                    <w:keepLines w:val="0"/>
                    <w:pageBreakBefore w:val="0"/>
                    <w:kinsoku/>
                    <w:wordWrap/>
                    <w:overflowPunct/>
                    <w:topLinePunct w:val="0"/>
                    <w:autoSpaceDE/>
                    <w:autoSpaceDN/>
                    <w:bidi w:val="0"/>
                    <w:adjustRightInd/>
                    <w:snapToGrid/>
                    <w:jc w:val="center"/>
                    <w:textAlignment w:val="auto"/>
                    <w:rPr>
                      <w:b/>
                      <w:bCs/>
                      <w:color w:val="auto"/>
                      <w:sz w:val="21"/>
                      <w:szCs w:val="21"/>
                    </w:rPr>
                  </w:pPr>
                  <w:r>
                    <w:rPr>
                      <w:rFonts w:hint="eastAsia"/>
                      <w:b/>
                      <w:bCs/>
                      <w:color w:val="auto"/>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9" w:type="dxa"/>
                  <w:gridSpan w:val="3"/>
                  <w:vAlign w:val="center"/>
                </w:tcPr>
                <w:p>
                  <w:pPr>
                    <w:keepNext w:val="0"/>
                    <w:keepLines w:val="0"/>
                    <w:pageBreakBefore w:val="0"/>
                    <w:kinsoku/>
                    <w:wordWrap/>
                    <w:overflowPunct/>
                    <w:topLinePunct w:val="0"/>
                    <w:autoSpaceDE/>
                    <w:autoSpaceDN/>
                    <w:bidi w:val="0"/>
                    <w:adjustRightInd/>
                    <w:snapToGrid/>
                    <w:jc w:val="center"/>
                    <w:textAlignment w:val="auto"/>
                    <w:rPr>
                      <w:b/>
                      <w:bCs/>
                      <w:color w:val="auto"/>
                      <w:sz w:val="21"/>
                      <w:szCs w:val="21"/>
                    </w:rPr>
                  </w:pPr>
                  <w:r>
                    <w:rPr>
                      <w:rFonts w:hint="eastAsia"/>
                      <w:b/>
                      <w:bCs/>
                      <w:color w:val="auto"/>
                      <w:sz w:val="21"/>
                      <w:szCs w:val="21"/>
                    </w:rPr>
                    <w:t>类别</w:t>
                  </w:r>
                </w:p>
              </w:tc>
              <w:tc>
                <w:tcPr>
                  <w:tcW w:w="8325" w:type="dxa"/>
                  <w:gridSpan w:val="2"/>
                  <w:vAlign w:val="center"/>
                </w:tcPr>
                <w:p>
                  <w:pPr>
                    <w:keepNext w:val="0"/>
                    <w:keepLines w:val="0"/>
                    <w:pageBreakBefore w:val="0"/>
                    <w:kinsoku/>
                    <w:wordWrap/>
                    <w:overflowPunct/>
                    <w:topLinePunct w:val="0"/>
                    <w:autoSpaceDE/>
                    <w:autoSpaceDN/>
                    <w:bidi w:val="0"/>
                    <w:adjustRightInd/>
                    <w:snapToGrid/>
                    <w:jc w:val="center"/>
                    <w:textAlignment w:val="auto"/>
                    <w:rPr>
                      <w:b/>
                      <w:bCs/>
                      <w:color w:val="auto"/>
                      <w:sz w:val="21"/>
                      <w:szCs w:val="21"/>
                    </w:rPr>
                  </w:pPr>
                  <w:r>
                    <w:rPr>
                      <w:rFonts w:hint="eastAsia"/>
                      <w:b/>
                      <w:bCs/>
                      <w:color w:val="auto"/>
                      <w:sz w:val="21"/>
                      <w:szCs w:val="21"/>
                    </w:rPr>
                    <w:t>对应管控要求</w:t>
                  </w:r>
                </w:p>
              </w:tc>
              <w:tc>
                <w:tcPr>
                  <w:tcW w:w="258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restart"/>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环境综合管控单元城镇重点管控单元、ZH51172220001宣汉县中心城区</w:t>
                  </w:r>
                </w:p>
              </w:tc>
              <w:tc>
                <w:tcPr>
                  <w:tcW w:w="851" w:type="dxa"/>
                  <w:vMerge w:val="restart"/>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普适性清单管控要求</w:t>
                  </w:r>
                </w:p>
              </w:tc>
              <w:tc>
                <w:tcPr>
                  <w:tcW w:w="709" w:type="dxa"/>
                  <w:vMerge w:val="restart"/>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color w:val="auto"/>
                      <w:sz w:val="21"/>
                      <w:szCs w:val="21"/>
                    </w:rPr>
                    <w:t>空间布局约束</w:t>
                  </w:r>
                </w:p>
              </w:tc>
              <w:tc>
                <w:tcPr>
                  <w:tcW w:w="1362"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禁止开发建设活动的要求</w:t>
                  </w:r>
                </w:p>
              </w:tc>
              <w:tc>
                <w:tcPr>
                  <w:tcW w:w="6963" w:type="dxa"/>
                  <w:vAlign w:val="center"/>
                </w:tcPr>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rPr>
                    <w:t>-原则上禁止新建工业企业（新建工业企业原则上都应在工业园区内建设）。</w:t>
                  </w:r>
                </w:p>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rPr>
                    <w:t>-禁止在居民区、学校、医疗和养老机构等周边新建有色金属冶炼、焦化、化工、铅蓄电池制造等行业企业，有序搬迁或依法关闭对土壤造成严重污染的现有企业。</w:t>
                  </w:r>
                </w:p>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-禁止在长江流域河湖管理范围内倾倒、填埋、堆放、弃置、处理固体废物。</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项目为自来水生产和供应，不属于</w:t>
                  </w:r>
                  <w:r>
                    <w:rPr>
                      <w:rFonts w:hint="eastAsia"/>
                      <w:color w:val="auto"/>
                      <w:sz w:val="21"/>
                      <w:szCs w:val="21"/>
                      <w:lang w:val="en-US" w:eastAsia="zh-CN"/>
                    </w:rPr>
                    <w:t>化工项目、尾矿库、工业项目</w:t>
                  </w:r>
                  <w:r>
                    <w:rPr>
                      <w:rFonts w:hint="eastAsia"/>
                      <w:color w:val="auto"/>
                      <w:sz w:val="21"/>
                      <w:szCs w:val="21"/>
                    </w:rPr>
                    <w:t>，不涉及重金属排放，</w:t>
                  </w:r>
                  <w:r>
                    <w:rPr>
                      <w:rFonts w:hint="eastAsia"/>
                      <w:color w:val="auto"/>
                      <w:sz w:val="21"/>
                      <w:szCs w:val="21"/>
                      <w:lang w:val="en-US" w:eastAsia="zh-CN"/>
                    </w:rPr>
                    <w:t>固体废弃物均合理处置</w:t>
                  </w:r>
                  <w:r>
                    <w:rPr>
                      <w:rFonts w:hint="eastAsia"/>
                      <w:color w:val="auto"/>
                      <w:sz w:val="21"/>
                      <w:szCs w:val="21"/>
                    </w:rPr>
                    <w:t>。</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7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1362"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限制开发建设活动的要求</w:t>
                  </w:r>
                </w:p>
              </w:tc>
              <w:tc>
                <w:tcPr>
                  <w:tcW w:w="6963" w:type="dxa"/>
                  <w:vAlign w:val="center"/>
                </w:tcPr>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rPr>
                    <w:t>-现有工业企业不得新增污染物排放。</w:t>
                  </w:r>
                </w:p>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rPr>
                    <w:t>-允许企业以提升安全、生态环境保护水平为目的的改建，引导企业结合推进新型城镇化、产业结构调整和化解过剩产能等，退城入园，有序搬迁。</w:t>
                  </w:r>
                </w:p>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rPr>
                    <w:t>-严格控制在城镇空间范围内新布设工业园区。若新布局工业园区，应符合达州市国土空间规划，并结合区域环境特点、三线成果、园区产业类别，充分论证选址的环境合理性。</w:t>
                  </w:r>
                </w:p>
                <w:p>
                  <w:pPr>
                    <w:keepNext w:val="0"/>
                    <w:keepLines w:val="0"/>
                    <w:pageBreakBefore w:val="0"/>
                    <w:kinsoku/>
                    <w:wordWrap/>
                    <w:overflowPunct/>
                    <w:topLinePunct w:val="0"/>
                    <w:autoSpaceDE/>
                    <w:autoSpaceDN/>
                    <w:bidi w:val="0"/>
                    <w:adjustRightInd/>
                    <w:snapToGrid/>
                    <w:textAlignment w:val="auto"/>
                    <w:rPr>
                      <w:rFonts w:hint="eastAsia" w:eastAsia="宋体"/>
                      <w:color w:val="auto"/>
                      <w:sz w:val="21"/>
                      <w:szCs w:val="21"/>
                      <w:lang w:eastAsia="zh-CN"/>
                    </w:rPr>
                  </w:pPr>
                  <w:r>
                    <w:rPr>
                      <w:rFonts w:hint="eastAsia"/>
                      <w:color w:val="auto"/>
                      <w:sz w:val="21"/>
                      <w:szCs w:val="21"/>
                    </w:rPr>
                    <w:t>-严格控制新增建设用地规模，法定城乡规划除外</w:t>
                  </w:r>
                  <w:r>
                    <w:rPr>
                      <w:rFonts w:hint="eastAsia"/>
                      <w:color w:val="auto"/>
                      <w:sz w:val="21"/>
                      <w:szCs w:val="21"/>
                      <w:lang w:eastAsia="zh-CN"/>
                    </w:rPr>
                    <w:t>。</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项目不属于工业企业</w:t>
                  </w:r>
                  <w:r>
                    <w:rPr>
                      <w:rFonts w:hint="eastAsia"/>
                      <w:color w:val="auto"/>
                      <w:sz w:val="21"/>
                      <w:szCs w:val="21"/>
                      <w:lang w:eastAsia="zh-CN"/>
                    </w:rPr>
                    <w:t>，</w:t>
                  </w:r>
                  <w:r>
                    <w:rPr>
                      <w:rFonts w:hint="eastAsia"/>
                      <w:color w:val="auto"/>
                      <w:sz w:val="21"/>
                      <w:szCs w:val="21"/>
                      <w:lang w:val="en-US" w:eastAsia="zh-CN"/>
                    </w:rPr>
                    <w:t>不属于工业园区，属于城乡规划范围内</w:t>
                  </w:r>
                  <w:r>
                    <w:rPr>
                      <w:rFonts w:hint="eastAsia"/>
                      <w:color w:val="auto"/>
                      <w:sz w:val="21"/>
                      <w:szCs w:val="21"/>
                    </w:rPr>
                    <w:t>。</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7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1362" w:type="dxa"/>
                  <w:vAlign w:val="center"/>
                </w:tcPr>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不符合空间布局要求活动的退出要求</w:t>
                  </w:r>
                </w:p>
              </w:tc>
              <w:tc>
                <w:tcPr>
                  <w:tcW w:w="6963" w:type="dxa"/>
                  <w:vAlign w:val="center"/>
                </w:tcPr>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rPr>
                    <w:t>-现有工业企业适时进行有序退出。</w:t>
                  </w:r>
                </w:p>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rPr>
                    <w:t>-按照相关规划和要求，清理整顿非法采砂、非法码头，全面清除不合规码头。</w:t>
                  </w:r>
                </w:p>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rPr>
                    <w:t>-在全市范围深入开展集中整治“散乱污”工业企业，对不符合产业政策和规划布局的，一律责令停产、限期搬迁或关停；</w:t>
                  </w:r>
                </w:p>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rPr>
                    <w:t>-有序搬迁或依法关闭对土壤造成严重污染的现有企业。</w:t>
                  </w:r>
                </w:p>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rPr>
                    <w:t>-到2025年，城镇人口密集区现有不符合安全和卫生防护距离要求的危险化学品生产企业搬迁进入规范化工园区或关闭退出。</w:t>
                  </w:r>
                </w:p>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-不断优化长江经济带化工行业空间布局，有效控制化工污染。推进化工企业搬迁入园，加强化工园区基础设施建设。</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项目不属于工业企业</w:t>
                  </w:r>
                  <w:r>
                    <w:rPr>
                      <w:rFonts w:hint="eastAsia"/>
                      <w:color w:val="auto"/>
                      <w:sz w:val="21"/>
                      <w:szCs w:val="21"/>
                      <w:lang w:eastAsia="zh-CN"/>
                    </w:rPr>
                    <w:t>、</w:t>
                  </w:r>
                  <w:r>
                    <w:rPr>
                      <w:rFonts w:hint="eastAsia"/>
                      <w:color w:val="auto"/>
                      <w:sz w:val="21"/>
                      <w:szCs w:val="21"/>
                      <w:lang w:val="en-US" w:eastAsia="zh-CN"/>
                    </w:rPr>
                    <w:t>不属于码头、采砂项目，不会对土壤造成污染</w:t>
                  </w:r>
                  <w:r>
                    <w:rPr>
                      <w:rFonts w:hint="eastAsia"/>
                      <w:color w:val="auto"/>
                      <w:sz w:val="21"/>
                      <w:szCs w:val="21"/>
                    </w:rPr>
                    <w:t>。</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709" w:type="dxa"/>
                  <w:vMerge w:val="restart"/>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color w:val="auto"/>
                      <w:sz w:val="21"/>
                      <w:szCs w:val="21"/>
                    </w:rPr>
                    <w:t>污染物排放管控</w:t>
                  </w:r>
                </w:p>
              </w:tc>
              <w:tc>
                <w:tcPr>
                  <w:tcW w:w="1362" w:type="dxa"/>
                  <w:vAlign w:val="center"/>
                </w:tcPr>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允许排放量要求</w:t>
                  </w:r>
                </w:p>
              </w:tc>
              <w:tc>
                <w:tcPr>
                  <w:tcW w:w="6963" w:type="dxa"/>
                  <w:vAlign w:val="center"/>
                </w:tcPr>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达州市2025年水污染物允许排放量COD33136.93t，氨氮2055.16t，TP252.53t</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rFonts w:hint="eastAsia" w:eastAsia="宋体"/>
                      <w:color w:val="auto"/>
                      <w:sz w:val="21"/>
                      <w:szCs w:val="21"/>
                      <w:lang w:eastAsia="zh-CN"/>
                    </w:rPr>
                  </w:pPr>
                  <w:r>
                    <w:rPr>
                      <w:rFonts w:hint="eastAsia"/>
                      <w:color w:val="auto"/>
                      <w:sz w:val="21"/>
                      <w:szCs w:val="21"/>
                      <w:lang w:val="en-US" w:eastAsia="zh-CN"/>
                    </w:rPr>
                    <w:t>本项目废水总量已纳入污水处理厂。</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7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1362"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现有源提标升级改造</w:t>
                  </w:r>
                </w:p>
              </w:tc>
              <w:tc>
                <w:tcPr>
                  <w:tcW w:w="6963" w:type="dxa"/>
                  <w:vAlign w:val="center"/>
                </w:tcPr>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rPr>
                    <w:t>-到2025年，水环境敏感地区污水处理基本达到一级A排放标准。</w:t>
                  </w:r>
                </w:p>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rPr>
                    <w:t>-燃气锅炉升级改造，达到特别排放限值。</w:t>
                  </w:r>
                </w:p>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城市污水处理厂进水生化需氧量（BOD）浓度低于100mgL的，要围绕服务片区管网，系统排查进水浓度偏低的原因，科学确定水质提升目标，制定并实施“一厂一策”系统化整治方案，稳步提升污水收集处理设施效能。</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rFonts w:hint="eastAsia" w:eastAsia="宋体"/>
                      <w:color w:val="auto"/>
                      <w:sz w:val="21"/>
                      <w:szCs w:val="21"/>
                      <w:lang w:eastAsia="zh-CN"/>
                    </w:rPr>
                  </w:pPr>
                  <w:r>
                    <w:rPr>
                      <w:rFonts w:hint="eastAsia"/>
                      <w:color w:val="auto"/>
                      <w:sz w:val="21"/>
                      <w:szCs w:val="21"/>
                      <w:lang w:val="en-US" w:eastAsia="zh-CN"/>
                    </w:rPr>
                    <w:t>本项目产生的废水经处理后排入市政污水管网，不外排</w:t>
                  </w:r>
                  <w:r>
                    <w:rPr>
                      <w:rFonts w:hint="eastAsia"/>
                      <w:color w:val="auto"/>
                      <w:sz w:val="21"/>
                      <w:szCs w:val="21"/>
                    </w:rPr>
                    <w:t>。</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7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1362"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新增源等量或倍量替代</w:t>
                  </w:r>
                </w:p>
              </w:tc>
              <w:tc>
                <w:tcPr>
                  <w:tcW w:w="6963" w:type="dxa"/>
                  <w:vAlign w:val="center"/>
                </w:tcPr>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rPr>
                    <w:t>-上一年度水环境质量未完成目标的，新建排放水污染的建设项目按照总量管控要求进行倍量削减替代。</w:t>
                  </w:r>
                </w:p>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上一年度空气质量年平均浓度不达标的城市，建设项目新增相关污染物按照总量管控要求进行倍量削减替代。加快城市天然气利用，增加天然气对煤炭和石油的替代，提高天然气民用、交通、发电、工业领域天然气消费比重。</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rFonts w:hint="default" w:eastAsia="宋体"/>
                      <w:color w:val="auto"/>
                      <w:sz w:val="21"/>
                      <w:szCs w:val="21"/>
                      <w:lang w:val="en-US" w:eastAsia="zh-CN"/>
                    </w:rPr>
                  </w:pPr>
                  <w:r>
                    <w:rPr>
                      <w:rFonts w:hint="eastAsia"/>
                      <w:color w:val="auto"/>
                      <w:sz w:val="21"/>
                      <w:szCs w:val="21"/>
                      <w:lang w:val="en-US" w:eastAsia="zh-CN"/>
                    </w:rPr>
                    <w:t>本项目废水总量已纳入污水处理厂，不涉及废气总量。</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7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1362"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污染物排放绩效水平准入要求</w:t>
                  </w:r>
                </w:p>
              </w:tc>
              <w:tc>
                <w:tcPr>
                  <w:tcW w:w="6963" w:type="dxa"/>
                  <w:vAlign w:val="center"/>
                </w:tcPr>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rPr>
                    <w:t>严格落实建设工地管理要求，做好扬尘污染管控工作。</w:t>
                  </w:r>
                </w:p>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rPr>
                    <w:t>-从事机动车修理、印刷、服装干洗、研发等排放挥发性有机污染物的生产作业，应当按照有关技术规范进行综合治理。禁止露天和敞开式喷漆作业；包装印刷业必须使用符合环保要求的油墨；餐饮服务业油烟和废水必须经处理达到相应排放标准要求。</w:t>
                  </w:r>
                </w:p>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rPr>
                    <w:t>-建材行业原料破碎、生产、运输、装卸等各环节严格落实抑尘措施，有效控制粉尘无组织排放。-到2023年，城市污泥无害化处置率和资源化利用率进一步提高，力争达州市鲜家坝、周家坝城市生活污水处理厂污泥无害化处置率达92%、各县（市）城市达85%；城市生活污水资源化利用水平明显提升。-到2023年基本实现原生生活垃圾“零填埋”，鼓励跨区域统筹建设焚烧处理设施，在生活垃圾日清运量不足300吨的地区探索开展小型生活垃圾焚烧设施试点；生活垃圾回收利用率力争达30%以上。</w:t>
                  </w:r>
                </w:p>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rPr>
                    <w:t>-实施密闭化收运，推广干湿分类收运。强化垃圾渗滤液、焚烧飞灰安全处置，城市生活垃圾无害化处理率保持100%。</w:t>
                  </w:r>
                </w:p>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rPr>
                    <w:t>-到2023年，力争全省生活垃圾焚烧处理能力占比达60%以上，地级以上城市具备厨余垃圾集中处理能力；县城生活垃圾无害化处理率保持95%以上，乡镇及行政村生活垃圾收转运处置体系基本实现全覆盖；</w:t>
                  </w:r>
                </w:p>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rPr>
                    <w:t>-2030年，渠江流域用水总量控制在31.61亿m</w:t>
                  </w:r>
                  <w:r>
                    <w:rPr>
                      <w:rFonts w:hint="eastAsia"/>
                      <w:color w:val="auto"/>
                      <w:sz w:val="21"/>
                      <w:szCs w:val="21"/>
                      <w:vertAlign w:val="superscript"/>
                    </w:rPr>
                    <w:t>3</w:t>
                  </w:r>
                  <w:r>
                    <w:rPr>
                      <w:rFonts w:hint="eastAsia"/>
                      <w:color w:val="auto"/>
                      <w:sz w:val="21"/>
                      <w:szCs w:val="21"/>
                    </w:rPr>
                    <w:t>以内，渠江干流COD排放总量限制在4.89万ta内、NH</w:t>
                  </w:r>
                  <w:r>
                    <w:rPr>
                      <w:rFonts w:hint="eastAsia"/>
                      <w:color w:val="auto"/>
                      <w:sz w:val="21"/>
                      <w:szCs w:val="21"/>
                      <w:vertAlign w:val="subscript"/>
                    </w:rPr>
                    <w:t>3</w:t>
                  </w:r>
                  <w:r>
                    <w:rPr>
                      <w:rFonts w:hint="eastAsia"/>
                      <w:color w:val="auto"/>
                      <w:sz w:val="21"/>
                      <w:szCs w:val="21"/>
                    </w:rPr>
                    <w:t>-N排放总量限制在0.54万ta内。全面推进节水型社会建设，加强河湖（库）水域岸线保护及管理，加强入河排污口规范化建设，加强工业污染、农业农村污染、船舶港口污染防治。对流域内饮用水源地进行有效保护及规范化建设。</w:t>
                  </w:r>
                </w:p>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-到2025年，基本消除城市建成区生活污水直排口和收集处理率设施空白区，城市生活污水集中收集率力争达到70%以上；城市和县城水处理能力基本满足经济社会发展需要，县城污水处理达到95%以上；</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项目为自来水生产和供应，项目运营期生活垃圾实现分类收集，全部无害化处置；</w:t>
                  </w:r>
                  <w:r>
                    <w:rPr>
                      <w:rFonts w:hint="eastAsia"/>
                      <w:color w:val="auto"/>
                      <w:sz w:val="21"/>
                      <w:szCs w:val="21"/>
                      <w:lang w:val="en-US" w:eastAsia="zh-CN"/>
                    </w:rPr>
                    <w:t>项目产生的废水经处理后排入市政污水管网，不外排</w:t>
                  </w:r>
                  <w:r>
                    <w:rPr>
                      <w:rFonts w:hint="eastAsia"/>
                      <w:color w:val="auto"/>
                      <w:sz w:val="21"/>
                      <w:szCs w:val="21"/>
                    </w:rPr>
                    <w:t>。</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709" w:type="dxa"/>
                  <w:vMerge w:val="restart"/>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color w:val="auto"/>
                      <w:sz w:val="21"/>
                      <w:szCs w:val="21"/>
                    </w:rPr>
                    <w:t>环境风险防控</w:t>
                  </w:r>
                </w:p>
              </w:tc>
              <w:tc>
                <w:tcPr>
                  <w:tcW w:w="1362" w:type="dxa"/>
                  <w:vAlign w:val="center"/>
                </w:tcPr>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联防联控要求</w:t>
                  </w:r>
                </w:p>
              </w:tc>
              <w:tc>
                <w:tcPr>
                  <w:tcW w:w="6963" w:type="dxa"/>
                  <w:vAlign w:val="center"/>
                </w:tcPr>
                <w:p>
                  <w:pPr>
                    <w:keepNext w:val="0"/>
                    <w:keepLines w:val="0"/>
                    <w:pageBreakBefore w:val="0"/>
                    <w:kinsoku/>
                    <w:wordWrap/>
                    <w:overflowPunct/>
                    <w:topLinePunct w:val="0"/>
                    <w:autoSpaceDE/>
                    <w:autoSpaceDN/>
                    <w:bidi w:val="0"/>
                    <w:adjustRightInd/>
                    <w:snapToGrid/>
                    <w:textAlignment w:val="auto"/>
                    <w:rPr>
                      <w:rFonts w:hint="eastAsia" w:eastAsia="宋体"/>
                      <w:color w:val="auto"/>
                      <w:sz w:val="21"/>
                      <w:szCs w:val="21"/>
                      <w:lang w:eastAsia="zh-CN"/>
                    </w:rPr>
                  </w:pPr>
                  <w:r>
                    <w:rPr>
                      <w:rFonts w:hint="eastAsia"/>
                      <w:color w:val="auto"/>
                      <w:sz w:val="21"/>
                      <w:szCs w:val="21"/>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r>
                    <w:rPr>
                      <w:rFonts w:hint="eastAsia"/>
                      <w:color w:val="auto"/>
                      <w:sz w:val="21"/>
                      <w:szCs w:val="21"/>
                      <w:lang w:eastAsia="zh-CN"/>
                    </w:rPr>
                    <w:t>。</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项目不涉及。</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7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1362"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企业环境风险防控要求</w:t>
                  </w:r>
                </w:p>
              </w:tc>
              <w:tc>
                <w:tcPr>
                  <w:tcW w:w="6963" w:type="dxa"/>
                  <w:vAlign w:val="center"/>
                </w:tcPr>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rPr>
                    <w:t>现有涉及五类重金属的企业，不得新增污染物排放，限期退城入园或关停</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rFonts w:hint="eastAsia" w:ascii="Times New Roman" w:hAnsi="Times New Roman" w:eastAsia="宋体" w:cs="黑体"/>
                      <w:color w:val="auto"/>
                      <w:kern w:val="2"/>
                      <w:sz w:val="21"/>
                      <w:szCs w:val="21"/>
                      <w:lang w:val="en-US" w:eastAsia="zh-CN" w:bidi="ar-SA"/>
                    </w:rPr>
                  </w:pPr>
                  <w:r>
                    <w:rPr>
                      <w:rFonts w:hint="eastAsia"/>
                      <w:color w:val="auto"/>
                      <w:sz w:val="21"/>
                      <w:szCs w:val="21"/>
                    </w:rPr>
                    <w:t>项目不涉及。</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黑体"/>
                      <w:color w:val="auto"/>
                      <w:kern w:val="2"/>
                      <w:sz w:val="21"/>
                      <w:szCs w:val="21"/>
                      <w:lang w:val="en-US" w:eastAsia="zh-CN" w:bidi="ar-SA"/>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7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1362"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用地环境风险防控要求</w:t>
                  </w:r>
                </w:p>
              </w:tc>
              <w:tc>
                <w:tcPr>
                  <w:tcW w:w="6963" w:type="dxa"/>
                  <w:vAlign w:val="center"/>
                </w:tcPr>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工业企业退出用地，须经评估、修复满足相应用地功能后，方可改变用途。</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项目不涉及。</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70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color w:val="auto"/>
                      <w:sz w:val="21"/>
                      <w:szCs w:val="21"/>
                    </w:rPr>
                    <w:t>资源开发利用要求</w:t>
                  </w:r>
                </w:p>
              </w:tc>
              <w:tc>
                <w:tcPr>
                  <w:tcW w:w="136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color w:val="auto"/>
                      <w:sz w:val="21"/>
                      <w:szCs w:val="21"/>
                    </w:rPr>
                    <w:t>水资源利用</w:t>
                  </w:r>
                  <w:r>
                    <w:rPr>
                      <w:rFonts w:hint="eastAsia"/>
                      <w:color w:val="auto"/>
                      <w:sz w:val="21"/>
                      <w:szCs w:val="21"/>
                      <w:lang w:val="en-US" w:eastAsia="zh-CN"/>
                    </w:rPr>
                    <w:t>总量</w:t>
                  </w:r>
                  <w:r>
                    <w:rPr>
                      <w:rFonts w:hint="eastAsia"/>
                      <w:color w:val="auto"/>
                      <w:sz w:val="21"/>
                      <w:szCs w:val="21"/>
                    </w:rPr>
                    <w:t>要求</w:t>
                  </w:r>
                </w:p>
              </w:tc>
              <w:tc>
                <w:tcPr>
                  <w:tcW w:w="6963" w:type="dxa"/>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黑体"/>
                      <w:color w:val="auto"/>
                      <w:kern w:val="2"/>
                      <w:sz w:val="21"/>
                      <w:szCs w:val="21"/>
                      <w:lang w:val="en-US" w:eastAsia="zh-CN" w:bidi="ar-SA"/>
                    </w:rPr>
                  </w:pPr>
                  <w:r>
                    <w:rPr>
                      <w:rFonts w:hint="eastAsia" w:ascii="Times New Roman" w:hAnsi="Times New Roman" w:eastAsia="宋体" w:cs="黑体"/>
                      <w:color w:val="auto"/>
                      <w:kern w:val="2"/>
                      <w:sz w:val="21"/>
                      <w:szCs w:val="21"/>
                      <w:lang w:val="en-US" w:eastAsia="zh-CN" w:bidi="ar-SA"/>
                    </w:rPr>
                    <w:t>-到2025年，全国污水收集效能显著提升，县城及城市污水处理能力基本满足当地经济社会发展需要，水环境敏感地区污水处理基本实现提标升级；全国地级及以上缺水城市再生水利用率达到25%以上。</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项目不涉及。</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7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rFonts w:hint="eastAsia"/>
                      <w:color w:val="auto"/>
                      <w:sz w:val="21"/>
                      <w:szCs w:val="21"/>
                    </w:rPr>
                  </w:pPr>
                </w:p>
              </w:tc>
              <w:tc>
                <w:tcPr>
                  <w:tcW w:w="1362" w:type="dxa"/>
                  <w:vAlign w:val="center"/>
                </w:tcPr>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ascii="Times New Roman" w:hAnsi="Times New Roman" w:eastAsia="宋体" w:cs="黑体"/>
                      <w:color w:val="auto"/>
                      <w:kern w:val="2"/>
                      <w:sz w:val="21"/>
                      <w:szCs w:val="21"/>
                      <w:lang w:val="en-US" w:eastAsia="zh-CN" w:bidi="ar-SA"/>
                    </w:rPr>
                    <w:t>地下水开采要求</w:t>
                  </w:r>
                </w:p>
              </w:tc>
              <w:tc>
                <w:tcPr>
                  <w:tcW w:w="6963" w:type="dxa"/>
                  <w:vAlign w:val="center"/>
                </w:tcPr>
                <w:p>
                  <w:pPr>
                    <w:keepNext w:val="0"/>
                    <w:keepLines w:val="0"/>
                    <w:pageBreakBefore w:val="0"/>
                    <w:kinsoku/>
                    <w:wordWrap/>
                    <w:overflowPunct/>
                    <w:topLinePunct w:val="0"/>
                    <w:autoSpaceDE/>
                    <w:autoSpaceDN/>
                    <w:bidi w:val="0"/>
                    <w:adjustRightInd/>
                    <w:snapToGrid/>
                    <w:textAlignment w:val="auto"/>
                    <w:rPr>
                      <w:rFonts w:hint="eastAsia" w:ascii="Times New Roman" w:hAnsi="Times New Roman" w:eastAsia="宋体" w:cs="黑体"/>
                      <w:color w:val="auto"/>
                      <w:kern w:val="2"/>
                      <w:sz w:val="21"/>
                      <w:szCs w:val="21"/>
                      <w:lang w:val="en-US" w:eastAsia="zh-CN" w:bidi="ar-SA"/>
                    </w:rPr>
                  </w:pPr>
                  <w:r>
                    <w:rPr>
                      <w:rFonts w:hint="eastAsia" w:ascii="Times New Roman" w:hAnsi="Times New Roman" w:eastAsia="宋体" w:cs="黑体"/>
                      <w:color w:val="auto"/>
                      <w:kern w:val="2"/>
                      <w:sz w:val="21"/>
                      <w:szCs w:val="21"/>
                      <w:lang w:val="en-US" w:eastAsia="zh-CN" w:bidi="ar-SA"/>
                    </w:rPr>
                    <w:t>以省市下发指标为准</w:t>
                  </w:r>
                  <w:r>
                    <w:rPr>
                      <w:rFonts w:hint="eastAsia" w:cs="黑体"/>
                      <w:color w:val="auto"/>
                      <w:kern w:val="2"/>
                      <w:sz w:val="21"/>
                      <w:szCs w:val="21"/>
                      <w:lang w:val="en-US" w:eastAsia="zh-CN" w:bidi="ar-SA"/>
                    </w:rPr>
                    <w:t>。</w:t>
                  </w:r>
                </w:p>
                <w:p>
                  <w:pPr>
                    <w:keepNext w:val="0"/>
                    <w:keepLines w:val="0"/>
                    <w:pageBreakBefore w:val="0"/>
                    <w:kinsoku/>
                    <w:wordWrap/>
                    <w:overflowPunct/>
                    <w:topLinePunct w:val="0"/>
                    <w:autoSpaceDE/>
                    <w:autoSpaceDN/>
                    <w:bidi w:val="0"/>
                    <w:adjustRightInd/>
                    <w:snapToGrid/>
                    <w:textAlignment w:val="auto"/>
                    <w:rPr>
                      <w:rFonts w:hint="eastAsia" w:ascii="Times New Roman" w:hAnsi="Times New Roman" w:eastAsia="宋体" w:cs="黑体"/>
                      <w:color w:val="auto"/>
                      <w:kern w:val="2"/>
                      <w:sz w:val="21"/>
                      <w:szCs w:val="21"/>
                      <w:lang w:val="en-US" w:eastAsia="zh-CN" w:bidi="ar-SA"/>
                    </w:rPr>
                  </w:pPr>
                  <w:r>
                    <w:rPr>
                      <w:rFonts w:hint="eastAsia" w:ascii="Times New Roman" w:hAnsi="Times New Roman" w:eastAsia="宋体" w:cs="黑体"/>
                      <w:color w:val="auto"/>
                      <w:kern w:val="2"/>
                      <w:sz w:val="21"/>
                      <w:szCs w:val="21"/>
                      <w:lang w:val="en-US" w:eastAsia="zh-CN" w:bidi="ar-SA"/>
                    </w:rPr>
                    <w:t>能源利用总量及效率要求</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rFonts w:hint="default" w:eastAsia="宋体"/>
                      <w:color w:val="auto"/>
                      <w:sz w:val="21"/>
                      <w:szCs w:val="21"/>
                      <w:lang w:val="en-US" w:eastAsia="zh-CN"/>
                    </w:rPr>
                  </w:pPr>
                  <w:r>
                    <w:rPr>
                      <w:rFonts w:hint="eastAsia"/>
                      <w:color w:val="auto"/>
                      <w:sz w:val="21"/>
                      <w:szCs w:val="21"/>
                      <w:lang w:val="en-US" w:eastAsia="zh-CN"/>
                    </w:rPr>
                    <w:t>项目不涉及。</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rFonts w:hint="eastAsia" w:eastAsia="宋体"/>
                      <w:color w:val="auto"/>
                      <w:sz w:val="21"/>
                      <w:szCs w:val="21"/>
                      <w:lang w:val="en-US" w:eastAsia="zh-CN"/>
                    </w:rPr>
                  </w:pPr>
                  <w:r>
                    <w:rPr>
                      <w:rFonts w:hint="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7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rFonts w:hint="eastAsia"/>
                      <w:color w:val="auto"/>
                      <w:sz w:val="21"/>
                      <w:szCs w:val="21"/>
                    </w:rPr>
                  </w:pPr>
                </w:p>
              </w:tc>
              <w:tc>
                <w:tcPr>
                  <w:tcW w:w="1362" w:type="dxa"/>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黑体"/>
                      <w:color w:val="auto"/>
                      <w:kern w:val="2"/>
                      <w:sz w:val="21"/>
                      <w:szCs w:val="21"/>
                      <w:lang w:val="en-US" w:eastAsia="zh-CN" w:bidi="ar-SA"/>
                    </w:rPr>
                  </w:pPr>
                  <w:r>
                    <w:rPr>
                      <w:rFonts w:hint="eastAsia"/>
                      <w:color w:val="auto"/>
                      <w:sz w:val="21"/>
                      <w:szCs w:val="21"/>
                    </w:rPr>
                    <w:t>能源利用效率要求</w:t>
                  </w:r>
                </w:p>
              </w:tc>
              <w:tc>
                <w:tcPr>
                  <w:tcW w:w="6963" w:type="dxa"/>
                  <w:vAlign w:val="center"/>
                </w:tcPr>
                <w:p>
                  <w:pPr>
                    <w:keepNext w:val="0"/>
                    <w:keepLines w:val="0"/>
                    <w:pageBreakBefore w:val="0"/>
                    <w:kinsoku/>
                    <w:wordWrap/>
                    <w:overflowPunct/>
                    <w:topLinePunct w:val="0"/>
                    <w:autoSpaceDE/>
                    <w:autoSpaceDN/>
                    <w:bidi w:val="0"/>
                    <w:adjustRightInd/>
                    <w:snapToGrid/>
                    <w:textAlignment w:val="auto"/>
                    <w:rPr>
                      <w:rFonts w:hint="eastAsia" w:ascii="Times New Roman" w:hAnsi="Times New Roman" w:eastAsia="宋体" w:cs="黑体"/>
                      <w:color w:val="auto"/>
                      <w:kern w:val="2"/>
                      <w:sz w:val="21"/>
                      <w:szCs w:val="21"/>
                      <w:lang w:val="en-US" w:eastAsia="zh-CN" w:bidi="ar-SA"/>
                    </w:rPr>
                  </w:pPr>
                  <w:r>
                    <w:rPr>
                      <w:rFonts w:hint="eastAsia" w:ascii="Times New Roman" w:hAnsi="Times New Roman" w:eastAsia="宋体" w:cs="黑体"/>
                      <w:color w:val="auto"/>
                      <w:kern w:val="2"/>
                      <w:sz w:val="21"/>
                      <w:szCs w:val="21"/>
                      <w:lang w:val="en-US" w:eastAsia="zh-CN" w:bidi="ar-SA"/>
                    </w:rPr>
                    <w:t>-严控使用燃煤等高污染燃料，禁止焚烧垃圾。</w:t>
                  </w:r>
                </w:p>
                <w:p>
                  <w:pPr>
                    <w:keepNext w:val="0"/>
                    <w:keepLines w:val="0"/>
                    <w:pageBreakBefore w:val="0"/>
                    <w:kinsoku/>
                    <w:wordWrap/>
                    <w:overflowPunct/>
                    <w:topLinePunct w:val="0"/>
                    <w:autoSpaceDE/>
                    <w:autoSpaceDN/>
                    <w:bidi w:val="0"/>
                    <w:adjustRightInd/>
                    <w:snapToGrid/>
                    <w:textAlignment w:val="auto"/>
                    <w:rPr>
                      <w:rFonts w:hint="eastAsia" w:ascii="Times New Roman" w:hAnsi="Times New Roman" w:eastAsia="宋体" w:cs="黑体"/>
                      <w:color w:val="auto"/>
                      <w:kern w:val="2"/>
                      <w:sz w:val="21"/>
                      <w:szCs w:val="21"/>
                      <w:lang w:val="en-US" w:eastAsia="zh-CN" w:bidi="ar-SA"/>
                    </w:rPr>
                  </w:pPr>
                  <w:r>
                    <w:rPr>
                      <w:rFonts w:hint="eastAsia" w:ascii="Times New Roman" w:hAnsi="Times New Roman" w:eastAsia="宋体" w:cs="黑体"/>
                      <w:color w:val="auto"/>
                      <w:kern w:val="2"/>
                      <w:sz w:val="21"/>
                      <w:szCs w:val="21"/>
                      <w:lang w:val="en-US" w:eastAsia="zh-CN" w:bidi="ar-SA"/>
                    </w:rPr>
                    <w:t>-全面淘汰每小时10蒸吨以下的燃煤锅炉；在供气管网覆盖不到的其他地区，改用电、新能源或洁净煤。</w:t>
                  </w:r>
                </w:p>
                <w:p>
                  <w:pPr>
                    <w:keepNext w:val="0"/>
                    <w:keepLines w:val="0"/>
                    <w:pageBreakBefore w:val="0"/>
                    <w:kinsoku/>
                    <w:wordWrap/>
                    <w:overflowPunct/>
                    <w:topLinePunct w:val="0"/>
                    <w:autoSpaceDE/>
                    <w:autoSpaceDN/>
                    <w:bidi w:val="0"/>
                    <w:adjustRightInd/>
                    <w:snapToGrid/>
                    <w:textAlignment w:val="auto"/>
                    <w:rPr>
                      <w:rFonts w:hint="eastAsia" w:ascii="Times New Roman" w:hAnsi="Times New Roman" w:eastAsia="宋体" w:cs="黑体"/>
                      <w:color w:val="auto"/>
                      <w:kern w:val="2"/>
                      <w:sz w:val="21"/>
                      <w:szCs w:val="21"/>
                      <w:lang w:val="en-US" w:eastAsia="zh-CN" w:bidi="ar-SA"/>
                    </w:rPr>
                  </w:pPr>
                  <w:r>
                    <w:rPr>
                      <w:rFonts w:hint="eastAsia" w:ascii="Times New Roman" w:hAnsi="Times New Roman" w:eastAsia="宋体" w:cs="黑体"/>
                      <w:color w:val="auto"/>
                      <w:kern w:val="2"/>
                      <w:sz w:val="21"/>
                      <w:szCs w:val="21"/>
                      <w:lang w:val="en-US" w:eastAsia="zh-CN" w:bidi="ar-SA"/>
                    </w:rPr>
                    <w:t>-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黑体"/>
                      <w:color w:val="auto"/>
                      <w:kern w:val="2"/>
                      <w:sz w:val="21"/>
                      <w:szCs w:val="21"/>
                      <w:lang w:val="en-US" w:eastAsia="zh-CN" w:bidi="ar-SA"/>
                    </w:rPr>
                  </w:pPr>
                  <w:r>
                    <w:rPr>
                      <w:rFonts w:hint="eastAsia"/>
                      <w:color w:val="auto"/>
                      <w:sz w:val="21"/>
                      <w:szCs w:val="21"/>
                      <w:lang w:val="en-US" w:eastAsia="zh-CN"/>
                    </w:rPr>
                    <w:t>本项目不涉及锅炉。</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黑体"/>
                      <w:color w:val="auto"/>
                      <w:kern w:val="2"/>
                      <w:sz w:val="21"/>
                      <w:szCs w:val="21"/>
                      <w:lang w:val="en-US" w:eastAsia="zh-CN" w:bidi="ar-SA"/>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7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1362" w:type="dxa"/>
                  <w:vAlign w:val="center"/>
                </w:tcPr>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禁燃区要求</w:t>
                  </w:r>
                </w:p>
              </w:tc>
              <w:tc>
                <w:tcPr>
                  <w:tcW w:w="6963" w:type="dxa"/>
                  <w:vAlign w:val="center"/>
                </w:tcPr>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rPr>
                    <w:t>-禁燃区内禁止销售、燃用高污染燃料；禁止新建、改建、扩建燃用高污染燃料的设施和设备。</w:t>
                  </w:r>
                </w:p>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-禁燃区内已建成的高污染燃料燃用设施由辖区人民政府制定限期改造计划，改用天然气、页岩气、液化石油气、电或其他清洁能源。</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rFonts w:hint="default" w:eastAsia="宋体"/>
                      <w:color w:val="auto"/>
                      <w:sz w:val="21"/>
                      <w:szCs w:val="21"/>
                      <w:lang w:val="en-US" w:eastAsia="zh-CN"/>
                    </w:rPr>
                  </w:pPr>
                  <w:r>
                    <w:rPr>
                      <w:rFonts w:hint="eastAsia"/>
                      <w:color w:val="auto"/>
                      <w:sz w:val="21"/>
                      <w:szCs w:val="21"/>
                      <w:lang w:val="en-US" w:eastAsia="zh-CN"/>
                    </w:rPr>
                    <w:t>本项目不涉及燃料。</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rFonts w:hint="eastAsia" w:eastAsia="宋体"/>
                      <w:color w:val="auto"/>
                      <w:sz w:val="21"/>
                      <w:szCs w:val="21"/>
                      <w:lang w:val="en-US" w:eastAsia="zh-CN"/>
                    </w:rPr>
                  </w:pPr>
                  <w:r>
                    <w:rPr>
                      <w:rFonts w:hint="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restart"/>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单元级清单管控要求</w:t>
                  </w:r>
                </w:p>
              </w:tc>
              <w:tc>
                <w:tcPr>
                  <w:tcW w:w="709" w:type="dxa"/>
                  <w:vMerge w:val="restart"/>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空间布局约束</w:t>
                  </w:r>
                </w:p>
              </w:tc>
              <w:tc>
                <w:tcPr>
                  <w:tcW w:w="1362"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禁止开发建设活动的要求</w:t>
                  </w:r>
                </w:p>
              </w:tc>
              <w:tc>
                <w:tcPr>
                  <w:tcW w:w="6963" w:type="dxa"/>
                  <w:vAlign w:val="center"/>
                </w:tcPr>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rPr>
                    <w:t>执行达州市城镇重点管控单元总体要求</w:t>
                  </w:r>
                </w:p>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不符合空间布局要求活动的退出要求</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项目符合普适性管控要求。</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7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1362"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限制开发建设活动的要求</w:t>
                  </w:r>
                </w:p>
              </w:tc>
              <w:tc>
                <w:tcPr>
                  <w:tcW w:w="6963" w:type="dxa"/>
                  <w:vAlign w:val="center"/>
                </w:tcPr>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执行达州市城镇重点管控单元总体要求</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项目符合普适性管控要求。</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7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1362" w:type="dxa"/>
                  <w:vAlign w:val="center"/>
                </w:tcPr>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rPr>
                    <w:t>允许开发建设活动的要求</w:t>
                  </w:r>
                </w:p>
              </w:tc>
              <w:tc>
                <w:tcPr>
                  <w:tcW w:w="6963" w:type="dxa"/>
                  <w:vAlign w:val="center"/>
                </w:tcPr>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rPr>
                    <w:t>执行达州市城镇重点管控单元总体要求</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r>
                    <w:rPr>
                      <w:rFonts w:hint="eastAsia"/>
                      <w:color w:val="auto"/>
                      <w:sz w:val="21"/>
                      <w:szCs w:val="21"/>
                    </w:rPr>
                    <w:t>项目符合普适性管控要求。</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7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1362"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不符合空间布局要求活动的退出要求</w:t>
                  </w:r>
                </w:p>
              </w:tc>
              <w:tc>
                <w:tcPr>
                  <w:tcW w:w="6963" w:type="dxa"/>
                  <w:vAlign w:val="center"/>
                </w:tcPr>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执行达州市城镇重点管控单元总体要求</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项目符合普适性管控要求。</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709" w:type="dxa"/>
                  <w:vMerge w:val="restart"/>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color w:val="auto"/>
                      <w:sz w:val="21"/>
                      <w:szCs w:val="21"/>
                    </w:rPr>
                    <w:t>污染物排放管控</w:t>
                  </w:r>
                </w:p>
              </w:tc>
              <w:tc>
                <w:tcPr>
                  <w:tcW w:w="1362"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现有源提标升级改造</w:t>
                  </w:r>
                </w:p>
              </w:tc>
              <w:tc>
                <w:tcPr>
                  <w:tcW w:w="6963" w:type="dxa"/>
                  <w:vAlign w:val="center"/>
                </w:tcPr>
                <w:p>
                  <w:pPr>
                    <w:pStyle w:val="5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color w:val="auto"/>
                      <w:sz w:val="21"/>
                      <w:szCs w:val="21"/>
                    </w:rPr>
                  </w:pPr>
                  <w:r>
                    <w:rPr>
                      <w:rStyle w:val="17"/>
                      <w:rFonts w:hint="eastAsia" w:ascii="宋体" w:hAnsi="宋体" w:eastAsia="宋体" w:cs="Times New Roman"/>
                      <w:color w:val="auto"/>
                      <w:kern w:val="2"/>
                      <w:sz w:val="21"/>
                      <w:szCs w:val="21"/>
                      <w:lang w:val="en-US" w:eastAsia="zh-CN" w:bidi="ar-SA"/>
                    </w:rPr>
                    <w:t>执行达州市城镇重点管控单元总体要求。</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项目符合普适性管控要求。</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7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1362"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新增源等量或倍量替代</w:t>
                  </w:r>
                </w:p>
              </w:tc>
              <w:tc>
                <w:tcPr>
                  <w:tcW w:w="6963" w:type="dxa"/>
                  <w:vAlign w:val="center"/>
                </w:tcPr>
                <w:p>
                  <w:pPr>
                    <w:pStyle w:val="5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color w:val="auto"/>
                      <w:sz w:val="21"/>
                      <w:szCs w:val="21"/>
                    </w:rPr>
                  </w:pPr>
                  <w:r>
                    <w:rPr>
                      <w:rStyle w:val="17"/>
                      <w:rFonts w:hint="eastAsia" w:ascii="宋体" w:hAnsi="宋体" w:eastAsia="宋体" w:cs="Times New Roman"/>
                      <w:color w:val="auto"/>
                      <w:kern w:val="2"/>
                      <w:sz w:val="21"/>
                      <w:szCs w:val="21"/>
                      <w:lang w:val="en-US" w:eastAsia="zh-CN" w:bidi="ar-SA"/>
                    </w:rPr>
                    <w:t>执行达州市城镇重点管控单元总体要求。</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项目符合普适性管控要求。</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7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1362"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新增源排放标准限值</w:t>
                  </w:r>
                </w:p>
              </w:tc>
              <w:tc>
                <w:tcPr>
                  <w:tcW w:w="6963" w:type="dxa"/>
                  <w:vAlign w:val="center"/>
                </w:tcPr>
                <w:p>
                  <w:pPr>
                    <w:pStyle w:val="5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color w:val="auto"/>
                      <w:sz w:val="21"/>
                      <w:szCs w:val="21"/>
                    </w:rPr>
                  </w:pPr>
                  <w:r>
                    <w:rPr>
                      <w:rStyle w:val="17"/>
                      <w:rFonts w:hint="eastAsia" w:ascii="宋体" w:hAnsi="宋体" w:eastAsia="宋体" w:cs="Times New Roman"/>
                      <w:color w:val="auto"/>
                      <w:kern w:val="2"/>
                      <w:sz w:val="21"/>
                      <w:szCs w:val="21"/>
                      <w:lang w:val="en-US" w:eastAsia="zh-CN" w:bidi="ar-SA"/>
                    </w:rPr>
                    <w:t>执行达州市城镇重点管控单元总体要求。</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项目符合普适性管控要求。</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7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1362"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污染物排放绩效水平准入要求</w:t>
                  </w:r>
                </w:p>
              </w:tc>
              <w:tc>
                <w:tcPr>
                  <w:tcW w:w="6963" w:type="dxa"/>
                  <w:vAlign w:val="center"/>
                </w:tcPr>
                <w:p>
                  <w:pPr>
                    <w:pStyle w:val="5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color w:val="auto"/>
                      <w:sz w:val="21"/>
                      <w:szCs w:val="21"/>
                    </w:rPr>
                  </w:pPr>
                  <w:r>
                    <w:rPr>
                      <w:rStyle w:val="17"/>
                      <w:rFonts w:hint="eastAsia" w:ascii="宋体" w:hAnsi="宋体" w:eastAsia="宋体" w:cs="Times New Roman"/>
                      <w:color w:val="auto"/>
                      <w:kern w:val="2"/>
                      <w:sz w:val="21"/>
                      <w:szCs w:val="21"/>
                      <w:lang w:val="en-US" w:eastAsia="zh-CN" w:bidi="ar-SA"/>
                    </w:rPr>
                    <w:t>执行达州市城镇重点管控单元总体要求。</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项目符合普适性管控要求。</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709" w:type="dxa"/>
                  <w:vMerge w:val="restart"/>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color w:val="auto"/>
                      <w:sz w:val="21"/>
                      <w:szCs w:val="21"/>
                    </w:rPr>
                    <w:t>环境风险防控</w:t>
                  </w:r>
                </w:p>
              </w:tc>
              <w:tc>
                <w:tcPr>
                  <w:tcW w:w="1362" w:type="dxa"/>
                  <w:vAlign w:val="center"/>
                </w:tcPr>
                <w:p>
                  <w:pPr>
                    <w:pStyle w:val="5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color w:val="auto"/>
                      <w:sz w:val="21"/>
                      <w:szCs w:val="21"/>
                    </w:rPr>
                  </w:pPr>
                  <w:r>
                    <w:rPr>
                      <w:rStyle w:val="17"/>
                      <w:rFonts w:hint="eastAsia" w:ascii="宋体" w:hAnsi="宋体" w:eastAsia="宋体" w:cs="Times New Roman"/>
                      <w:color w:val="auto"/>
                      <w:kern w:val="2"/>
                      <w:sz w:val="21"/>
                      <w:szCs w:val="21"/>
                      <w:lang w:val="en-US" w:eastAsia="zh-CN" w:bidi="ar-SA"/>
                    </w:rPr>
                    <w:t>严格管控类农用地管控要求</w:t>
                  </w:r>
                </w:p>
              </w:tc>
              <w:tc>
                <w:tcPr>
                  <w:tcW w:w="6963" w:type="dxa"/>
                  <w:vAlign w:val="center"/>
                </w:tcPr>
                <w:p>
                  <w:pPr>
                    <w:pStyle w:val="5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color w:val="auto"/>
                      <w:sz w:val="21"/>
                      <w:szCs w:val="21"/>
                    </w:rPr>
                  </w:pPr>
                  <w:r>
                    <w:rPr>
                      <w:rStyle w:val="17"/>
                      <w:rFonts w:hint="eastAsia" w:ascii="宋体" w:hAnsi="宋体" w:eastAsia="宋体" w:cs="Times New Roman"/>
                      <w:color w:val="auto"/>
                      <w:kern w:val="2"/>
                      <w:sz w:val="21"/>
                      <w:szCs w:val="21"/>
                      <w:lang w:val="en-US" w:eastAsia="zh-CN" w:bidi="ar-SA"/>
                    </w:rPr>
                    <w:t>城镇开发边界的划定避让永久基本农田红线和生态保护红线，避开蓄滞洪区、地质灾害易发区等。</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项目符合普适性管控要求。</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7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1362" w:type="dxa"/>
                  <w:vAlign w:val="center"/>
                </w:tcPr>
                <w:p>
                  <w:pPr>
                    <w:pStyle w:val="5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7"/>
                      <w:rFonts w:hint="eastAsia" w:ascii="宋体" w:hAnsi="宋体" w:eastAsia="宋体" w:cs="Times New Roman"/>
                      <w:color w:val="auto"/>
                      <w:kern w:val="2"/>
                      <w:sz w:val="21"/>
                      <w:szCs w:val="21"/>
                      <w:lang w:val="en-US" w:eastAsia="zh-CN" w:bidi="ar-SA"/>
                    </w:rPr>
                  </w:pPr>
                  <w:r>
                    <w:rPr>
                      <w:rStyle w:val="17"/>
                      <w:rFonts w:hint="eastAsia" w:ascii="宋体" w:hAnsi="宋体" w:eastAsia="宋体" w:cs="Times New Roman"/>
                      <w:color w:val="auto"/>
                      <w:kern w:val="2"/>
                      <w:sz w:val="21"/>
                      <w:szCs w:val="21"/>
                      <w:lang w:val="en-US" w:eastAsia="zh-CN" w:bidi="ar-SA"/>
                    </w:rPr>
                    <w:t>安全利用类农用地管控要求</w:t>
                  </w:r>
                </w:p>
              </w:tc>
              <w:tc>
                <w:tcPr>
                  <w:tcW w:w="6963" w:type="dxa"/>
                  <w:vAlign w:val="center"/>
                </w:tcPr>
                <w:p>
                  <w:pPr>
                    <w:pStyle w:val="5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7"/>
                      <w:rFonts w:hint="eastAsia" w:ascii="宋体" w:hAnsi="宋体" w:eastAsia="宋体" w:cs="Times New Roman"/>
                      <w:color w:val="auto"/>
                      <w:kern w:val="2"/>
                      <w:sz w:val="21"/>
                      <w:szCs w:val="21"/>
                      <w:lang w:val="en-US" w:eastAsia="zh-CN" w:bidi="ar-SA"/>
                    </w:rPr>
                  </w:pPr>
                  <w:r>
                    <w:rPr>
                      <w:rStyle w:val="17"/>
                      <w:rFonts w:hint="eastAsia" w:ascii="宋体" w:hAnsi="宋体" w:eastAsia="宋体" w:cs="Times New Roman"/>
                      <w:color w:val="auto"/>
                      <w:kern w:val="2"/>
                      <w:sz w:val="21"/>
                      <w:szCs w:val="21"/>
                      <w:lang w:val="en-US" w:eastAsia="zh-CN" w:bidi="ar-SA"/>
                    </w:rPr>
                    <w:t>有一定危险性仓库用地远离市区，按有关规范选址和建设，留够防护距离，原则上安排在城市北部宣双公路外侧山谷之中。其他同达州市城镇重点总体准入要求。</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rFonts w:hint="default" w:eastAsia="宋体"/>
                      <w:color w:val="auto"/>
                      <w:sz w:val="21"/>
                      <w:szCs w:val="21"/>
                      <w:lang w:val="en-US" w:eastAsia="zh-CN"/>
                    </w:rPr>
                  </w:pPr>
                  <w:r>
                    <w:rPr>
                      <w:rFonts w:hint="eastAsia"/>
                      <w:color w:val="auto"/>
                      <w:sz w:val="21"/>
                      <w:szCs w:val="21"/>
                      <w:lang w:val="en-US" w:eastAsia="zh-CN"/>
                    </w:rPr>
                    <w:t>本项目不涉及危险性仓库，且</w:t>
                  </w:r>
                  <w:r>
                    <w:rPr>
                      <w:rFonts w:hint="eastAsia"/>
                      <w:color w:val="auto"/>
                      <w:sz w:val="21"/>
                      <w:szCs w:val="21"/>
                    </w:rPr>
                    <w:t>符合普适性管控要求。</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7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1362" w:type="dxa"/>
                  <w:vAlign w:val="center"/>
                </w:tcPr>
                <w:p>
                  <w:pPr>
                    <w:pStyle w:val="5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7"/>
                      <w:rFonts w:hint="eastAsia" w:ascii="宋体" w:hAnsi="宋体" w:eastAsia="宋体" w:cs="Times New Roman"/>
                      <w:color w:val="auto"/>
                      <w:kern w:val="2"/>
                      <w:sz w:val="21"/>
                      <w:szCs w:val="21"/>
                      <w:lang w:val="en-US" w:eastAsia="zh-CN" w:bidi="ar-SA"/>
                    </w:rPr>
                  </w:pPr>
                  <w:r>
                    <w:rPr>
                      <w:rStyle w:val="17"/>
                      <w:rFonts w:hint="eastAsia" w:ascii="宋体" w:hAnsi="宋体" w:eastAsia="宋体" w:cs="Times New Roman"/>
                      <w:color w:val="auto"/>
                      <w:kern w:val="2"/>
                      <w:sz w:val="21"/>
                      <w:szCs w:val="21"/>
                      <w:lang w:val="en-US" w:eastAsia="zh-CN" w:bidi="ar-SA"/>
                    </w:rPr>
                    <w:t>污染地块管控要求</w:t>
                  </w:r>
                </w:p>
              </w:tc>
              <w:tc>
                <w:tcPr>
                  <w:tcW w:w="6963" w:type="dxa"/>
                  <w:vAlign w:val="center"/>
                </w:tcPr>
                <w:p>
                  <w:pPr>
                    <w:pStyle w:val="5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7"/>
                      <w:rFonts w:hint="eastAsia" w:ascii="宋体" w:hAnsi="宋体" w:eastAsia="宋体" w:cs="Times New Roman"/>
                      <w:color w:val="auto"/>
                      <w:kern w:val="2"/>
                      <w:sz w:val="21"/>
                      <w:szCs w:val="21"/>
                      <w:lang w:val="en-US" w:eastAsia="zh-CN" w:bidi="ar-SA"/>
                    </w:rPr>
                  </w:pPr>
                  <w:r>
                    <w:rPr>
                      <w:rStyle w:val="17"/>
                      <w:rFonts w:hint="eastAsia" w:ascii="宋体" w:hAnsi="宋体" w:eastAsia="宋体" w:cs="Times New Roman"/>
                      <w:color w:val="auto"/>
                      <w:kern w:val="2"/>
                      <w:sz w:val="21"/>
                      <w:szCs w:val="21"/>
                      <w:lang w:val="en-US" w:eastAsia="zh-CN" w:bidi="ar-SA"/>
                    </w:rPr>
                    <w:t>执行达州市城镇重点管控单元总体要求。</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rFonts w:hint="eastAsia" w:ascii="Times New Roman" w:hAnsi="Times New Roman" w:eastAsia="宋体" w:cs="黑体"/>
                      <w:color w:val="auto"/>
                      <w:kern w:val="2"/>
                      <w:sz w:val="21"/>
                      <w:szCs w:val="21"/>
                      <w:lang w:val="en-US" w:eastAsia="zh-CN" w:bidi="ar-SA"/>
                    </w:rPr>
                  </w:pPr>
                  <w:r>
                    <w:rPr>
                      <w:rFonts w:hint="eastAsia"/>
                      <w:color w:val="auto"/>
                      <w:sz w:val="21"/>
                      <w:szCs w:val="21"/>
                    </w:rPr>
                    <w:t>项目符合普适性管控要求。</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黑体"/>
                      <w:color w:val="auto"/>
                      <w:kern w:val="2"/>
                      <w:sz w:val="21"/>
                      <w:szCs w:val="21"/>
                      <w:lang w:val="en-US" w:eastAsia="zh-CN" w:bidi="ar-SA"/>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7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1362" w:type="dxa"/>
                  <w:vAlign w:val="center"/>
                </w:tcPr>
                <w:p>
                  <w:pPr>
                    <w:pStyle w:val="5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7"/>
                      <w:rFonts w:hint="eastAsia" w:ascii="宋体" w:hAnsi="宋体" w:eastAsia="宋体" w:cs="Times New Roman"/>
                      <w:color w:val="auto"/>
                      <w:kern w:val="2"/>
                      <w:sz w:val="21"/>
                      <w:szCs w:val="21"/>
                      <w:lang w:val="en-US" w:eastAsia="zh-CN" w:bidi="ar-SA"/>
                    </w:rPr>
                  </w:pPr>
                  <w:r>
                    <w:rPr>
                      <w:rStyle w:val="17"/>
                      <w:rFonts w:hint="eastAsia" w:ascii="宋体" w:hAnsi="宋体" w:eastAsia="宋体" w:cs="Times New Roman"/>
                      <w:color w:val="auto"/>
                      <w:kern w:val="2"/>
                      <w:sz w:val="21"/>
                      <w:szCs w:val="21"/>
                      <w:lang w:val="en-US" w:eastAsia="zh-CN" w:bidi="ar-SA"/>
                    </w:rPr>
                    <w:t>企业环境风险防控要求</w:t>
                  </w:r>
                </w:p>
              </w:tc>
              <w:tc>
                <w:tcPr>
                  <w:tcW w:w="6963" w:type="dxa"/>
                  <w:vAlign w:val="center"/>
                </w:tcPr>
                <w:p>
                  <w:pPr>
                    <w:pStyle w:val="5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7"/>
                      <w:rFonts w:hint="eastAsia" w:ascii="宋体" w:hAnsi="宋体" w:eastAsia="宋体" w:cs="Times New Roman"/>
                      <w:color w:val="auto"/>
                      <w:kern w:val="2"/>
                      <w:sz w:val="21"/>
                      <w:szCs w:val="21"/>
                      <w:lang w:val="en-US" w:eastAsia="zh-CN" w:bidi="ar-SA"/>
                    </w:rPr>
                  </w:pPr>
                  <w:r>
                    <w:rPr>
                      <w:rStyle w:val="17"/>
                      <w:rFonts w:hint="eastAsia" w:ascii="宋体" w:hAnsi="宋体" w:eastAsia="宋体" w:cs="Times New Roman"/>
                      <w:color w:val="auto"/>
                      <w:kern w:val="2"/>
                      <w:sz w:val="21"/>
                      <w:szCs w:val="21"/>
                      <w:lang w:val="en-US" w:eastAsia="zh-CN" w:bidi="ar-SA"/>
                    </w:rPr>
                    <w:t>执行达州市城镇重点管控单元总体要求。</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rFonts w:hint="eastAsia" w:ascii="Times New Roman" w:hAnsi="Times New Roman" w:eastAsia="宋体" w:cs="黑体"/>
                      <w:color w:val="auto"/>
                      <w:kern w:val="2"/>
                      <w:sz w:val="21"/>
                      <w:szCs w:val="21"/>
                      <w:lang w:val="en-US" w:eastAsia="zh-CN" w:bidi="ar-SA"/>
                    </w:rPr>
                  </w:pPr>
                  <w:r>
                    <w:rPr>
                      <w:rFonts w:hint="eastAsia"/>
                      <w:color w:val="auto"/>
                      <w:sz w:val="21"/>
                      <w:szCs w:val="21"/>
                    </w:rPr>
                    <w:t>项目符合普适性管控要求。</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黑体"/>
                      <w:color w:val="auto"/>
                      <w:kern w:val="2"/>
                      <w:sz w:val="21"/>
                      <w:szCs w:val="21"/>
                      <w:lang w:val="en-US" w:eastAsia="zh-CN" w:bidi="ar-SA"/>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709" w:type="dxa"/>
                  <w:vMerge w:val="restart"/>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资源开发利用要求</w:t>
                  </w:r>
                </w:p>
              </w:tc>
              <w:tc>
                <w:tcPr>
                  <w:tcW w:w="1362"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水资源利用效率要求</w:t>
                  </w:r>
                </w:p>
              </w:tc>
              <w:tc>
                <w:tcPr>
                  <w:tcW w:w="6963" w:type="dxa"/>
                  <w:vAlign w:val="center"/>
                </w:tcPr>
                <w:p>
                  <w:pPr>
                    <w:pStyle w:val="5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color w:val="auto"/>
                      <w:sz w:val="21"/>
                      <w:szCs w:val="21"/>
                    </w:rPr>
                  </w:pPr>
                  <w:r>
                    <w:rPr>
                      <w:rStyle w:val="17"/>
                      <w:rFonts w:hint="eastAsia" w:ascii="宋体" w:hAnsi="宋体" w:eastAsia="宋体" w:cs="Times New Roman"/>
                      <w:color w:val="auto"/>
                      <w:kern w:val="2"/>
                      <w:sz w:val="21"/>
                      <w:szCs w:val="21"/>
                      <w:lang w:val="en-US" w:eastAsia="zh-CN" w:bidi="ar-SA"/>
                    </w:rPr>
                    <w:t>执行达州市城镇重点管控单元总体要求。</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项目符合普适性管控要求。</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7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rFonts w:hint="eastAsia"/>
                      <w:color w:val="auto"/>
                      <w:sz w:val="21"/>
                      <w:szCs w:val="21"/>
                    </w:rPr>
                  </w:pPr>
                </w:p>
              </w:tc>
              <w:tc>
                <w:tcPr>
                  <w:tcW w:w="1362" w:type="dxa"/>
                  <w:vAlign w:val="center"/>
                </w:tcPr>
                <w:p>
                  <w:pPr>
                    <w:pStyle w:val="5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eastAsia"/>
                      <w:color w:val="auto"/>
                      <w:sz w:val="21"/>
                      <w:szCs w:val="21"/>
                    </w:rPr>
                  </w:pPr>
                  <w:r>
                    <w:rPr>
                      <w:rStyle w:val="17"/>
                      <w:rFonts w:hint="eastAsia" w:ascii="宋体" w:hAnsi="宋体" w:eastAsia="宋体" w:cs="Times New Roman"/>
                      <w:color w:val="auto"/>
                      <w:kern w:val="2"/>
                      <w:sz w:val="21"/>
                      <w:szCs w:val="21"/>
                      <w:lang w:val="en-US" w:eastAsia="zh-CN" w:bidi="ar-SA"/>
                    </w:rPr>
                    <w:t>地下水开采要求</w:t>
                  </w:r>
                </w:p>
              </w:tc>
              <w:tc>
                <w:tcPr>
                  <w:tcW w:w="6963" w:type="dxa"/>
                  <w:vAlign w:val="center"/>
                </w:tcPr>
                <w:p>
                  <w:pPr>
                    <w:pStyle w:val="5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7"/>
                      <w:rFonts w:hint="eastAsia" w:ascii="宋体" w:hAnsi="宋体" w:eastAsia="宋体" w:cs="Times New Roman"/>
                      <w:color w:val="auto"/>
                      <w:kern w:val="2"/>
                      <w:sz w:val="21"/>
                      <w:szCs w:val="21"/>
                      <w:lang w:val="en-US" w:eastAsia="zh-CN" w:bidi="ar-SA"/>
                    </w:rPr>
                  </w:pPr>
                  <w:r>
                    <w:rPr>
                      <w:rStyle w:val="17"/>
                      <w:rFonts w:hint="eastAsia" w:ascii="宋体" w:hAnsi="宋体" w:eastAsia="宋体" w:cs="Times New Roman"/>
                      <w:color w:val="auto"/>
                      <w:kern w:val="2"/>
                      <w:sz w:val="21"/>
                      <w:szCs w:val="21"/>
                      <w:lang w:val="en-US" w:eastAsia="zh-CN" w:bidi="ar-SA"/>
                    </w:rPr>
                    <w:t>执行达州市城镇重点管控单元总体要求。</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rFonts w:hint="eastAsia" w:ascii="Times New Roman" w:hAnsi="Times New Roman" w:eastAsia="宋体" w:cs="黑体"/>
                      <w:color w:val="auto"/>
                      <w:kern w:val="2"/>
                      <w:sz w:val="21"/>
                      <w:szCs w:val="21"/>
                      <w:lang w:val="en-US" w:eastAsia="zh-CN" w:bidi="ar-SA"/>
                    </w:rPr>
                  </w:pPr>
                  <w:r>
                    <w:rPr>
                      <w:rFonts w:hint="eastAsia"/>
                      <w:color w:val="auto"/>
                      <w:sz w:val="21"/>
                      <w:szCs w:val="21"/>
                    </w:rPr>
                    <w:t>项目符合普适性管控要求。</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黑体"/>
                      <w:color w:val="auto"/>
                      <w:kern w:val="2"/>
                      <w:sz w:val="21"/>
                      <w:szCs w:val="21"/>
                      <w:lang w:val="en-US" w:eastAsia="zh-CN" w:bidi="ar-SA"/>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851"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709"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p>
              </w:tc>
              <w:tc>
                <w:tcPr>
                  <w:tcW w:w="1362"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能源利用效率要求</w:t>
                  </w:r>
                </w:p>
              </w:tc>
              <w:tc>
                <w:tcPr>
                  <w:tcW w:w="6963" w:type="dxa"/>
                  <w:vAlign w:val="center"/>
                </w:tcPr>
                <w:p>
                  <w:pPr>
                    <w:pStyle w:val="5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color w:val="auto"/>
                      <w:sz w:val="21"/>
                      <w:szCs w:val="21"/>
                    </w:rPr>
                  </w:pPr>
                  <w:r>
                    <w:rPr>
                      <w:rStyle w:val="17"/>
                      <w:rFonts w:hint="eastAsia" w:ascii="宋体" w:hAnsi="宋体" w:eastAsia="宋体" w:cs="Times New Roman"/>
                      <w:color w:val="auto"/>
                      <w:kern w:val="2"/>
                      <w:sz w:val="21"/>
                      <w:szCs w:val="21"/>
                      <w:lang w:val="en-US" w:eastAsia="zh-CN" w:bidi="ar-SA"/>
                    </w:rPr>
                    <w:t>执行达州市城镇重点管控单元总体要求。</w:t>
                  </w:r>
                </w:p>
              </w:tc>
              <w:tc>
                <w:tcPr>
                  <w:tcW w:w="2589" w:type="dxa"/>
                  <w:vAlign w:val="center"/>
                </w:tcPr>
                <w:p>
                  <w:pPr>
                    <w:keepNext w:val="0"/>
                    <w:keepLines w:val="0"/>
                    <w:pageBreakBefore w:val="0"/>
                    <w:kinsoku/>
                    <w:wordWrap/>
                    <w:overflowPunct/>
                    <w:topLinePunct w:val="0"/>
                    <w:autoSpaceDE/>
                    <w:autoSpaceDN/>
                    <w:bidi w:val="0"/>
                    <w:adjustRightInd/>
                    <w:snapToGrid/>
                    <w:textAlignment w:val="auto"/>
                    <w:rPr>
                      <w:color w:val="auto"/>
                      <w:sz w:val="21"/>
                      <w:szCs w:val="21"/>
                    </w:rPr>
                  </w:pPr>
                  <w:r>
                    <w:rPr>
                      <w:rFonts w:hint="eastAsia"/>
                      <w:color w:val="auto"/>
                      <w:sz w:val="21"/>
                      <w:szCs w:val="21"/>
                    </w:rPr>
                    <w:t>项目符合普适性管控要求。</w:t>
                  </w:r>
                </w:p>
              </w:tc>
              <w:tc>
                <w:tcPr>
                  <w:tcW w:w="851" w:type="dxa"/>
                  <w:vAlign w:val="center"/>
                </w:tcPr>
                <w:p>
                  <w:pPr>
                    <w:keepNext w:val="0"/>
                    <w:keepLines w:val="0"/>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符合</w:t>
                  </w:r>
                </w:p>
              </w:tc>
            </w:tr>
          </w:tbl>
          <w:p>
            <w:pPr>
              <w:tabs>
                <w:tab w:val="left" w:pos="2040"/>
              </w:tabs>
              <w:spacing w:line="360" w:lineRule="auto"/>
              <w:ind w:firstLine="480" w:firstLineChars="200"/>
              <w:rPr>
                <w:rFonts w:cs="Times New Roman"/>
                <w:bCs/>
                <w:color w:val="auto"/>
                <w:sz w:val="24"/>
                <w:szCs w:val="24"/>
              </w:rPr>
            </w:pPr>
            <w:r>
              <w:rPr>
                <w:rFonts w:hint="eastAsia" w:cs="Times New Roman"/>
                <w:bCs/>
                <w:color w:val="auto"/>
                <w:sz w:val="24"/>
                <w:szCs w:val="24"/>
              </w:rPr>
              <w:t>根据分析，本项目符合</w:t>
            </w:r>
            <w:r>
              <w:rPr>
                <w:rFonts w:hint="eastAsia" w:cs="Times New Roman"/>
                <w:bCs/>
                <w:color w:val="auto"/>
                <w:sz w:val="24"/>
                <w:szCs w:val="24"/>
                <w:lang w:eastAsia="zh-CN"/>
              </w:rPr>
              <w:t>达州市</w:t>
            </w:r>
            <w:r>
              <w:rPr>
                <w:rFonts w:hint="eastAsia" w:cs="Times New Roman"/>
                <w:bCs/>
                <w:color w:val="auto"/>
                <w:sz w:val="24"/>
                <w:szCs w:val="24"/>
              </w:rPr>
              <w:t>“三线一单”相关要求。</w:t>
            </w:r>
          </w:p>
          <w:p>
            <w:pPr>
              <w:tabs>
                <w:tab w:val="left" w:pos="2040"/>
              </w:tabs>
              <w:spacing w:line="360" w:lineRule="auto"/>
              <w:ind w:firstLine="480" w:firstLineChars="200"/>
              <w:rPr>
                <w:rFonts w:cs="Times New Roman"/>
                <w:bCs/>
                <w:sz w:val="24"/>
                <w:szCs w:val="24"/>
              </w:rPr>
            </w:pPr>
          </w:p>
          <w:p>
            <w:pPr>
              <w:tabs>
                <w:tab w:val="left" w:pos="2040"/>
              </w:tabs>
              <w:spacing w:line="360" w:lineRule="auto"/>
              <w:ind w:firstLine="480" w:firstLineChars="200"/>
              <w:rPr>
                <w:rFonts w:cs="Times New Roman"/>
                <w:bCs/>
                <w:sz w:val="24"/>
                <w:szCs w:val="24"/>
              </w:rPr>
            </w:pPr>
          </w:p>
          <w:p>
            <w:pPr>
              <w:tabs>
                <w:tab w:val="left" w:pos="2040"/>
              </w:tabs>
              <w:spacing w:line="360" w:lineRule="auto"/>
              <w:ind w:firstLine="480" w:firstLineChars="200"/>
              <w:rPr>
                <w:rFonts w:cs="Times New Roman"/>
                <w:bCs/>
                <w:sz w:val="24"/>
                <w:szCs w:val="24"/>
              </w:rPr>
            </w:pPr>
          </w:p>
          <w:p>
            <w:pPr>
              <w:tabs>
                <w:tab w:val="left" w:pos="2040"/>
              </w:tabs>
              <w:spacing w:line="360" w:lineRule="auto"/>
              <w:ind w:firstLine="480" w:firstLineChars="200"/>
              <w:rPr>
                <w:rFonts w:cs="Times New Roman"/>
                <w:bCs/>
                <w:sz w:val="24"/>
                <w:szCs w:val="24"/>
              </w:rPr>
            </w:pPr>
          </w:p>
          <w:p>
            <w:pPr>
              <w:tabs>
                <w:tab w:val="left" w:pos="2040"/>
              </w:tabs>
              <w:spacing w:line="360" w:lineRule="auto"/>
              <w:ind w:firstLine="480" w:firstLineChars="200"/>
              <w:rPr>
                <w:rFonts w:cs="Times New Roman"/>
                <w:bCs/>
                <w:sz w:val="24"/>
                <w:szCs w:val="24"/>
              </w:rPr>
            </w:pPr>
          </w:p>
          <w:p>
            <w:pPr>
              <w:tabs>
                <w:tab w:val="left" w:pos="2040"/>
              </w:tabs>
              <w:spacing w:line="360" w:lineRule="auto"/>
              <w:ind w:firstLine="480" w:firstLineChars="200"/>
              <w:rPr>
                <w:rFonts w:cs="Times New Roman"/>
                <w:bCs/>
                <w:sz w:val="24"/>
                <w:szCs w:val="24"/>
              </w:rPr>
            </w:pPr>
          </w:p>
        </w:tc>
      </w:tr>
    </w:tbl>
    <w:p>
      <w:pPr>
        <w:tabs>
          <w:tab w:val="left" w:pos="2040"/>
        </w:tabs>
        <w:rPr>
          <w:sz w:val="28"/>
          <w:szCs w:val="28"/>
        </w:rPr>
        <w:sectPr>
          <w:pgSz w:w="16838" w:h="11906" w:orient="landscape"/>
          <w:pgMar w:top="1418" w:right="1134" w:bottom="1134" w:left="1134" w:header="851" w:footer="992" w:gutter="0"/>
          <w:cols w:space="720" w:num="1"/>
          <w:docGrid w:type="lines"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9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tcPr>
          <w:p>
            <w:pPr>
              <w:pStyle w:val="2"/>
              <w:jc w:val="center"/>
              <w:rPr>
                <w:vertAlign w:val="baseline"/>
              </w:rPr>
            </w:pPr>
            <w:r>
              <w:rPr>
                <w:rFonts w:hint="eastAsia" w:cs="Times New Roman"/>
                <w:sz w:val="24"/>
                <w:szCs w:val="24"/>
              </w:rPr>
              <w:t>其他符合性分析</w:t>
            </w:r>
          </w:p>
        </w:tc>
        <w:tc>
          <w:tcPr>
            <w:tcW w:w="9063" w:type="dxa"/>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sz w:val="24"/>
                <w:szCs w:val="24"/>
              </w:rPr>
            </w:pPr>
            <w:r>
              <w:rPr>
                <w:b/>
                <w:bCs/>
                <w:sz w:val="24"/>
                <w:szCs w:val="24"/>
              </w:rPr>
              <w:t>3</w:t>
            </w:r>
            <w:r>
              <w:rPr>
                <w:rFonts w:hint="eastAsia"/>
                <w:b/>
                <w:bCs/>
                <w:sz w:val="24"/>
                <w:szCs w:val="24"/>
              </w:rPr>
              <w:t>、与《四川省饮用水水源保护管理条例》符合性分析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根据《四川省饮用水水源保护管理条例》要求：地表水饮用水水源一级保护区内，除遵守地表水饮用水准保护区规定、二级保护区内规定外，还应当遵守下列规定：（1）禁止新建、改建、扩建与供水设施和保护水源无关的建设项目，已建成的与供水设施和保护水源无关的建设项目，由县级以上地方人民政府责令拆除或者关闭；（2）禁止使用化肥；（3）禁止设置畜禽养殖场；（4）禁止与保护水源无关的船舶停靠、装卸；（5）禁止在水体清洗机动车辆；（6）禁止从事旅游、游泳、垂钓或者其他污染饮用水水体的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本项目</w:t>
            </w:r>
            <w:r>
              <w:rPr>
                <w:rFonts w:hint="eastAsia"/>
                <w:sz w:val="24"/>
                <w:szCs w:val="24"/>
                <w:lang w:val="en-US" w:eastAsia="zh-CN"/>
              </w:rPr>
              <w:t>位于</w:t>
            </w:r>
            <w:r>
              <w:rPr>
                <w:rFonts w:hint="eastAsia" w:cs="Times New Roman"/>
                <w:sz w:val="24"/>
                <w:szCs w:val="24"/>
                <w:lang w:eastAsia="zh-CN"/>
              </w:rPr>
              <w:t>宣汉县蒲江街道</w:t>
            </w:r>
            <w:r>
              <w:rPr>
                <w:rFonts w:hint="eastAsia" w:cs="宋体"/>
                <w:sz w:val="24"/>
                <w:szCs w:val="24"/>
              </w:rPr>
              <w:t>，</w:t>
            </w:r>
            <w:r>
              <w:rPr>
                <w:rFonts w:hint="eastAsia" w:cs="宋体"/>
                <w:sz w:val="24"/>
                <w:szCs w:val="24"/>
                <w:lang w:val="en-US" w:eastAsia="zh-CN"/>
              </w:rPr>
              <w:t>涉及了饮用水源二级保护区陆域范围，</w:t>
            </w:r>
            <w:r>
              <w:rPr>
                <w:rFonts w:hint="eastAsia" w:cs="宋体"/>
                <w:sz w:val="24"/>
                <w:szCs w:val="24"/>
              </w:rPr>
              <w:t>项目</w:t>
            </w:r>
            <w:r>
              <w:rPr>
                <w:rFonts w:hint="eastAsia" w:cs="宋体"/>
                <w:sz w:val="24"/>
                <w:szCs w:val="24"/>
                <w:lang w:val="en-US" w:eastAsia="zh-CN"/>
              </w:rPr>
              <w:t>不在</w:t>
            </w:r>
            <w:r>
              <w:rPr>
                <w:rFonts w:hint="eastAsia" w:cs="宋体"/>
                <w:sz w:val="24"/>
                <w:szCs w:val="24"/>
              </w:rPr>
              <w:t>饮用水水源保护区内设置排污口</w:t>
            </w:r>
            <w:r>
              <w:rPr>
                <w:rFonts w:hint="eastAsia" w:cs="宋体"/>
                <w:sz w:val="24"/>
                <w:szCs w:val="24"/>
                <w:lang w:eastAsia="zh-CN"/>
              </w:rPr>
              <w:t>，</w:t>
            </w:r>
            <w:r>
              <w:rPr>
                <w:rFonts w:hint="eastAsia" w:cs="宋体"/>
                <w:sz w:val="24"/>
                <w:szCs w:val="24"/>
                <w:lang w:val="en-US" w:eastAsia="zh-CN"/>
              </w:rPr>
              <w:t>且</w:t>
            </w:r>
            <w:r>
              <w:rPr>
                <w:rFonts w:hint="eastAsia" w:cs="宋体"/>
                <w:sz w:val="24"/>
                <w:szCs w:val="24"/>
              </w:rPr>
              <w:t>属于供水设施建设项目，与条例</w:t>
            </w:r>
            <w:r>
              <w:rPr>
                <w:rFonts w:hint="eastAsia"/>
                <w:sz w:val="24"/>
                <w:szCs w:val="24"/>
              </w:rPr>
              <w:t>内容符合，因此，本项目的建设与《四川省饮用水水源保护管理条例》内容相符。</w:t>
            </w:r>
          </w:p>
          <w:p>
            <w:pPr>
              <w:spacing w:line="360" w:lineRule="auto"/>
              <w:ind w:firstLine="482" w:firstLineChars="200"/>
              <w:rPr>
                <w:b/>
                <w:bCs/>
                <w:color w:val="333333"/>
                <w:sz w:val="24"/>
                <w:szCs w:val="24"/>
                <w:shd w:val="clear" w:color="auto" w:fill="FFFFFF"/>
              </w:rPr>
            </w:pPr>
            <w:r>
              <w:rPr>
                <w:rFonts w:hint="eastAsia"/>
                <w:b/>
                <w:bCs/>
                <w:color w:val="333333"/>
                <w:sz w:val="24"/>
                <w:szCs w:val="24"/>
                <w:shd w:val="clear" w:color="auto" w:fill="FFFFFF"/>
                <w:lang w:val="en-US" w:eastAsia="zh-CN"/>
              </w:rPr>
              <w:t>4</w:t>
            </w:r>
            <w:r>
              <w:rPr>
                <w:rFonts w:hint="eastAsia"/>
                <w:b/>
                <w:bCs/>
                <w:color w:val="333333"/>
                <w:sz w:val="24"/>
                <w:szCs w:val="24"/>
                <w:shd w:val="clear" w:color="auto" w:fill="FFFFFF"/>
              </w:rPr>
              <w:t>、取水可行性分析</w:t>
            </w:r>
          </w:p>
          <w:p>
            <w:pPr>
              <w:spacing w:line="360" w:lineRule="auto"/>
              <w:ind w:firstLine="480" w:firstLineChars="200"/>
              <w:rPr>
                <w:color w:val="333333"/>
                <w:sz w:val="24"/>
                <w:szCs w:val="24"/>
                <w:shd w:val="clear" w:color="auto" w:fill="FFFFFF"/>
              </w:rPr>
            </w:pPr>
            <w:r>
              <w:rPr>
                <w:rFonts w:hint="eastAsia"/>
                <w:color w:val="333333"/>
                <w:sz w:val="24"/>
                <w:szCs w:val="24"/>
                <w:shd w:val="clear" w:color="auto" w:fill="FFFFFF"/>
              </w:rPr>
              <w:t>（1）水资源承载力可行性分析</w:t>
            </w:r>
          </w:p>
          <w:p>
            <w:pPr>
              <w:spacing w:line="360" w:lineRule="auto"/>
              <w:ind w:firstLine="480" w:firstLineChars="200"/>
              <w:rPr>
                <w:rFonts w:hint="default" w:eastAsia="宋体"/>
                <w:color w:val="333333"/>
                <w:sz w:val="24"/>
                <w:szCs w:val="24"/>
                <w:shd w:val="clear" w:color="auto" w:fill="FFFFFF"/>
                <w:lang w:val="en-US" w:eastAsia="zh-CN"/>
              </w:rPr>
            </w:pPr>
            <w:r>
              <w:rPr>
                <w:rFonts w:hint="eastAsia"/>
                <w:color w:val="333333"/>
                <w:sz w:val="24"/>
                <w:szCs w:val="24"/>
                <w:shd w:val="clear" w:color="auto" w:fill="FFFFFF"/>
              </w:rPr>
              <w:t>根据《宣汉县城市供水工程》施工图设计相关资料，</w:t>
            </w:r>
            <w:r>
              <w:rPr>
                <w:rFonts w:hint="eastAsia"/>
                <w:color w:val="333333"/>
                <w:sz w:val="24"/>
                <w:szCs w:val="24"/>
                <w:shd w:val="clear" w:color="auto" w:fill="FFFFFF"/>
                <w:lang w:val="en-US" w:eastAsia="zh-CN"/>
              </w:rPr>
              <w:t>本项目从</w:t>
            </w:r>
            <w:r>
              <w:rPr>
                <w:rFonts w:hint="eastAsia"/>
                <w:color w:val="333333"/>
                <w:sz w:val="24"/>
                <w:szCs w:val="24"/>
                <w:shd w:val="clear" w:color="auto" w:fill="FFFFFF"/>
              </w:rPr>
              <w:t>徐家坡水厂</w:t>
            </w:r>
            <w:r>
              <w:rPr>
                <w:rFonts w:hint="eastAsia"/>
                <w:color w:val="333333"/>
                <w:sz w:val="24"/>
                <w:szCs w:val="24"/>
                <w:shd w:val="clear" w:color="auto" w:fill="FFFFFF"/>
                <w:lang w:val="en-US" w:eastAsia="zh-CN"/>
              </w:rPr>
              <w:t>取水，</w:t>
            </w:r>
            <w:r>
              <w:rPr>
                <w:rFonts w:hint="eastAsia"/>
                <w:color w:val="333333"/>
                <w:sz w:val="24"/>
                <w:szCs w:val="24"/>
                <w:shd w:val="clear" w:color="auto" w:fill="FFFFFF"/>
              </w:rPr>
              <w:t>徐家坡水厂水源为后河，目前已建有一座岸边式取水泵房，泵房直径为16m，现状取水规模为</w:t>
            </w:r>
            <w:r>
              <w:rPr>
                <w:color w:val="333333"/>
                <w:sz w:val="24"/>
                <w:szCs w:val="24"/>
                <w:shd w:val="clear" w:color="auto" w:fill="FFFFFF"/>
              </w:rPr>
              <w:t>3</w:t>
            </w:r>
            <w:r>
              <w:rPr>
                <w:rFonts w:hint="eastAsia"/>
                <w:color w:val="333333"/>
                <w:sz w:val="24"/>
                <w:szCs w:val="24"/>
                <w:shd w:val="clear" w:color="auto" w:fill="FFFFFF"/>
              </w:rPr>
              <w:t>万m³/d，水泵为</w:t>
            </w:r>
            <w:r>
              <w:rPr>
                <w:color w:val="333333"/>
                <w:sz w:val="24"/>
                <w:szCs w:val="24"/>
                <w:shd w:val="clear" w:color="auto" w:fill="FFFFFF"/>
              </w:rPr>
              <w:t>3</w:t>
            </w:r>
            <w:r>
              <w:rPr>
                <w:rFonts w:hint="eastAsia"/>
                <w:color w:val="333333"/>
                <w:sz w:val="24"/>
                <w:szCs w:val="24"/>
                <w:shd w:val="clear" w:color="auto" w:fill="FFFFFF"/>
              </w:rPr>
              <w:t>用1备。泵房内目前有一个预留泵位，</w:t>
            </w:r>
            <w:r>
              <w:rPr>
                <w:rFonts w:hint="eastAsia"/>
                <w:color w:val="333333"/>
                <w:sz w:val="24"/>
                <w:szCs w:val="24"/>
                <w:shd w:val="clear" w:color="auto" w:fill="FFFFFF"/>
                <w:lang w:val="en-US" w:eastAsia="zh-CN"/>
              </w:rPr>
              <w:t>即将</w:t>
            </w:r>
            <w:r>
              <w:rPr>
                <w:rFonts w:hint="eastAsia"/>
                <w:color w:val="333333"/>
                <w:sz w:val="24"/>
                <w:szCs w:val="24"/>
                <w:shd w:val="clear" w:color="auto" w:fill="FFFFFF"/>
              </w:rPr>
              <w:t>增加一台水泵，能够满足徐家坡水厂扩容后</w:t>
            </w:r>
            <w:r>
              <w:rPr>
                <w:rFonts w:hint="eastAsia"/>
                <w:color w:val="333333"/>
                <w:sz w:val="24"/>
                <w:szCs w:val="24"/>
                <w:shd w:val="clear" w:color="auto" w:fill="FFFFFF"/>
                <w:lang w:eastAsia="zh-CN"/>
              </w:rPr>
              <w:t>（</w:t>
            </w:r>
            <w:r>
              <w:rPr>
                <w:rFonts w:hint="eastAsia"/>
                <w:color w:val="333333"/>
                <w:sz w:val="24"/>
                <w:szCs w:val="24"/>
                <w:shd w:val="clear" w:color="auto" w:fill="FFFFFF"/>
                <w:lang w:val="en-US" w:eastAsia="zh-CN"/>
              </w:rPr>
              <w:t>6</w:t>
            </w:r>
            <w:r>
              <w:rPr>
                <w:rFonts w:hint="eastAsia"/>
                <w:color w:val="333333"/>
                <w:sz w:val="24"/>
                <w:szCs w:val="24"/>
                <w:shd w:val="clear" w:color="auto" w:fill="FFFFFF"/>
              </w:rPr>
              <w:t>万m³/d</w:t>
            </w:r>
            <w:r>
              <w:rPr>
                <w:rFonts w:hint="eastAsia"/>
                <w:color w:val="333333"/>
                <w:sz w:val="24"/>
                <w:szCs w:val="24"/>
                <w:shd w:val="clear" w:color="auto" w:fill="FFFFFF"/>
                <w:lang w:eastAsia="zh-CN"/>
              </w:rPr>
              <w:t>）</w:t>
            </w:r>
            <w:r>
              <w:rPr>
                <w:rFonts w:hint="eastAsia"/>
                <w:color w:val="333333"/>
                <w:sz w:val="24"/>
                <w:szCs w:val="24"/>
                <w:shd w:val="clear" w:color="auto" w:fill="FFFFFF"/>
              </w:rPr>
              <w:t>的原水来源。</w:t>
            </w:r>
            <w:r>
              <w:rPr>
                <w:rFonts w:hint="eastAsia"/>
                <w:color w:val="333333"/>
                <w:sz w:val="24"/>
                <w:szCs w:val="24"/>
                <w:shd w:val="clear" w:color="auto" w:fill="FFFFFF"/>
                <w:lang w:val="en-US" w:eastAsia="zh-CN"/>
              </w:rPr>
              <w:t>本项目从中引水2</w:t>
            </w:r>
            <w:r>
              <w:rPr>
                <w:rFonts w:hint="eastAsia"/>
                <w:color w:val="333333"/>
                <w:sz w:val="24"/>
                <w:szCs w:val="24"/>
                <w:shd w:val="clear" w:color="auto" w:fill="FFFFFF"/>
              </w:rPr>
              <w:t>万m³/d</w:t>
            </w:r>
            <w:r>
              <w:rPr>
                <w:rFonts w:hint="eastAsia"/>
                <w:color w:val="333333"/>
                <w:sz w:val="24"/>
                <w:szCs w:val="24"/>
                <w:shd w:val="clear" w:color="auto" w:fill="FFFFFF"/>
                <w:lang w:eastAsia="zh-CN"/>
              </w:rPr>
              <w:t>，</w:t>
            </w:r>
            <w:r>
              <w:rPr>
                <w:rFonts w:hint="eastAsia"/>
                <w:color w:val="333333"/>
                <w:sz w:val="24"/>
                <w:szCs w:val="24"/>
                <w:shd w:val="clear" w:color="auto" w:fill="FFFFFF"/>
                <w:lang w:val="en-US" w:eastAsia="zh-CN"/>
              </w:rPr>
              <w:t>可满足本项目取水要求。</w:t>
            </w:r>
          </w:p>
          <w:p>
            <w:pPr>
              <w:spacing w:line="360" w:lineRule="auto"/>
              <w:ind w:firstLine="480" w:firstLineChars="200"/>
              <w:rPr>
                <w:rFonts w:hint="eastAsia"/>
                <w:color w:val="333333"/>
                <w:sz w:val="24"/>
                <w:szCs w:val="24"/>
                <w:shd w:val="clear" w:color="auto" w:fill="FFFFFF"/>
              </w:rPr>
            </w:pPr>
            <w:r>
              <w:rPr>
                <w:rFonts w:hint="eastAsia"/>
                <w:color w:val="333333"/>
                <w:sz w:val="24"/>
                <w:szCs w:val="24"/>
                <w:shd w:val="clear" w:color="auto" w:fill="FFFFFF"/>
              </w:rPr>
              <w:t>从</w:t>
            </w:r>
            <w:r>
              <w:rPr>
                <w:rFonts w:hint="eastAsia"/>
                <w:color w:val="333333"/>
                <w:sz w:val="24"/>
                <w:szCs w:val="24"/>
                <w:shd w:val="clear" w:color="auto" w:fill="FFFFFF"/>
                <w:lang w:val="en-US" w:eastAsia="zh-CN"/>
              </w:rPr>
              <w:t>后河</w:t>
            </w:r>
            <w:r>
              <w:rPr>
                <w:rFonts w:hint="eastAsia"/>
                <w:color w:val="333333"/>
                <w:sz w:val="24"/>
                <w:szCs w:val="24"/>
                <w:shd w:val="clear" w:color="auto" w:fill="FFFFFF"/>
              </w:rPr>
              <w:t>河流径流量分析，后河最枯日径流量为69.12万m</w:t>
            </w:r>
            <w:r>
              <w:rPr>
                <w:rFonts w:hint="eastAsia"/>
                <w:color w:val="333333"/>
                <w:sz w:val="24"/>
                <w:szCs w:val="24"/>
                <w:shd w:val="clear" w:color="auto" w:fill="FFFFFF"/>
                <w:vertAlign w:val="superscript"/>
              </w:rPr>
              <w:t>3</w:t>
            </w:r>
            <w:r>
              <w:rPr>
                <w:rFonts w:hint="eastAsia"/>
                <w:color w:val="333333"/>
                <w:sz w:val="24"/>
                <w:szCs w:val="24"/>
                <w:shd w:val="clear" w:color="auto" w:fill="FFFFFF"/>
              </w:rPr>
              <w:t>，保证率为P=100％，</w:t>
            </w:r>
            <w:r>
              <w:rPr>
                <w:rFonts w:hint="eastAsia"/>
                <w:color w:val="333333"/>
                <w:sz w:val="24"/>
                <w:szCs w:val="24"/>
                <w:shd w:val="clear" w:color="auto" w:fill="FFFFFF"/>
                <w:lang w:val="en-US" w:eastAsia="zh-CN"/>
              </w:rPr>
              <w:t>徐家坡水厂</w:t>
            </w:r>
            <w:r>
              <w:rPr>
                <w:rFonts w:hint="eastAsia"/>
                <w:color w:val="333333"/>
                <w:sz w:val="24"/>
                <w:szCs w:val="24"/>
                <w:shd w:val="clear" w:color="auto" w:fill="FFFFFF"/>
              </w:rPr>
              <w:t>日取原水量为3</w:t>
            </w:r>
            <w:r>
              <w:rPr>
                <w:color w:val="333333"/>
                <w:sz w:val="24"/>
                <w:szCs w:val="24"/>
                <w:shd w:val="clear" w:color="auto" w:fill="FFFFFF"/>
              </w:rPr>
              <w:t>0014.9</w:t>
            </w:r>
            <w:r>
              <w:rPr>
                <w:rFonts w:hint="eastAsia"/>
                <w:color w:val="333333"/>
                <w:sz w:val="24"/>
                <w:szCs w:val="24"/>
                <w:shd w:val="clear" w:color="auto" w:fill="FFFFFF"/>
              </w:rPr>
              <w:t>m³，可知后河水径流量远远大于</w:t>
            </w:r>
            <w:r>
              <w:rPr>
                <w:rFonts w:hint="eastAsia"/>
                <w:color w:val="333333"/>
                <w:sz w:val="24"/>
                <w:szCs w:val="24"/>
                <w:shd w:val="clear" w:color="auto" w:fill="FFFFFF"/>
                <w:lang w:val="en-US" w:eastAsia="zh-CN"/>
              </w:rPr>
              <w:t>徐家陂水厂</w:t>
            </w:r>
            <w:r>
              <w:rPr>
                <w:rFonts w:hint="eastAsia"/>
                <w:color w:val="333333"/>
                <w:sz w:val="24"/>
                <w:szCs w:val="24"/>
                <w:shd w:val="clear" w:color="auto" w:fill="FFFFFF"/>
              </w:rPr>
              <w:t>需水量，水资源总量是满足的，满足当地水资源上线要求。</w:t>
            </w:r>
          </w:p>
          <w:p>
            <w:pPr>
              <w:spacing w:line="360" w:lineRule="auto"/>
              <w:ind w:firstLine="480" w:firstLineChars="200"/>
              <w:rPr>
                <w:rFonts w:hint="eastAsia"/>
                <w:color w:val="333333"/>
                <w:sz w:val="24"/>
                <w:szCs w:val="24"/>
                <w:shd w:val="clear" w:color="auto" w:fill="FFFFFF"/>
              </w:rPr>
            </w:pPr>
            <w:r>
              <w:rPr>
                <w:rFonts w:hint="eastAsia"/>
                <w:color w:val="333333"/>
                <w:sz w:val="24"/>
                <w:szCs w:val="24"/>
                <w:shd w:val="clear" w:color="auto" w:fill="FFFFFF"/>
              </w:rPr>
              <w:t>因此，本项目取水口水资源承载力可行。</w:t>
            </w:r>
          </w:p>
          <w:p>
            <w:pPr>
              <w:spacing w:line="360" w:lineRule="auto"/>
              <w:ind w:firstLine="480" w:firstLineChars="200"/>
              <w:rPr>
                <w:color w:val="333333"/>
                <w:sz w:val="24"/>
                <w:szCs w:val="24"/>
                <w:shd w:val="clear" w:color="auto" w:fill="FFFFFF"/>
              </w:rPr>
            </w:pPr>
            <w:r>
              <w:rPr>
                <w:rFonts w:hint="eastAsia"/>
                <w:color w:val="333333"/>
                <w:sz w:val="24"/>
                <w:szCs w:val="24"/>
                <w:shd w:val="clear" w:color="auto" w:fill="FFFFFF"/>
              </w:rPr>
              <w:t>（2）取水口现状</w:t>
            </w:r>
          </w:p>
          <w:p>
            <w:pPr>
              <w:spacing w:line="360" w:lineRule="auto"/>
              <w:ind w:firstLine="480" w:firstLineChars="200"/>
              <w:rPr>
                <w:color w:val="333333"/>
                <w:sz w:val="24"/>
                <w:szCs w:val="24"/>
                <w:shd w:val="clear" w:color="auto" w:fill="FFFFFF"/>
              </w:rPr>
            </w:pPr>
            <w:r>
              <w:rPr>
                <w:rFonts w:hint="eastAsia"/>
                <w:color w:val="333333"/>
                <w:sz w:val="24"/>
                <w:szCs w:val="24"/>
                <w:shd w:val="clear" w:color="auto" w:fill="FFFFFF"/>
              </w:rPr>
              <w:t>根据四川省工业环境监测研究院对宣汉县徐家坡饮用水水样进行的监测（监测报告：川工环监字（2</w:t>
            </w:r>
            <w:r>
              <w:rPr>
                <w:color w:val="333333"/>
                <w:sz w:val="24"/>
                <w:szCs w:val="24"/>
                <w:shd w:val="clear" w:color="auto" w:fill="FFFFFF"/>
              </w:rPr>
              <w:t>021</w:t>
            </w:r>
            <w:r>
              <w:rPr>
                <w:rFonts w:hint="eastAsia"/>
                <w:color w:val="333333"/>
                <w:sz w:val="24"/>
                <w:szCs w:val="24"/>
                <w:shd w:val="clear" w:color="auto" w:fill="FFFFFF"/>
              </w:rPr>
              <w:t>）第</w:t>
            </w:r>
            <w:r>
              <w:rPr>
                <w:color w:val="333333"/>
                <w:sz w:val="24"/>
                <w:szCs w:val="24"/>
                <w:shd w:val="clear" w:color="auto" w:fill="FFFFFF"/>
              </w:rPr>
              <w:t>03070316</w:t>
            </w:r>
            <w:r>
              <w:rPr>
                <w:rFonts w:hint="eastAsia"/>
                <w:color w:val="333333"/>
                <w:sz w:val="24"/>
                <w:szCs w:val="24"/>
                <w:shd w:val="clear" w:color="auto" w:fill="FFFFFF"/>
              </w:rPr>
              <w:t>号），徐家坡饮用水水质满足《地表水环境质量标准》（GB3838-2002）中的Ⅲ类水质标准。具体监测结果分析见下表1</w:t>
            </w:r>
            <w:r>
              <w:rPr>
                <w:color w:val="333333"/>
                <w:sz w:val="24"/>
                <w:szCs w:val="24"/>
                <w:shd w:val="clear" w:color="auto" w:fill="FFFFFF"/>
              </w:rPr>
              <w:t>-</w:t>
            </w:r>
            <w:r>
              <w:rPr>
                <w:rFonts w:hint="eastAsia"/>
                <w:color w:val="333333"/>
                <w:sz w:val="24"/>
                <w:szCs w:val="24"/>
                <w:shd w:val="clear" w:color="auto" w:fill="FFFFFF"/>
                <w:lang w:val="en-US" w:eastAsia="zh-CN"/>
              </w:rPr>
              <w:t>7</w:t>
            </w:r>
            <w:r>
              <w:rPr>
                <w:rFonts w:hint="eastAsia"/>
                <w:color w:val="333333"/>
                <w:sz w:val="24"/>
                <w:szCs w:val="24"/>
                <w:shd w:val="clear" w:color="auto" w:fill="FFFFFF"/>
              </w:rPr>
              <w:t>。</w:t>
            </w:r>
          </w:p>
          <w:p>
            <w:pPr>
              <w:spacing w:line="360" w:lineRule="auto"/>
              <w:jc w:val="center"/>
              <w:rPr>
                <w:rFonts w:hint="eastAsia" w:eastAsia="黑体" w:cs="Times New Roman"/>
                <w:color w:val="auto"/>
                <w:szCs w:val="21"/>
              </w:rPr>
            </w:pPr>
            <w:r>
              <w:rPr>
                <w:rFonts w:hint="eastAsia" w:eastAsia="黑体" w:cs="Times New Roman"/>
                <w:color w:val="auto"/>
                <w:szCs w:val="21"/>
              </w:rPr>
              <w:t>表1-</w:t>
            </w:r>
            <w:r>
              <w:rPr>
                <w:rFonts w:hint="eastAsia" w:eastAsia="黑体" w:cs="Times New Roman"/>
                <w:color w:val="auto"/>
                <w:szCs w:val="21"/>
                <w:lang w:val="en-US" w:eastAsia="zh-CN"/>
              </w:rPr>
              <w:t xml:space="preserve">7 </w:t>
            </w:r>
            <w:r>
              <w:rPr>
                <w:rFonts w:hint="eastAsia" w:eastAsia="黑体" w:cs="Times New Roman"/>
                <w:color w:val="auto"/>
                <w:szCs w:val="21"/>
              </w:rPr>
              <w:t xml:space="preserve"> 徐家坡饮用水水样监测结果</w:t>
            </w:r>
          </w:p>
          <w:tbl>
            <w:tblPr>
              <w:tblStyle w:val="15"/>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1557"/>
              <w:gridCol w:w="914"/>
              <w:gridCol w:w="1458"/>
              <w:gridCol w:w="677"/>
              <w:gridCol w:w="1262"/>
              <w:gridCol w:w="789"/>
              <w:gridCol w:w="1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333333"/>
                      <w:sz w:val="21"/>
                      <w:szCs w:val="21"/>
                      <w:shd w:val="clear" w:color="auto" w:fill="FFFFFF"/>
                    </w:rPr>
                  </w:pPr>
                  <w:r>
                    <w:rPr>
                      <w:rFonts w:hint="eastAsia"/>
                      <w:b/>
                      <w:bCs/>
                      <w:color w:val="333333"/>
                      <w:sz w:val="21"/>
                      <w:szCs w:val="21"/>
                      <w:shd w:val="clear" w:color="auto" w:fill="FFFFFF"/>
                    </w:rPr>
                    <w:t>监测项目</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333333"/>
                      <w:sz w:val="21"/>
                      <w:szCs w:val="21"/>
                      <w:shd w:val="clear" w:color="auto" w:fill="FFFFFF"/>
                    </w:rPr>
                  </w:pPr>
                  <w:r>
                    <w:rPr>
                      <w:rFonts w:hint="eastAsia"/>
                      <w:b/>
                      <w:bCs/>
                      <w:color w:val="333333"/>
                      <w:sz w:val="21"/>
                      <w:szCs w:val="21"/>
                      <w:shd w:val="clear" w:color="auto" w:fill="FFFFFF"/>
                    </w:rPr>
                    <w:t>单位</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333333"/>
                      <w:sz w:val="21"/>
                      <w:szCs w:val="21"/>
                      <w:shd w:val="clear" w:color="auto" w:fill="FFFFFF"/>
                    </w:rPr>
                  </w:pPr>
                  <w:r>
                    <w:rPr>
                      <w:rFonts w:hint="eastAsia"/>
                      <w:b/>
                      <w:bCs/>
                      <w:color w:val="333333"/>
                      <w:sz w:val="21"/>
                      <w:szCs w:val="21"/>
                      <w:shd w:val="clear" w:color="auto" w:fill="FFFFFF"/>
                    </w:rPr>
                    <w:t>监测结果</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333333"/>
                      <w:sz w:val="21"/>
                      <w:szCs w:val="21"/>
                      <w:shd w:val="clear" w:color="auto" w:fill="FFFFFF"/>
                    </w:rPr>
                  </w:pPr>
                  <w:r>
                    <w:rPr>
                      <w:rFonts w:hint="eastAsia"/>
                      <w:b/>
                      <w:bCs/>
                      <w:color w:val="333333"/>
                      <w:sz w:val="21"/>
                      <w:szCs w:val="21"/>
                      <w:shd w:val="clear" w:color="auto" w:fill="FFFFFF"/>
                    </w:rPr>
                    <w:t>2</w:t>
                  </w:r>
                  <w:r>
                    <w:rPr>
                      <w:b/>
                      <w:bCs/>
                      <w:color w:val="333333"/>
                      <w:sz w:val="21"/>
                      <w:szCs w:val="21"/>
                      <w:shd w:val="clear" w:color="auto" w:fill="FFFFFF"/>
                    </w:rPr>
                    <w:t>021.7.16</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333333"/>
                      <w:sz w:val="21"/>
                      <w:szCs w:val="21"/>
                      <w:shd w:val="clear" w:color="auto" w:fill="FFFFFF"/>
                    </w:rPr>
                  </w:pPr>
                  <w:r>
                    <w:rPr>
                      <w:rFonts w:hint="eastAsia"/>
                      <w:b/>
                      <w:bCs/>
                      <w:color w:val="333333"/>
                      <w:sz w:val="21"/>
                      <w:szCs w:val="21"/>
                      <w:shd w:val="clear" w:color="auto" w:fill="FFFFFF"/>
                    </w:rPr>
                    <w:t>监测项目</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333333"/>
                      <w:sz w:val="21"/>
                      <w:szCs w:val="21"/>
                      <w:shd w:val="clear" w:color="auto" w:fill="FFFFFF"/>
                    </w:rPr>
                  </w:pPr>
                  <w:r>
                    <w:rPr>
                      <w:rFonts w:hint="eastAsia"/>
                      <w:b/>
                      <w:bCs/>
                      <w:color w:val="333333"/>
                      <w:sz w:val="21"/>
                      <w:szCs w:val="21"/>
                      <w:shd w:val="clear" w:color="auto" w:fill="FFFFFF"/>
                    </w:rPr>
                    <w:t>单位</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333333"/>
                      <w:sz w:val="21"/>
                      <w:szCs w:val="21"/>
                      <w:shd w:val="clear" w:color="auto" w:fill="FFFFFF"/>
                    </w:rPr>
                  </w:pPr>
                  <w:r>
                    <w:rPr>
                      <w:rFonts w:hint="eastAsia"/>
                      <w:b/>
                      <w:bCs/>
                      <w:color w:val="333333"/>
                      <w:sz w:val="21"/>
                      <w:szCs w:val="21"/>
                      <w:shd w:val="clear" w:color="auto" w:fill="FFFFFF"/>
                    </w:rPr>
                    <w:t>监测结果</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333333"/>
                      <w:sz w:val="21"/>
                      <w:szCs w:val="21"/>
                      <w:shd w:val="clear" w:color="auto" w:fill="FFFFFF"/>
                    </w:rPr>
                  </w:pPr>
                  <w:r>
                    <w:rPr>
                      <w:rFonts w:hint="eastAsia"/>
                      <w:b/>
                      <w:bCs/>
                      <w:color w:val="333333"/>
                      <w:sz w:val="21"/>
                      <w:szCs w:val="21"/>
                      <w:shd w:val="clear" w:color="auto" w:fill="FFFFFF"/>
                    </w:rPr>
                    <w:t>2</w:t>
                  </w:r>
                  <w:r>
                    <w:rPr>
                      <w:b/>
                      <w:bCs/>
                      <w:color w:val="333333"/>
                      <w:sz w:val="21"/>
                      <w:szCs w:val="21"/>
                      <w:shd w:val="clear" w:color="auto" w:fill="FFFFFF"/>
                    </w:rPr>
                    <w:t>021.7.16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p</w:t>
                  </w:r>
                  <w:r>
                    <w:rPr>
                      <w:color w:val="333333"/>
                      <w:sz w:val="21"/>
                      <w:szCs w:val="21"/>
                      <w:shd w:val="clear" w:color="auto" w:fill="FFFFFF"/>
                    </w:rPr>
                    <w:t>H</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无量纲</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8</w:t>
                  </w:r>
                  <w:r>
                    <w:rPr>
                      <w:color w:val="333333"/>
                      <w:sz w:val="21"/>
                      <w:szCs w:val="21"/>
                      <w:shd w:val="clear" w:color="auto" w:fill="FFFFFF"/>
                    </w:rPr>
                    <w:t>.5</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溶解氧</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6</w:t>
                  </w:r>
                  <w:r>
                    <w:rPr>
                      <w:color w:val="333333"/>
                      <w:sz w:val="21"/>
                      <w:szCs w:val="21"/>
                      <w:shd w:val="clear" w:color="auto" w:fill="FFFFFF"/>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高锰酸盐指数</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3</w:t>
                  </w:r>
                  <w:r>
                    <w:rPr>
                      <w:color w:val="333333"/>
                      <w:sz w:val="21"/>
                      <w:szCs w:val="21"/>
                      <w:shd w:val="clear" w:color="auto" w:fill="FFFFFF"/>
                    </w:rPr>
                    <w:t>.3</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化学需氧量</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五日生化需氧量</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.8</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氨氮</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总磷</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.026</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总氮</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氟化物</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.149</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铁</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锰</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.01</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锌</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硒</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.0004</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砷</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汞</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.00004</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六价铬</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铊</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.00002</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镉</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铜</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.00062</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铅</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铍</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.00004</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镍</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钴</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.00015</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钛</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钡</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.0595</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钒</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硼</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.00125</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钼</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锑</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.0002</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氰化物</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挥发酚</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.0003</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石油类</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阴离子表面活性剂</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.05</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硫化物</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粪大肠菌群</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个/</w:t>
                  </w:r>
                  <w:r>
                    <w:rPr>
                      <w:color w:val="333333"/>
                      <w:sz w:val="21"/>
                      <w:szCs w:val="21"/>
                      <w:shd w:val="clear" w:color="auto" w:fill="FFFFFF"/>
                    </w:rPr>
                    <w:t>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1</w:t>
                  </w:r>
                  <w:r>
                    <w:rPr>
                      <w:color w:val="333333"/>
                      <w:sz w:val="21"/>
                      <w:szCs w:val="21"/>
                      <w:shd w:val="clear" w:color="auto" w:fill="FFFFFF"/>
                    </w:rPr>
                    <w:t>.4</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3</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硫化盐</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1</w:t>
                  </w:r>
                  <w:r>
                    <w:rPr>
                      <w:color w:val="333333"/>
                      <w:sz w:val="21"/>
                      <w:szCs w:val="21"/>
                      <w:shd w:val="clear" w:color="auto" w:fill="FFFFFF"/>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氯化物</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2</w:t>
                  </w:r>
                  <w:r>
                    <w:rPr>
                      <w:color w:val="333333"/>
                      <w:sz w:val="21"/>
                      <w:szCs w:val="21"/>
                      <w:shd w:val="clear" w:color="auto" w:fill="FFFFFF"/>
                    </w:rPr>
                    <w:t>.32</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硝酸盐氮</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三氯甲烷</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＜1</w:t>
                  </w:r>
                  <w:r>
                    <w:rPr>
                      <w:color w:val="333333"/>
                      <w:sz w:val="21"/>
                      <w:szCs w:val="21"/>
                      <w:shd w:val="clear" w:color="auto" w:fill="FFFFFF"/>
                    </w:rPr>
                    <w:t>.4</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-3</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四氯化碳</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＜1</w:t>
                  </w:r>
                  <w:r>
                    <w:rPr>
                      <w:color w:val="333333"/>
                      <w:sz w:val="21"/>
                      <w:szCs w:val="21"/>
                      <w:shd w:val="clear" w:color="auto" w:fill="FFFFFF"/>
                    </w:rPr>
                    <w:t>.5</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三氯乙烯</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＜1</w:t>
                  </w:r>
                  <w:r>
                    <w:rPr>
                      <w:color w:val="333333"/>
                      <w:sz w:val="21"/>
                      <w:szCs w:val="21"/>
                      <w:shd w:val="clear" w:color="auto" w:fill="FFFFFF"/>
                    </w:rPr>
                    <w:t>.2</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-3</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四氯乙烯</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＜1</w:t>
                  </w:r>
                  <w:r>
                    <w:rPr>
                      <w:color w:val="333333"/>
                      <w:sz w:val="21"/>
                      <w:szCs w:val="21"/>
                      <w:shd w:val="clear" w:color="auto" w:fill="FFFFFF"/>
                    </w:rPr>
                    <w:t>.2</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三溴甲烷</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6</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-4</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二氯甲烷</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＜1</w:t>
                  </w:r>
                  <w:r>
                    <w:rPr>
                      <w:color w:val="333333"/>
                      <w:sz w:val="21"/>
                      <w:szCs w:val="21"/>
                      <w:shd w:val="clear" w:color="auto" w:fill="FFFFFF"/>
                    </w:rPr>
                    <w:t>.0</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氯丁二烯</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＜1</w:t>
                  </w:r>
                  <w:r>
                    <w:rPr>
                      <w:color w:val="333333"/>
                      <w:sz w:val="21"/>
                      <w:szCs w:val="21"/>
                      <w:shd w:val="clear" w:color="auto" w:fill="FFFFFF"/>
                    </w:rPr>
                    <w:t>.5</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-3</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六氯丁二烯</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6</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1,</w:t>
                  </w:r>
                  <w:r>
                    <w:rPr>
                      <w:color w:val="333333"/>
                      <w:sz w:val="21"/>
                      <w:szCs w:val="21"/>
                      <w:shd w:val="clear" w:color="auto" w:fill="FFFFFF"/>
                    </w:rPr>
                    <w:t>2-</w:t>
                  </w:r>
                  <w:r>
                    <w:rPr>
                      <w:rFonts w:hint="eastAsia"/>
                      <w:color w:val="333333"/>
                      <w:sz w:val="21"/>
                      <w:szCs w:val="21"/>
                      <w:shd w:val="clear" w:color="auto" w:fill="FFFFFF"/>
                    </w:rPr>
                    <w:t>二氯乙烷</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＜1</w:t>
                  </w:r>
                  <w:r>
                    <w:rPr>
                      <w:color w:val="333333"/>
                      <w:sz w:val="21"/>
                      <w:szCs w:val="21"/>
                      <w:shd w:val="clear" w:color="auto" w:fill="FFFFFF"/>
                    </w:rPr>
                    <w:t>.4</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-3</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氯乙烯</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＜1</w:t>
                  </w:r>
                  <w:r>
                    <w:rPr>
                      <w:color w:val="333333"/>
                      <w:sz w:val="21"/>
                      <w:szCs w:val="21"/>
                      <w:shd w:val="clear" w:color="auto" w:fill="FFFFFF"/>
                    </w:rPr>
                    <w:t>.5</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1,</w:t>
                  </w:r>
                  <w:r>
                    <w:rPr>
                      <w:color w:val="333333"/>
                      <w:sz w:val="21"/>
                      <w:szCs w:val="21"/>
                      <w:shd w:val="clear" w:color="auto" w:fill="FFFFFF"/>
                    </w:rPr>
                    <w:t>1-</w:t>
                  </w:r>
                  <w:r>
                    <w:rPr>
                      <w:rFonts w:hint="eastAsia"/>
                      <w:color w:val="333333"/>
                      <w:sz w:val="21"/>
                      <w:szCs w:val="21"/>
                      <w:shd w:val="clear" w:color="auto" w:fill="FFFFFF"/>
                    </w:rPr>
                    <w:t>二氯乙烯</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＜1</w:t>
                  </w:r>
                  <w:r>
                    <w:rPr>
                      <w:color w:val="333333"/>
                      <w:sz w:val="21"/>
                      <w:szCs w:val="21"/>
                      <w:shd w:val="clear" w:color="auto" w:fill="FFFFFF"/>
                    </w:rPr>
                    <w:t>.2</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-3</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顺-</w:t>
                  </w:r>
                  <w:r>
                    <w:rPr>
                      <w:color w:val="333333"/>
                      <w:sz w:val="21"/>
                      <w:szCs w:val="21"/>
                      <w:shd w:val="clear" w:color="auto" w:fill="FFFFFF"/>
                    </w:rPr>
                    <w:t>1</w:t>
                  </w:r>
                  <w:r>
                    <w:rPr>
                      <w:rFonts w:hint="eastAsia"/>
                      <w:color w:val="333333"/>
                      <w:sz w:val="21"/>
                      <w:szCs w:val="21"/>
                      <w:shd w:val="clear" w:color="auto" w:fill="FFFFFF"/>
                    </w:rPr>
                    <w:t>,</w:t>
                  </w:r>
                  <w:r>
                    <w:rPr>
                      <w:color w:val="333333"/>
                      <w:sz w:val="21"/>
                      <w:szCs w:val="21"/>
                      <w:shd w:val="clear" w:color="auto" w:fill="FFFFFF"/>
                    </w:rPr>
                    <w:t>2</w:t>
                  </w:r>
                  <w:r>
                    <w:rPr>
                      <w:rFonts w:hint="eastAsia"/>
                      <w:color w:val="333333"/>
                      <w:sz w:val="21"/>
                      <w:szCs w:val="21"/>
                      <w:shd w:val="clear" w:color="auto" w:fill="FFFFFF"/>
                    </w:rPr>
                    <w:t>-二氯乙烯</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＜1</w:t>
                  </w:r>
                  <w:r>
                    <w:rPr>
                      <w:color w:val="333333"/>
                      <w:sz w:val="21"/>
                      <w:szCs w:val="21"/>
                      <w:shd w:val="clear" w:color="auto" w:fill="FFFFFF"/>
                    </w:rPr>
                    <w:t>.2</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反-</w:t>
                  </w:r>
                  <w:r>
                    <w:rPr>
                      <w:color w:val="333333"/>
                      <w:sz w:val="21"/>
                      <w:szCs w:val="21"/>
                      <w:shd w:val="clear" w:color="auto" w:fill="FFFFFF"/>
                    </w:rPr>
                    <w:t>1</w:t>
                  </w:r>
                  <w:r>
                    <w:rPr>
                      <w:rFonts w:hint="eastAsia"/>
                      <w:color w:val="333333"/>
                      <w:sz w:val="21"/>
                      <w:szCs w:val="21"/>
                      <w:shd w:val="clear" w:color="auto" w:fill="FFFFFF"/>
                    </w:rPr>
                    <w:t>,</w:t>
                  </w:r>
                  <w:r>
                    <w:rPr>
                      <w:color w:val="333333"/>
                      <w:sz w:val="21"/>
                      <w:szCs w:val="21"/>
                      <w:shd w:val="clear" w:color="auto" w:fill="FFFFFF"/>
                    </w:rPr>
                    <w:t>2</w:t>
                  </w:r>
                  <w:r>
                    <w:rPr>
                      <w:rFonts w:hint="eastAsia"/>
                      <w:color w:val="333333"/>
                      <w:sz w:val="21"/>
                      <w:szCs w:val="21"/>
                      <w:shd w:val="clear" w:color="auto" w:fill="FFFFFF"/>
                    </w:rPr>
                    <w:t>-二氯乙烯</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＜1</w:t>
                  </w:r>
                  <w:r>
                    <w:rPr>
                      <w:color w:val="333333"/>
                      <w:sz w:val="21"/>
                      <w:szCs w:val="21"/>
                      <w:shd w:val="clear" w:color="auto" w:fill="FFFFFF"/>
                    </w:rPr>
                    <w:t>.1</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-3</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氯苯</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＜1</w:t>
                  </w:r>
                  <w:r>
                    <w:rPr>
                      <w:color w:val="333333"/>
                      <w:sz w:val="21"/>
                      <w:szCs w:val="21"/>
                      <w:shd w:val="clear" w:color="auto" w:fill="FFFFFF"/>
                    </w:rPr>
                    <w:t>.0</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1,</w:t>
                  </w:r>
                  <w:r>
                    <w:rPr>
                      <w:color w:val="333333"/>
                      <w:sz w:val="21"/>
                      <w:szCs w:val="21"/>
                      <w:shd w:val="clear" w:color="auto" w:fill="FFFFFF"/>
                    </w:rPr>
                    <w:t>2-</w:t>
                  </w:r>
                  <w:r>
                    <w:rPr>
                      <w:rFonts w:hint="eastAsia"/>
                      <w:color w:val="333333"/>
                      <w:sz w:val="21"/>
                      <w:szCs w:val="21"/>
                      <w:shd w:val="clear" w:color="auto" w:fill="FFFFFF"/>
                    </w:rPr>
                    <w:t>二氯苯</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＜8×</w:t>
                  </w:r>
                  <w:r>
                    <w:rPr>
                      <w:color w:val="333333"/>
                      <w:sz w:val="21"/>
                      <w:szCs w:val="21"/>
                      <w:shd w:val="clear" w:color="auto" w:fill="FFFFFF"/>
                    </w:rPr>
                    <w:t>10</w:t>
                  </w:r>
                  <w:r>
                    <w:rPr>
                      <w:color w:val="333333"/>
                      <w:sz w:val="21"/>
                      <w:szCs w:val="21"/>
                      <w:shd w:val="clear" w:color="auto" w:fill="FFFFFF"/>
                      <w:vertAlign w:val="superscript"/>
                    </w:rPr>
                    <w:t>-4</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1,</w:t>
                  </w:r>
                  <w:r>
                    <w:rPr>
                      <w:color w:val="333333"/>
                      <w:sz w:val="21"/>
                      <w:szCs w:val="21"/>
                      <w:shd w:val="clear" w:color="auto" w:fill="FFFFFF"/>
                    </w:rPr>
                    <w:t>4-</w:t>
                  </w:r>
                  <w:r>
                    <w:rPr>
                      <w:rFonts w:hint="eastAsia"/>
                      <w:color w:val="333333"/>
                      <w:sz w:val="21"/>
                      <w:szCs w:val="21"/>
                      <w:shd w:val="clear" w:color="auto" w:fill="FFFFFF"/>
                    </w:rPr>
                    <w:t>二氯苯</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＜8×</w:t>
                  </w:r>
                  <w:r>
                    <w:rPr>
                      <w:color w:val="333333"/>
                      <w:sz w:val="21"/>
                      <w:szCs w:val="21"/>
                      <w:shd w:val="clear" w:color="auto" w:fill="FFFFFF"/>
                    </w:rPr>
                    <w:t>10</w:t>
                  </w:r>
                  <w:r>
                    <w:rPr>
                      <w:color w:val="333333"/>
                      <w:sz w:val="21"/>
                      <w:szCs w:val="21"/>
                      <w:shd w:val="clear" w:color="auto" w:fill="FFFFFF"/>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环氧氯丙烷</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5.0</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-3</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苯</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1.4</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甲苯</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1.4</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-3</w:t>
                  </w:r>
                </w:p>
              </w:tc>
              <w:tc>
                <w:tcPr>
                  <w:tcW w:w="383"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二甲苯</w:t>
                  </w:r>
                </w:p>
              </w:tc>
              <w:tc>
                <w:tcPr>
                  <w:tcW w:w="71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邻-二甲苯</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1.4</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苯乙烯</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6</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-4</w:t>
                  </w:r>
                </w:p>
              </w:tc>
              <w:tc>
                <w:tcPr>
                  <w:tcW w:w="383"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71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间，对-二甲苯</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2.2</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乙苯</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8</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-4</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异丙苯</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7</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甲醛</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.05</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丙烯醛</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7</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三氯苯</w:t>
                  </w:r>
                </w:p>
              </w:tc>
              <w:tc>
                <w:tcPr>
                  <w:tcW w:w="8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1,</w:t>
                  </w:r>
                  <w:r>
                    <w:rPr>
                      <w:color w:val="333333"/>
                      <w:sz w:val="21"/>
                      <w:szCs w:val="21"/>
                      <w:shd w:val="clear" w:color="auto" w:fill="FFFFFF"/>
                    </w:rPr>
                    <w:t>3</w:t>
                  </w:r>
                  <w:r>
                    <w:rPr>
                      <w:rFonts w:hint="eastAsia"/>
                      <w:color w:val="333333"/>
                      <w:sz w:val="21"/>
                      <w:szCs w:val="21"/>
                      <w:shd w:val="clear" w:color="auto" w:fill="FFFFFF"/>
                    </w:rPr>
                    <w:t>,</w:t>
                  </w:r>
                  <w:r>
                    <w:rPr>
                      <w:color w:val="333333"/>
                      <w:sz w:val="21"/>
                      <w:szCs w:val="21"/>
                      <w:shd w:val="clear" w:color="auto" w:fill="FFFFFF"/>
                    </w:rPr>
                    <w:t>5-</w:t>
                  </w:r>
                  <w:r>
                    <w:rPr>
                      <w:rFonts w:hint="eastAsia"/>
                      <w:color w:val="333333"/>
                      <w:sz w:val="21"/>
                      <w:szCs w:val="21"/>
                      <w:shd w:val="clear" w:color="auto" w:fill="FFFFFF"/>
                    </w:rPr>
                    <w:t>三氯苯</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3</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c>
                <w:tcPr>
                  <w:tcW w:w="383"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四氯苯</w:t>
                  </w:r>
                </w:p>
              </w:tc>
              <w:tc>
                <w:tcPr>
                  <w:tcW w:w="71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1,</w:t>
                  </w:r>
                  <w:r>
                    <w:rPr>
                      <w:color w:val="333333"/>
                      <w:sz w:val="21"/>
                      <w:szCs w:val="21"/>
                      <w:shd w:val="clear" w:color="auto" w:fill="FFFFFF"/>
                    </w:rPr>
                    <w:t>2</w:t>
                  </w:r>
                  <w:r>
                    <w:rPr>
                      <w:rFonts w:hint="eastAsia"/>
                      <w:color w:val="333333"/>
                      <w:sz w:val="21"/>
                      <w:szCs w:val="21"/>
                      <w:shd w:val="clear" w:color="auto" w:fill="FFFFFF"/>
                    </w:rPr>
                    <w:t>,</w:t>
                  </w:r>
                  <w:r>
                    <w:rPr>
                      <w:color w:val="333333"/>
                      <w:sz w:val="21"/>
                      <w:szCs w:val="21"/>
                      <w:shd w:val="clear" w:color="auto" w:fill="FFFFFF"/>
                    </w:rPr>
                    <w:t>4</w:t>
                  </w:r>
                  <w:r>
                    <w:rPr>
                      <w:rFonts w:hint="eastAsia"/>
                      <w:color w:val="333333"/>
                      <w:sz w:val="21"/>
                      <w:szCs w:val="21"/>
                      <w:shd w:val="clear" w:color="auto" w:fill="FFFFFF"/>
                    </w:rPr>
                    <w:t>,</w:t>
                  </w:r>
                  <w:r>
                    <w:rPr>
                      <w:color w:val="333333"/>
                      <w:sz w:val="21"/>
                      <w:szCs w:val="21"/>
                      <w:shd w:val="clear" w:color="auto" w:fill="FFFFFF"/>
                    </w:rPr>
                    <w:t>5-</w:t>
                  </w:r>
                  <w:r>
                    <w:rPr>
                      <w:rFonts w:hint="eastAsia"/>
                      <w:color w:val="333333"/>
                      <w:sz w:val="21"/>
                      <w:szCs w:val="21"/>
                      <w:shd w:val="clear" w:color="auto" w:fill="FFFFFF"/>
                    </w:rPr>
                    <w:t>四氯苯</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2.1</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8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1,</w:t>
                  </w:r>
                  <w:r>
                    <w:rPr>
                      <w:color w:val="333333"/>
                      <w:sz w:val="21"/>
                      <w:szCs w:val="21"/>
                      <w:shd w:val="clear" w:color="auto" w:fill="FFFFFF"/>
                    </w:rPr>
                    <w:t>2</w:t>
                  </w:r>
                  <w:r>
                    <w:rPr>
                      <w:rFonts w:hint="eastAsia"/>
                      <w:color w:val="333333"/>
                      <w:sz w:val="21"/>
                      <w:szCs w:val="21"/>
                      <w:shd w:val="clear" w:color="auto" w:fill="FFFFFF"/>
                    </w:rPr>
                    <w:t>,</w:t>
                  </w:r>
                  <w:r>
                    <w:rPr>
                      <w:color w:val="333333"/>
                      <w:sz w:val="21"/>
                      <w:szCs w:val="21"/>
                      <w:shd w:val="clear" w:color="auto" w:fill="FFFFFF"/>
                    </w:rPr>
                    <w:t>4-</w:t>
                  </w:r>
                  <w:r>
                    <w:rPr>
                      <w:rFonts w:hint="eastAsia"/>
                      <w:color w:val="333333"/>
                      <w:sz w:val="21"/>
                      <w:szCs w:val="21"/>
                      <w:shd w:val="clear" w:color="auto" w:fill="FFFFFF"/>
                    </w:rPr>
                    <w:t>三氯苯</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2.7</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c>
                <w:tcPr>
                  <w:tcW w:w="383"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71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1,</w:t>
                  </w:r>
                  <w:r>
                    <w:rPr>
                      <w:color w:val="333333"/>
                      <w:sz w:val="21"/>
                      <w:szCs w:val="21"/>
                      <w:shd w:val="clear" w:color="auto" w:fill="FFFFFF"/>
                    </w:rPr>
                    <w:t>2</w:t>
                  </w:r>
                  <w:r>
                    <w:rPr>
                      <w:rFonts w:hint="eastAsia"/>
                      <w:color w:val="333333"/>
                      <w:sz w:val="21"/>
                      <w:szCs w:val="21"/>
                      <w:shd w:val="clear" w:color="auto" w:fill="FFFFFF"/>
                    </w:rPr>
                    <w:t>,</w:t>
                  </w:r>
                  <w:r>
                    <w:rPr>
                      <w:color w:val="333333"/>
                      <w:sz w:val="21"/>
                      <w:szCs w:val="21"/>
                      <w:shd w:val="clear" w:color="auto" w:fill="FFFFFF"/>
                    </w:rPr>
                    <w:t>3</w:t>
                  </w:r>
                  <w:r>
                    <w:rPr>
                      <w:rFonts w:hint="eastAsia"/>
                      <w:color w:val="333333"/>
                      <w:sz w:val="21"/>
                      <w:szCs w:val="21"/>
                      <w:shd w:val="clear" w:color="auto" w:fill="FFFFFF"/>
                    </w:rPr>
                    <w:t>,</w:t>
                  </w:r>
                  <w:r>
                    <w:rPr>
                      <w:color w:val="333333"/>
                      <w:sz w:val="21"/>
                      <w:szCs w:val="21"/>
                      <w:shd w:val="clear" w:color="auto" w:fill="FFFFFF"/>
                    </w:rPr>
                    <w:t>5-</w:t>
                  </w:r>
                  <w:r>
                    <w:rPr>
                      <w:rFonts w:hint="eastAsia"/>
                      <w:color w:val="333333"/>
                      <w:sz w:val="21"/>
                      <w:szCs w:val="21"/>
                      <w:shd w:val="clear" w:color="auto" w:fill="FFFFFF"/>
                    </w:rPr>
                    <w:t>四氯苯</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2.4</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8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1,</w:t>
                  </w:r>
                  <w:r>
                    <w:rPr>
                      <w:color w:val="333333"/>
                      <w:sz w:val="21"/>
                      <w:szCs w:val="21"/>
                      <w:shd w:val="clear" w:color="auto" w:fill="FFFFFF"/>
                    </w:rPr>
                    <w:t>2</w:t>
                  </w:r>
                  <w:r>
                    <w:rPr>
                      <w:rFonts w:hint="eastAsia"/>
                      <w:color w:val="333333"/>
                      <w:sz w:val="21"/>
                      <w:szCs w:val="21"/>
                      <w:shd w:val="clear" w:color="auto" w:fill="FFFFFF"/>
                    </w:rPr>
                    <w:t>,</w:t>
                  </w:r>
                  <w:r>
                    <w:rPr>
                      <w:color w:val="333333"/>
                      <w:sz w:val="21"/>
                      <w:szCs w:val="21"/>
                      <w:shd w:val="clear" w:color="auto" w:fill="FFFFFF"/>
                    </w:rPr>
                    <w:t>3-</w:t>
                  </w:r>
                  <w:r>
                    <w:rPr>
                      <w:rFonts w:hint="eastAsia"/>
                      <w:color w:val="333333"/>
                      <w:sz w:val="21"/>
                      <w:szCs w:val="21"/>
                      <w:shd w:val="clear" w:color="auto" w:fill="FFFFFF"/>
                    </w:rPr>
                    <w:t>三氯苯</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2.8</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c>
                <w:tcPr>
                  <w:tcW w:w="383"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71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1,</w:t>
                  </w:r>
                  <w:r>
                    <w:rPr>
                      <w:color w:val="333333"/>
                      <w:sz w:val="21"/>
                      <w:szCs w:val="21"/>
                      <w:shd w:val="clear" w:color="auto" w:fill="FFFFFF"/>
                    </w:rPr>
                    <w:t>2</w:t>
                  </w:r>
                  <w:r>
                    <w:rPr>
                      <w:rFonts w:hint="eastAsia"/>
                      <w:color w:val="333333"/>
                      <w:sz w:val="21"/>
                      <w:szCs w:val="21"/>
                      <w:shd w:val="clear" w:color="auto" w:fill="FFFFFF"/>
                    </w:rPr>
                    <w:t>,</w:t>
                  </w:r>
                  <w:r>
                    <w:rPr>
                      <w:color w:val="333333"/>
                      <w:sz w:val="21"/>
                      <w:szCs w:val="21"/>
                      <w:shd w:val="clear" w:color="auto" w:fill="FFFFFF"/>
                    </w:rPr>
                    <w:t>3</w:t>
                  </w:r>
                  <w:r>
                    <w:rPr>
                      <w:rFonts w:hint="eastAsia"/>
                      <w:color w:val="333333"/>
                      <w:sz w:val="21"/>
                      <w:szCs w:val="21"/>
                      <w:shd w:val="clear" w:color="auto" w:fill="FFFFFF"/>
                    </w:rPr>
                    <w:t>,</w:t>
                  </w:r>
                  <w:r>
                    <w:rPr>
                      <w:color w:val="333333"/>
                      <w:sz w:val="21"/>
                      <w:szCs w:val="21"/>
                      <w:shd w:val="clear" w:color="auto" w:fill="FFFFFF"/>
                    </w:rPr>
                    <w:t>4-</w:t>
                  </w:r>
                  <w:r>
                    <w:rPr>
                      <w:rFonts w:hint="eastAsia"/>
                      <w:color w:val="333333"/>
                      <w:sz w:val="21"/>
                      <w:szCs w:val="21"/>
                      <w:shd w:val="clear" w:color="auto" w:fill="FFFFFF"/>
                    </w:rPr>
                    <w:t>四氯苯</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2.5</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六氯苯</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2.6</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硝基苯</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4</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二硝基苯</w:t>
                  </w:r>
                </w:p>
              </w:tc>
              <w:tc>
                <w:tcPr>
                  <w:tcW w:w="8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对-二硝基苯</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5</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2,</w:t>
                  </w:r>
                  <w:r>
                    <w:rPr>
                      <w:color w:val="333333"/>
                      <w:sz w:val="21"/>
                      <w:szCs w:val="21"/>
                      <w:shd w:val="clear" w:color="auto" w:fill="FFFFFF"/>
                    </w:rPr>
                    <w:t>4-</w:t>
                  </w:r>
                  <w:r>
                    <w:rPr>
                      <w:rFonts w:hint="eastAsia"/>
                      <w:color w:val="333333"/>
                      <w:sz w:val="21"/>
                      <w:szCs w:val="21"/>
                      <w:shd w:val="clear" w:color="auto" w:fill="FFFFFF"/>
                    </w:rPr>
                    <w:t>二硝基甲苯</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4</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8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间-二硝基苯</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5</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2,</w:t>
                  </w:r>
                  <w:r>
                    <w:rPr>
                      <w:color w:val="333333"/>
                      <w:sz w:val="21"/>
                      <w:szCs w:val="21"/>
                      <w:shd w:val="clear" w:color="auto" w:fill="FFFFFF"/>
                    </w:rPr>
                    <w:t>4</w:t>
                  </w:r>
                  <w:r>
                    <w:rPr>
                      <w:rFonts w:hint="eastAsia"/>
                      <w:color w:val="333333"/>
                      <w:sz w:val="21"/>
                      <w:szCs w:val="21"/>
                      <w:shd w:val="clear" w:color="auto" w:fill="FFFFFF"/>
                    </w:rPr>
                    <w:t>,</w:t>
                  </w:r>
                  <w:r>
                    <w:rPr>
                      <w:color w:val="333333"/>
                      <w:sz w:val="21"/>
                      <w:szCs w:val="21"/>
                      <w:shd w:val="clear" w:color="auto" w:fill="FFFFFF"/>
                    </w:rPr>
                    <w:t>6-</w:t>
                  </w:r>
                  <w:r>
                    <w:rPr>
                      <w:rFonts w:hint="eastAsia"/>
                      <w:color w:val="333333"/>
                      <w:sz w:val="21"/>
                      <w:szCs w:val="21"/>
                      <w:shd w:val="clear" w:color="auto" w:fill="FFFFFF"/>
                    </w:rPr>
                    <w:t>三硝基甲苯</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4</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8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邻-二硝基苯</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5</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2,</w:t>
                  </w:r>
                  <w:r>
                    <w:rPr>
                      <w:color w:val="333333"/>
                      <w:sz w:val="21"/>
                      <w:szCs w:val="21"/>
                      <w:shd w:val="clear" w:color="auto" w:fill="FFFFFF"/>
                    </w:rPr>
                    <w:t>4-</w:t>
                  </w:r>
                  <w:r>
                    <w:rPr>
                      <w:rFonts w:hint="eastAsia"/>
                      <w:color w:val="333333"/>
                      <w:sz w:val="21"/>
                      <w:szCs w:val="21"/>
                      <w:shd w:val="clear" w:color="auto" w:fill="FFFFFF"/>
                    </w:rPr>
                    <w:t>二硝基氯苯</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4</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硝基氯苯</w:t>
                  </w:r>
                </w:p>
              </w:tc>
              <w:tc>
                <w:tcPr>
                  <w:tcW w:w="8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对-硝基氯苯</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4</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2,</w:t>
                  </w:r>
                  <w:r>
                    <w:rPr>
                      <w:color w:val="333333"/>
                      <w:sz w:val="21"/>
                      <w:szCs w:val="21"/>
                      <w:shd w:val="clear" w:color="auto" w:fill="FFFFFF"/>
                    </w:rPr>
                    <w:t>4-</w:t>
                  </w:r>
                  <w:r>
                    <w:rPr>
                      <w:rFonts w:hint="eastAsia"/>
                      <w:color w:val="333333"/>
                      <w:sz w:val="21"/>
                      <w:szCs w:val="21"/>
                      <w:shd w:val="clear" w:color="auto" w:fill="FFFFFF"/>
                    </w:rPr>
                    <w:t>二氯苯酚</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1.1</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8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间-硝基氯苯</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4</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2,</w:t>
                  </w:r>
                  <w:r>
                    <w:rPr>
                      <w:color w:val="333333"/>
                      <w:sz w:val="21"/>
                      <w:szCs w:val="21"/>
                      <w:shd w:val="clear" w:color="auto" w:fill="FFFFFF"/>
                    </w:rPr>
                    <w:t>4</w:t>
                  </w:r>
                  <w:r>
                    <w:rPr>
                      <w:rFonts w:hint="eastAsia"/>
                      <w:color w:val="333333"/>
                      <w:sz w:val="21"/>
                      <w:szCs w:val="21"/>
                      <w:shd w:val="clear" w:color="auto" w:fill="FFFFFF"/>
                    </w:rPr>
                    <w:t>,</w:t>
                  </w:r>
                  <w:r>
                    <w:rPr>
                      <w:color w:val="333333"/>
                      <w:sz w:val="21"/>
                      <w:szCs w:val="21"/>
                      <w:shd w:val="clear" w:color="auto" w:fill="FFFFFF"/>
                    </w:rPr>
                    <w:t>6-</w:t>
                  </w:r>
                  <w:r>
                    <w:rPr>
                      <w:rFonts w:hint="eastAsia"/>
                      <w:color w:val="333333"/>
                      <w:sz w:val="21"/>
                      <w:szCs w:val="21"/>
                      <w:shd w:val="clear" w:color="auto" w:fill="FFFFFF"/>
                    </w:rPr>
                    <w:t>三氯苯酚</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8</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8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邻-硝基氯苯</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4</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五氯酚</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2.4</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苯胺</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5.7</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联苯胺</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6</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丙烯酰胺</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7</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丙烯腈</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5</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邻苯二甲酸二丁酯</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1</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-4</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邻苯二甲酸二（2</w:t>
                  </w:r>
                  <w:r>
                    <w:rPr>
                      <w:color w:val="333333"/>
                      <w:sz w:val="21"/>
                      <w:szCs w:val="21"/>
                      <w:shd w:val="clear" w:color="auto" w:fill="FFFFFF"/>
                    </w:rPr>
                    <w:t>-</w:t>
                  </w:r>
                  <w:r>
                    <w:rPr>
                      <w:rFonts w:hint="eastAsia"/>
                      <w:color w:val="333333"/>
                      <w:sz w:val="21"/>
                      <w:szCs w:val="21"/>
                      <w:shd w:val="clear" w:color="auto" w:fill="FFFFFF"/>
                    </w:rPr>
                    <w:t>乙基己基）酯</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1</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水合肼</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.003</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吡啶</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松节油</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.03</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苦味酸</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丁基黄原酸</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.004</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游离氯</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滴滴涕</w:t>
                  </w:r>
                </w:p>
              </w:tc>
              <w:tc>
                <w:tcPr>
                  <w:tcW w:w="8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p，p</w:t>
                  </w:r>
                  <w:r>
                    <w:rPr>
                      <w:rFonts w:hint="eastAsia"/>
                      <w:color w:val="333333"/>
                      <w:sz w:val="21"/>
                      <w:szCs w:val="21"/>
                      <w:shd w:val="clear" w:color="auto" w:fill="FFFFFF"/>
                      <w:vertAlign w:val="superscript"/>
                    </w:rPr>
                    <w:t>，</w:t>
                  </w:r>
                  <w:r>
                    <w:rPr>
                      <w:color w:val="333333"/>
                      <w:sz w:val="21"/>
                      <w:szCs w:val="21"/>
                      <w:shd w:val="clear" w:color="auto" w:fill="FFFFFF"/>
                    </w:rPr>
                    <w:t>-DDT</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3.2</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林丹</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2.2</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8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o，p</w:t>
                  </w:r>
                  <w:r>
                    <w:rPr>
                      <w:rFonts w:hint="eastAsia"/>
                      <w:color w:val="333333"/>
                      <w:sz w:val="21"/>
                      <w:szCs w:val="21"/>
                      <w:shd w:val="clear" w:color="auto" w:fill="FFFFFF"/>
                      <w:vertAlign w:val="superscript"/>
                    </w:rPr>
                    <w:t>，</w:t>
                  </w:r>
                  <w:r>
                    <w:rPr>
                      <w:color w:val="333333"/>
                      <w:sz w:val="21"/>
                      <w:szCs w:val="21"/>
                      <w:shd w:val="clear" w:color="auto" w:fill="FFFFFF"/>
                    </w:rPr>
                    <w:t>-DDD</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2.5</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环氧七氯</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2.6</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8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p，p</w:t>
                  </w:r>
                  <w:r>
                    <w:rPr>
                      <w:rFonts w:hint="eastAsia"/>
                      <w:color w:val="333333"/>
                      <w:sz w:val="21"/>
                      <w:szCs w:val="21"/>
                      <w:shd w:val="clear" w:color="auto" w:fill="FFFFFF"/>
                      <w:vertAlign w:val="superscript"/>
                    </w:rPr>
                    <w:t>，</w:t>
                  </w:r>
                  <w:r>
                    <w:rPr>
                      <w:color w:val="333333"/>
                      <w:sz w:val="21"/>
                      <w:szCs w:val="21"/>
                      <w:shd w:val="clear" w:color="auto" w:fill="FFFFFF"/>
                    </w:rPr>
                    <w:t>-DDD</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2.8</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对硫磷</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3.6</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8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o，p</w:t>
                  </w:r>
                  <w:r>
                    <w:rPr>
                      <w:rFonts w:hint="eastAsia"/>
                      <w:color w:val="333333"/>
                      <w:sz w:val="21"/>
                      <w:szCs w:val="21"/>
                      <w:shd w:val="clear" w:color="auto" w:fill="FFFFFF"/>
                      <w:vertAlign w:val="superscript"/>
                    </w:rPr>
                    <w:t>，</w:t>
                  </w:r>
                  <w:r>
                    <w:rPr>
                      <w:color w:val="333333"/>
                      <w:sz w:val="21"/>
                      <w:szCs w:val="21"/>
                      <w:shd w:val="clear" w:color="auto" w:fill="FFFFFF"/>
                    </w:rPr>
                    <w:t>-DDE</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2.7</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甲基对硫磷</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2.8</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338"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8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p，p</w:t>
                  </w:r>
                  <w:r>
                    <w:rPr>
                      <w:rFonts w:hint="eastAsia"/>
                      <w:color w:val="333333"/>
                      <w:sz w:val="21"/>
                      <w:szCs w:val="21"/>
                      <w:shd w:val="clear" w:color="auto" w:fill="FFFFFF"/>
                      <w:vertAlign w:val="superscript"/>
                    </w:rPr>
                    <w:t>，</w:t>
                  </w:r>
                  <w:r>
                    <w:rPr>
                      <w:color w:val="333333"/>
                      <w:sz w:val="21"/>
                      <w:szCs w:val="21"/>
                      <w:shd w:val="clear" w:color="auto" w:fill="FFFFFF"/>
                    </w:rPr>
                    <w:t>-DDE</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2.7</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马拉硫磷</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4.3</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8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o，p</w:t>
                  </w:r>
                  <w:r>
                    <w:rPr>
                      <w:rFonts w:hint="eastAsia"/>
                      <w:color w:val="333333"/>
                      <w:sz w:val="21"/>
                      <w:szCs w:val="21"/>
                      <w:shd w:val="clear" w:color="auto" w:fill="FFFFFF"/>
                      <w:vertAlign w:val="superscript"/>
                    </w:rPr>
                    <w:t>，</w:t>
                  </w:r>
                  <w:r>
                    <w:rPr>
                      <w:color w:val="333333"/>
                      <w:sz w:val="21"/>
                      <w:szCs w:val="21"/>
                      <w:shd w:val="clear" w:color="auto" w:fill="FFFFFF"/>
                    </w:rPr>
                    <w:t>-DDT</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3.1</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乐果</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3.8</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敌敌畏</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4</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敌百虫</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3.4</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内吸磷</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＜1</w:t>
                  </w:r>
                  <w:r>
                    <w:rPr>
                      <w:color w:val="333333"/>
                      <w:sz w:val="21"/>
                      <w:szCs w:val="21"/>
                      <w:shd w:val="clear" w:color="auto" w:fill="FFFFFF"/>
                    </w:rPr>
                    <w:t>.0</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-4</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百菌清</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8</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溴氰菊酯</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8</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甲萘威</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＜0</w:t>
                  </w:r>
                  <w:r>
                    <w:rPr>
                      <w:color w:val="333333"/>
                      <w:sz w:val="21"/>
                      <w:szCs w:val="21"/>
                      <w:shd w:val="clear" w:color="auto" w:fill="FFFFFF"/>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阿特拉津</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8</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-5</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苯并[</w:t>
                  </w:r>
                  <w:r>
                    <w:rPr>
                      <w:color w:val="333333"/>
                      <w:sz w:val="21"/>
                      <w:szCs w:val="21"/>
                      <w:shd w:val="clear" w:color="auto" w:fill="FFFFFF"/>
                    </w:rPr>
                    <w:t>a]</w:t>
                  </w:r>
                  <w:r>
                    <w:rPr>
                      <w:rFonts w:hint="eastAsia"/>
                      <w:color w:val="333333"/>
                      <w:sz w:val="21"/>
                      <w:szCs w:val="21"/>
                      <w:shd w:val="clear" w:color="auto" w:fill="FFFFFF"/>
                    </w:rPr>
                    <w:t>芘</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4</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多氯联苯</w:t>
                  </w:r>
                </w:p>
              </w:tc>
              <w:tc>
                <w:tcPr>
                  <w:tcW w:w="8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P</w:t>
                  </w:r>
                  <w:r>
                    <w:rPr>
                      <w:color w:val="333333"/>
                      <w:sz w:val="21"/>
                      <w:szCs w:val="21"/>
                      <w:shd w:val="clear" w:color="auto" w:fill="FFFFFF"/>
                    </w:rPr>
                    <w:t>CB28</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1.6</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-6</w:t>
                  </w:r>
                </w:p>
              </w:tc>
              <w:tc>
                <w:tcPr>
                  <w:tcW w:w="383"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多氯联苯</w:t>
                  </w:r>
                </w:p>
              </w:tc>
              <w:tc>
                <w:tcPr>
                  <w:tcW w:w="71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P</w:t>
                  </w:r>
                  <w:r>
                    <w:rPr>
                      <w:color w:val="333333"/>
                      <w:sz w:val="21"/>
                      <w:szCs w:val="21"/>
                      <w:shd w:val="clear" w:color="auto" w:fill="FFFFFF"/>
                    </w:rPr>
                    <w:t>CB52</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1.6</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8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P</w:t>
                  </w:r>
                  <w:r>
                    <w:rPr>
                      <w:color w:val="333333"/>
                      <w:sz w:val="21"/>
                      <w:szCs w:val="21"/>
                      <w:shd w:val="clear" w:color="auto" w:fill="FFFFFF"/>
                    </w:rPr>
                    <w:t>CB101</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1.6</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-6</w:t>
                  </w:r>
                </w:p>
              </w:tc>
              <w:tc>
                <w:tcPr>
                  <w:tcW w:w="383"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71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P</w:t>
                  </w:r>
                  <w:r>
                    <w:rPr>
                      <w:color w:val="333333"/>
                      <w:sz w:val="21"/>
                      <w:szCs w:val="21"/>
                      <w:shd w:val="clear" w:color="auto" w:fill="FFFFFF"/>
                    </w:rPr>
                    <w:t>CB81</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1.6</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8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P</w:t>
                  </w:r>
                  <w:r>
                    <w:rPr>
                      <w:color w:val="333333"/>
                      <w:sz w:val="21"/>
                      <w:szCs w:val="21"/>
                      <w:shd w:val="clear" w:color="auto" w:fill="FFFFFF"/>
                    </w:rPr>
                    <w:t>CB77</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1.9</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-6</w:t>
                  </w:r>
                </w:p>
              </w:tc>
              <w:tc>
                <w:tcPr>
                  <w:tcW w:w="383"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71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P</w:t>
                  </w:r>
                  <w:r>
                    <w:rPr>
                      <w:color w:val="333333"/>
                      <w:sz w:val="21"/>
                      <w:szCs w:val="21"/>
                      <w:shd w:val="clear" w:color="auto" w:fill="FFFFFF"/>
                    </w:rPr>
                    <w:t>CB123</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1.6</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8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P</w:t>
                  </w:r>
                  <w:r>
                    <w:rPr>
                      <w:color w:val="333333"/>
                      <w:sz w:val="21"/>
                      <w:szCs w:val="21"/>
                      <w:shd w:val="clear" w:color="auto" w:fill="FFFFFF"/>
                    </w:rPr>
                    <w:t>CB118</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1.6</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-6</w:t>
                  </w:r>
                </w:p>
              </w:tc>
              <w:tc>
                <w:tcPr>
                  <w:tcW w:w="383"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71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P</w:t>
                  </w:r>
                  <w:r>
                    <w:rPr>
                      <w:color w:val="333333"/>
                      <w:sz w:val="21"/>
                      <w:szCs w:val="21"/>
                      <w:shd w:val="clear" w:color="auto" w:fill="FFFFFF"/>
                    </w:rPr>
                    <w:t>CB114</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1.6</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8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P</w:t>
                  </w:r>
                  <w:r>
                    <w:rPr>
                      <w:color w:val="333333"/>
                      <w:sz w:val="21"/>
                      <w:szCs w:val="21"/>
                      <w:shd w:val="clear" w:color="auto" w:fill="FFFFFF"/>
                    </w:rPr>
                    <w:t>CB138</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1.6</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-6</w:t>
                  </w:r>
                </w:p>
              </w:tc>
              <w:tc>
                <w:tcPr>
                  <w:tcW w:w="383"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71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P</w:t>
                  </w:r>
                  <w:r>
                    <w:rPr>
                      <w:color w:val="333333"/>
                      <w:sz w:val="21"/>
                      <w:szCs w:val="21"/>
                      <w:shd w:val="clear" w:color="auto" w:fill="FFFFFF"/>
                    </w:rPr>
                    <w:t>CB105</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1.6</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8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P</w:t>
                  </w:r>
                  <w:r>
                    <w:rPr>
                      <w:color w:val="333333"/>
                      <w:sz w:val="21"/>
                      <w:szCs w:val="21"/>
                      <w:shd w:val="clear" w:color="auto" w:fill="FFFFFF"/>
                    </w:rPr>
                    <w:t>CB153</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1.9</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-6</w:t>
                  </w:r>
                </w:p>
              </w:tc>
              <w:tc>
                <w:tcPr>
                  <w:tcW w:w="383"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71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P</w:t>
                  </w:r>
                  <w:r>
                    <w:rPr>
                      <w:color w:val="333333"/>
                      <w:sz w:val="21"/>
                      <w:szCs w:val="21"/>
                      <w:shd w:val="clear" w:color="auto" w:fill="FFFFFF"/>
                    </w:rPr>
                    <w:t>CB126</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2.2</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8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P</w:t>
                  </w:r>
                  <w:r>
                    <w:rPr>
                      <w:color w:val="333333"/>
                      <w:sz w:val="21"/>
                      <w:szCs w:val="21"/>
                      <w:shd w:val="clear" w:color="auto" w:fill="FFFFFF"/>
                    </w:rPr>
                    <w:t>CB167</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1.6</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-6</w:t>
                  </w:r>
                </w:p>
              </w:tc>
              <w:tc>
                <w:tcPr>
                  <w:tcW w:w="383"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71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P</w:t>
                  </w:r>
                  <w:r>
                    <w:rPr>
                      <w:color w:val="333333"/>
                      <w:sz w:val="21"/>
                      <w:szCs w:val="21"/>
                      <w:shd w:val="clear" w:color="auto" w:fill="FFFFFF"/>
                    </w:rPr>
                    <w:t>CB156</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1.9</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8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P</w:t>
                  </w:r>
                  <w:r>
                    <w:rPr>
                      <w:color w:val="333333"/>
                      <w:sz w:val="21"/>
                      <w:szCs w:val="21"/>
                      <w:shd w:val="clear" w:color="auto" w:fill="FFFFFF"/>
                    </w:rPr>
                    <w:t>CB157</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1.9</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-6</w:t>
                  </w:r>
                </w:p>
              </w:tc>
              <w:tc>
                <w:tcPr>
                  <w:tcW w:w="383"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71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P</w:t>
                  </w:r>
                  <w:r>
                    <w:rPr>
                      <w:color w:val="333333"/>
                      <w:sz w:val="21"/>
                      <w:szCs w:val="21"/>
                      <w:shd w:val="clear" w:color="auto" w:fill="FFFFFF"/>
                    </w:rPr>
                    <w:t>CB180</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1.6</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8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P</w:t>
                  </w:r>
                  <w:r>
                    <w:rPr>
                      <w:color w:val="333333"/>
                      <w:sz w:val="21"/>
                      <w:szCs w:val="21"/>
                      <w:shd w:val="clear" w:color="auto" w:fill="FFFFFF"/>
                    </w:rPr>
                    <w:t>CB169</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1.6</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-6</w:t>
                  </w:r>
                </w:p>
              </w:tc>
              <w:tc>
                <w:tcPr>
                  <w:tcW w:w="383"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p>
              </w:tc>
              <w:tc>
                <w:tcPr>
                  <w:tcW w:w="71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P</w:t>
                  </w:r>
                  <w:r>
                    <w:rPr>
                      <w:color w:val="333333"/>
                      <w:sz w:val="21"/>
                      <w:szCs w:val="21"/>
                      <w:shd w:val="clear" w:color="auto" w:fill="FFFFFF"/>
                    </w:rPr>
                    <w:t>CB189</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r>
                    <w:rPr>
                      <w:color w:val="333333"/>
                      <w:sz w:val="21"/>
                      <w:szCs w:val="21"/>
                      <w:shd w:val="clear" w:color="auto" w:fill="FFFFFF"/>
                    </w:rPr>
                    <w:t>1.6</w:t>
                  </w:r>
                  <w:r>
                    <w:rPr>
                      <w:rFonts w:hint="eastAsia"/>
                      <w:color w:val="333333"/>
                      <w:sz w:val="21"/>
                      <w:szCs w:val="21"/>
                      <w:shd w:val="clear" w:color="auto" w:fill="FFFFFF"/>
                    </w:rPr>
                    <w:t>×</w:t>
                  </w:r>
                  <w:r>
                    <w:rPr>
                      <w:color w:val="333333"/>
                      <w:sz w:val="21"/>
                      <w:szCs w:val="21"/>
                      <w:shd w:val="clear" w:color="auto" w:fill="FFFFFF"/>
                    </w:rPr>
                    <w:t>10</w:t>
                  </w:r>
                  <w:r>
                    <w:rPr>
                      <w:color w:val="333333"/>
                      <w:sz w:val="21"/>
                      <w:szCs w:val="21"/>
                      <w:shd w:val="clear" w:color="auto" w:fill="FFFFFF"/>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微囊藻毒素-</w:t>
                  </w:r>
                  <w:r>
                    <w:rPr>
                      <w:color w:val="333333"/>
                      <w:sz w:val="21"/>
                      <w:szCs w:val="21"/>
                      <w:shd w:val="clear" w:color="auto" w:fill="FFFFFF"/>
                    </w:rPr>
                    <w:t>LR</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＜1×</w:t>
                  </w:r>
                  <w:r>
                    <w:rPr>
                      <w:color w:val="333333"/>
                      <w:sz w:val="21"/>
                      <w:szCs w:val="21"/>
                      <w:shd w:val="clear" w:color="auto" w:fill="FFFFFF"/>
                    </w:rPr>
                    <w:t>10</w:t>
                  </w:r>
                  <w:r>
                    <w:rPr>
                      <w:color w:val="333333"/>
                      <w:sz w:val="21"/>
                      <w:szCs w:val="21"/>
                      <w:shd w:val="clear" w:color="auto" w:fill="FFFFFF"/>
                      <w:vertAlign w:val="superscript"/>
                    </w:rPr>
                    <w:t>-4</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黄磷</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＜1×</w:t>
                  </w:r>
                  <w:r>
                    <w:rPr>
                      <w:color w:val="333333"/>
                      <w:sz w:val="21"/>
                      <w:szCs w:val="21"/>
                      <w:shd w:val="clear" w:color="auto" w:fill="FFFFFF"/>
                    </w:rPr>
                    <w:t>10</w:t>
                  </w:r>
                  <w:r>
                    <w:rPr>
                      <w:color w:val="333333"/>
                      <w:sz w:val="21"/>
                      <w:szCs w:val="21"/>
                      <w:shd w:val="clear" w:color="auto" w:fill="FFFFFF"/>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四乙基铅</w:t>
                  </w:r>
                </w:p>
              </w:tc>
              <w:tc>
                <w:tcPr>
                  <w:tcW w:w="51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mg/L</w:t>
                  </w:r>
                </w:p>
              </w:tc>
              <w:tc>
                <w:tcPr>
                  <w:tcW w:w="8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＜2×</w:t>
                  </w:r>
                  <w:r>
                    <w:rPr>
                      <w:color w:val="333333"/>
                      <w:sz w:val="21"/>
                      <w:szCs w:val="21"/>
                      <w:shd w:val="clear" w:color="auto" w:fill="FFFFFF"/>
                    </w:rPr>
                    <w:t>10</w:t>
                  </w:r>
                  <w:r>
                    <w:rPr>
                      <w:color w:val="333333"/>
                      <w:sz w:val="21"/>
                      <w:szCs w:val="21"/>
                      <w:shd w:val="clear" w:color="auto" w:fill="FFFFFF"/>
                      <w:vertAlign w:val="superscript"/>
                    </w:rPr>
                    <w:t>-5</w:t>
                  </w:r>
                </w:p>
              </w:tc>
              <w:tc>
                <w:tcPr>
                  <w:tcW w:w="109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p>
              </w:tc>
              <w:tc>
                <w:tcPr>
                  <w:tcW w:w="44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p>
              </w:tc>
              <w:tc>
                <w:tcPr>
                  <w:tcW w:w="8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333333"/>
                      <w:sz w:val="21"/>
                      <w:szCs w:val="21"/>
                      <w:shd w:val="clear" w:color="auto" w:fill="FFFFFF"/>
                    </w:rPr>
                  </w:pPr>
                  <w:r>
                    <w:rPr>
                      <w:rFonts w:hint="eastAsia"/>
                      <w:color w:val="333333"/>
                      <w:sz w:val="21"/>
                      <w:szCs w:val="21"/>
                      <w:shd w:val="clear" w:color="auto" w:fill="FFFFFF"/>
                    </w:rPr>
                    <w:t>/</w:t>
                  </w:r>
                </w:p>
              </w:tc>
            </w:tr>
          </w:tbl>
          <w:p>
            <w:pPr>
              <w:spacing w:line="360" w:lineRule="auto"/>
              <w:ind w:firstLine="480" w:firstLineChars="200"/>
              <w:rPr>
                <w:rFonts w:hint="eastAsia"/>
                <w:sz w:val="24"/>
                <w:szCs w:val="24"/>
              </w:rPr>
            </w:pPr>
            <w:r>
              <w:rPr>
                <w:sz w:val="24"/>
                <w:szCs w:val="24"/>
              </w:rPr>
              <w:t>同时本项目取水口已划分</w:t>
            </w:r>
            <w:r>
              <w:rPr>
                <w:rFonts w:hint="eastAsia"/>
                <w:sz w:val="24"/>
                <w:szCs w:val="24"/>
              </w:rPr>
              <w:t>，本次建设不改变饮用水源保护区范围，具体饮用水源保护区范围见附图5。</w:t>
            </w:r>
          </w:p>
          <w:p>
            <w:pPr>
              <w:autoSpaceDE w:val="0"/>
              <w:autoSpaceDN w:val="0"/>
              <w:adjustRightInd w:val="0"/>
              <w:snapToGrid w:val="0"/>
              <w:spacing w:line="360" w:lineRule="auto"/>
              <w:ind w:firstLine="480" w:firstLineChars="200"/>
              <w:rPr>
                <w:rFonts w:hint="eastAsia" w:cs="宋体"/>
                <w:color w:val="auto"/>
                <w:kern w:val="0"/>
                <w:sz w:val="24"/>
                <w:szCs w:val="24"/>
              </w:rPr>
            </w:pPr>
            <w:r>
              <w:rPr>
                <w:rFonts w:ascii="宋体" w:hAnsi="宋体"/>
                <w:color w:val="auto"/>
                <w:sz w:val="24"/>
                <w:szCs w:val="24"/>
              </w:rPr>
              <w:t>综上，本项目</w:t>
            </w:r>
            <w:r>
              <w:rPr>
                <w:rFonts w:hint="eastAsia" w:ascii="宋体" w:hAnsi="宋体"/>
                <w:color w:val="auto"/>
                <w:sz w:val="24"/>
                <w:szCs w:val="24"/>
              </w:rPr>
              <w:t>建设</w:t>
            </w:r>
            <w:r>
              <w:rPr>
                <w:color w:val="auto"/>
                <w:sz w:val="24"/>
                <w:szCs w:val="24"/>
              </w:rPr>
              <w:t>取水可行。</w:t>
            </w:r>
          </w:p>
          <w:p>
            <w:pPr>
              <w:autoSpaceDE w:val="0"/>
              <w:autoSpaceDN w:val="0"/>
              <w:adjustRightInd w:val="0"/>
              <w:snapToGrid w:val="0"/>
              <w:spacing w:line="360" w:lineRule="auto"/>
              <w:ind w:firstLine="482" w:firstLineChars="200"/>
              <w:rPr>
                <w:rFonts w:cs="宋体"/>
                <w:b/>
                <w:bCs/>
                <w:color w:val="auto"/>
                <w:kern w:val="0"/>
                <w:sz w:val="24"/>
                <w:szCs w:val="24"/>
              </w:rPr>
            </w:pPr>
            <w:r>
              <w:rPr>
                <w:rFonts w:hint="eastAsia" w:cs="宋体"/>
                <w:b/>
                <w:bCs/>
                <w:color w:val="auto"/>
                <w:kern w:val="0"/>
                <w:sz w:val="24"/>
                <w:szCs w:val="24"/>
                <w:lang w:val="en-US" w:eastAsia="zh-CN"/>
              </w:rPr>
              <w:t>5</w:t>
            </w:r>
            <w:r>
              <w:rPr>
                <w:rFonts w:hint="eastAsia" w:cs="宋体"/>
                <w:b/>
                <w:bCs/>
                <w:color w:val="auto"/>
                <w:kern w:val="0"/>
                <w:sz w:val="24"/>
                <w:szCs w:val="24"/>
              </w:rPr>
              <w:t>、选址合理性分析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hAnsi="宋体"/>
                <w:bCs/>
                <w:color w:val="auto"/>
                <w:sz w:val="24"/>
                <w:szCs w:val="24"/>
                <w:lang w:val="en-US" w:eastAsia="zh-CN"/>
              </w:rPr>
            </w:pPr>
            <w:r>
              <w:rPr>
                <w:rFonts w:hAnsi="宋体"/>
                <w:bCs/>
                <w:color w:val="auto"/>
                <w:sz w:val="24"/>
                <w:szCs w:val="24"/>
              </w:rPr>
              <w:t>本项目</w:t>
            </w:r>
            <w:r>
              <w:rPr>
                <w:rFonts w:hint="eastAsia" w:hAnsi="宋体"/>
                <w:bCs/>
                <w:color w:val="auto"/>
                <w:sz w:val="24"/>
                <w:szCs w:val="24"/>
                <w:lang w:val="en-US" w:eastAsia="zh-CN"/>
              </w:rPr>
              <w:t>位于</w:t>
            </w:r>
            <w:r>
              <w:rPr>
                <w:rFonts w:hint="eastAsia" w:cs="宋体"/>
                <w:color w:val="auto"/>
                <w:sz w:val="24"/>
                <w:szCs w:val="24"/>
              </w:rPr>
              <w:t>宣汉县蒲江街道</w:t>
            </w:r>
            <w:r>
              <w:rPr>
                <w:rFonts w:hint="eastAsia" w:hAnsi="宋体"/>
                <w:bCs/>
                <w:color w:val="auto"/>
                <w:sz w:val="24"/>
                <w:szCs w:val="24"/>
              </w:rPr>
              <w:t>。根据宣汉县自然资源局出具的《</w:t>
            </w:r>
            <w:r>
              <w:rPr>
                <w:rFonts w:hint="eastAsia" w:hAnsi="宋体"/>
                <w:bCs/>
                <w:color w:val="auto"/>
                <w:sz w:val="24"/>
                <w:szCs w:val="24"/>
                <w:lang w:val="en-US" w:eastAsia="zh-CN"/>
              </w:rPr>
              <w:t>建设用地规划许可证</w:t>
            </w:r>
            <w:r>
              <w:rPr>
                <w:rFonts w:hint="eastAsia" w:hAnsi="宋体"/>
                <w:bCs/>
                <w:color w:val="auto"/>
                <w:sz w:val="24"/>
                <w:szCs w:val="24"/>
              </w:rPr>
              <w:t>》（</w:t>
            </w:r>
            <w:r>
              <w:rPr>
                <w:rFonts w:hint="eastAsia" w:hAnsi="宋体"/>
                <w:bCs/>
                <w:color w:val="auto"/>
                <w:sz w:val="24"/>
                <w:szCs w:val="24"/>
                <w:lang w:val="en-US" w:eastAsia="zh-CN"/>
              </w:rPr>
              <w:t>地字第511722-2022-00020</w:t>
            </w:r>
            <w:r>
              <w:rPr>
                <w:rFonts w:hint="eastAsia" w:hAnsi="宋体"/>
                <w:bCs/>
                <w:color w:val="auto"/>
                <w:sz w:val="24"/>
                <w:szCs w:val="24"/>
              </w:rPr>
              <w:t>号）</w:t>
            </w:r>
            <w:r>
              <w:rPr>
                <w:rFonts w:hint="eastAsia" w:hAnsi="宋体"/>
                <w:bCs/>
                <w:color w:val="auto"/>
                <w:sz w:val="24"/>
                <w:szCs w:val="24"/>
                <w:lang w:val="en-US" w:eastAsia="zh-CN"/>
              </w:rPr>
              <w:t>表明</w:t>
            </w:r>
            <w:r>
              <w:rPr>
                <w:rFonts w:hint="eastAsia" w:hAnsi="宋体"/>
                <w:bCs/>
                <w:color w:val="auto"/>
                <w:sz w:val="24"/>
                <w:szCs w:val="24"/>
              </w:rPr>
              <w:t>，本项目</w:t>
            </w:r>
            <w:r>
              <w:rPr>
                <w:rFonts w:hint="eastAsia" w:hAnsi="宋体"/>
                <w:bCs/>
                <w:color w:val="auto"/>
                <w:sz w:val="24"/>
                <w:szCs w:val="24"/>
                <w:lang w:val="en-US" w:eastAsia="zh-CN"/>
              </w:rPr>
              <w:t>用地面积11980m</w:t>
            </w:r>
            <w:r>
              <w:rPr>
                <w:rFonts w:hint="eastAsia" w:hAnsi="宋体"/>
                <w:bCs/>
                <w:color w:val="auto"/>
                <w:sz w:val="24"/>
                <w:szCs w:val="24"/>
                <w:vertAlign w:val="superscript"/>
                <w:lang w:val="en-US" w:eastAsia="zh-CN"/>
              </w:rPr>
              <w:t>2</w:t>
            </w:r>
            <w:r>
              <w:rPr>
                <w:rFonts w:hint="eastAsia" w:hAnsi="宋体"/>
                <w:bCs/>
                <w:color w:val="auto"/>
                <w:sz w:val="24"/>
                <w:szCs w:val="24"/>
                <w:lang w:val="en-US" w:eastAsia="zh-CN"/>
              </w:rPr>
              <w:t>，用地性质为公共设施用地。同时根据</w:t>
            </w:r>
            <w:r>
              <w:rPr>
                <w:rFonts w:hint="eastAsia" w:hAnsi="宋体"/>
                <w:bCs/>
                <w:color w:val="auto"/>
                <w:sz w:val="24"/>
                <w:szCs w:val="24"/>
              </w:rPr>
              <w:t>宣汉县自然资源局出具的</w:t>
            </w:r>
            <w:r>
              <w:rPr>
                <w:rFonts w:hint="eastAsia" w:hAnsi="宋体"/>
                <w:bCs/>
                <w:color w:val="auto"/>
                <w:sz w:val="24"/>
                <w:szCs w:val="24"/>
                <w:lang w:eastAsia="zh-CN"/>
              </w:rPr>
              <w:t>《</w:t>
            </w:r>
            <w:r>
              <w:rPr>
                <w:rFonts w:hint="eastAsia" w:hAnsi="宋体"/>
                <w:bCs/>
                <w:color w:val="auto"/>
                <w:sz w:val="24"/>
                <w:szCs w:val="24"/>
                <w:lang w:val="en-US" w:eastAsia="zh-CN"/>
              </w:rPr>
              <w:t>建设项目用地预审与选址意见书</w:t>
            </w:r>
            <w:r>
              <w:rPr>
                <w:rFonts w:hint="eastAsia" w:hAnsi="宋体"/>
                <w:bCs/>
                <w:color w:val="auto"/>
                <w:sz w:val="24"/>
                <w:szCs w:val="24"/>
                <w:lang w:eastAsia="zh-CN"/>
              </w:rPr>
              <w:t>》</w:t>
            </w:r>
            <w:r>
              <w:rPr>
                <w:rFonts w:hint="eastAsia" w:hAnsi="宋体"/>
                <w:bCs/>
                <w:color w:val="auto"/>
                <w:sz w:val="24"/>
                <w:szCs w:val="24"/>
                <w:lang w:val="en-US" w:eastAsia="zh-CN"/>
              </w:rPr>
              <w:t>表明，本项目选址位于宣汉县蒲江街道。</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Ansi="宋体"/>
                <w:color w:val="auto"/>
                <w:sz w:val="24"/>
                <w:szCs w:val="24"/>
              </w:rPr>
            </w:pPr>
            <w:r>
              <w:rPr>
                <w:rFonts w:hAnsi="宋体"/>
                <w:color w:val="auto"/>
                <w:sz w:val="24"/>
                <w:szCs w:val="24"/>
              </w:rPr>
              <w:t>根据现场调查，项目周围</w:t>
            </w:r>
            <w:r>
              <w:rPr>
                <w:rFonts w:hint="eastAsia" w:hAnsi="宋体"/>
                <w:color w:val="auto"/>
                <w:sz w:val="24"/>
                <w:szCs w:val="24"/>
              </w:rPr>
              <w:t>主要分布为居民</w:t>
            </w:r>
            <w:r>
              <w:rPr>
                <w:rFonts w:hAnsi="宋体"/>
                <w:color w:val="auto"/>
                <w:sz w:val="24"/>
                <w:szCs w:val="24"/>
              </w:rPr>
              <w:t>。</w:t>
            </w:r>
          </w:p>
          <w:p>
            <w:pPr>
              <w:pStyle w:val="2"/>
              <w:keepNext w:val="0"/>
              <w:keepLines w:val="0"/>
              <w:pageBreakBefore w:val="0"/>
              <w:widowControl w:val="0"/>
              <w:kinsoku/>
              <w:wordWrap/>
              <w:overflowPunct/>
              <w:topLinePunct w:val="0"/>
              <w:bidi w:val="0"/>
              <w:spacing w:line="360" w:lineRule="auto"/>
              <w:ind w:firstLine="480" w:firstLineChars="200"/>
              <w:textAlignment w:val="auto"/>
            </w:pPr>
            <w:r>
              <w:rPr>
                <w:rFonts w:hint="eastAsia" w:cs="宋体"/>
                <w:color w:val="auto"/>
                <w:kern w:val="0"/>
                <w:szCs w:val="21"/>
              </w:rPr>
              <w:t>综上，本项目外环境较简单。项目周边不涉及自然保护区、风景名胜区、文物古迹等。项目区域位于饮用水源保护区范围内，且项目自身为饮用水源保护目标，项目产生的各项污染物严格按照环评报告提出的污染防治措施进行处理可达标排放，将不会对区域及周边环境敏感点造成明显影响，项目选址合理。</w:t>
            </w:r>
          </w:p>
          <w:p>
            <w:pPr>
              <w:pStyle w:val="2"/>
              <w:rPr>
                <w:rFonts w:hAnsi="宋体"/>
                <w:color w:val="auto"/>
                <w:sz w:val="24"/>
                <w:szCs w:val="24"/>
              </w:rPr>
            </w:pPr>
          </w:p>
          <w:p>
            <w:pPr>
              <w:rPr>
                <w:rFonts w:hAnsi="宋体"/>
                <w:color w:val="auto"/>
                <w:sz w:val="24"/>
                <w:szCs w:val="24"/>
              </w:rPr>
            </w:pPr>
          </w:p>
          <w:p>
            <w:pPr>
              <w:pStyle w:val="2"/>
              <w:rPr>
                <w:rFonts w:hAnsi="宋体"/>
                <w:color w:val="auto"/>
                <w:sz w:val="24"/>
                <w:szCs w:val="24"/>
              </w:rPr>
            </w:pPr>
          </w:p>
          <w:p>
            <w:pPr>
              <w:rPr>
                <w:rFonts w:hAnsi="宋体"/>
                <w:color w:val="auto"/>
                <w:sz w:val="24"/>
                <w:szCs w:val="24"/>
              </w:rPr>
            </w:pPr>
          </w:p>
          <w:p>
            <w:pPr>
              <w:pStyle w:val="2"/>
              <w:rPr>
                <w:rFonts w:hAnsi="宋体"/>
                <w:color w:val="auto"/>
                <w:sz w:val="24"/>
                <w:szCs w:val="24"/>
              </w:rPr>
            </w:pPr>
          </w:p>
          <w:p>
            <w:pPr>
              <w:rPr>
                <w:rFonts w:hAnsi="宋体"/>
                <w:color w:val="auto"/>
                <w:sz w:val="24"/>
                <w:szCs w:val="24"/>
              </w:rPr>
            </w:pPr>
          </w:p>
          <w:p>
            <w:pPr>
              <w:pStyle w:val="2"/>
              <w:rPr>
                <w:rFonts w:hAnsi="宋体"/>
                <w:color w:val="auto"/>
                <w:sz w:val="24"/>
                <w:szCs w:val="24"/>
              </w:rPr>
            </w:pPr>
          </w:p>
          <w:p>
            <w:pPr>
              <w:rPr>
                <w:rFonts w:hAnsi="宋体"/>
                <w:color w:val="auto"/>
                <w:sz w:val="24"/>
                <w:szCs w:val="24"/>
              </w:rPr>
            </w:pPr>
          </w:p>
          <w:p>
            <w:pPr>
              <w:pStyle w:val="2"/>
              <w:rPr>
                <w:rFonts w:hAnsi="宋体"/>
                <w:color w:val="auto"/>
                <w:sz w:val="24"/>
                <w:szCs w:val="24"/>
              </w:rPr>
            </w:pPr>
          </w:p>
          <w:p>
            <w:pPr>
              <w:rPr>
                <w:rFonts w:hAnsi="宋体"/>
                <w:color w:val="auto"/>
                <w:sz w:val="24"/>
                <w:szCs w:val="24"/>
              </w:rPr>
            </w:pPr>
          </w:p>
          <w:p>
            <w:pPr>
              <w:pStyle w:val="2"/>
              <w:rPr>
                <w:rFonts w:hAnsi="宋体"/>
                <w:color w:val="auto"/>
                <w:sz w:val="24"/>
                <w:szCs w:val="24"/>
              </w:rPr>
            </w:pPr>
          </w:p>
          <w:p>
            <w:pPr>
              <w:rPr>
                <w:rFonts w:hAnsi="宋体"/>
                <w:color w:val="auto"/>
                <w:sz w:val="24"/>
                <w:szCs w:val="24"/>
              </w:rPr>
            </w:pPr>
          </w:p>
          <w:p>
            <w:pPr>
              <w:pStyle w:val="2"/>
              <w:rPr>
                <w:rFonts w:hAnsi="宋体"/>
                <w:color w:val="auto"/>
                <w:sz w:val="24"/>
                <w:szCs w:val="24"/>
              </w:rPr>
            </w:pPr>
          </w:p>
          <w:p>
            <w:pPr>
              <w:rPr>
                <w:rFonts w:hAnsi="宋体"/>
                <w:color w:val="auto"/>
                <w:sz w:val="24"/>
                <w:szCs w:val="24"/>
              </w:rPr>
            </w:pPr>
          </w:p>
          <w:p>
            <w:pPr>
              <w:pStyle w:val="2"/>
              <w:rPr>
                <w:rFonts w:hAnsi="宋体"/>
                <w:color w:val="auto"/>
                <w:sz w:val="24"/>
                <w:szCs w:val="24"/>
              </w:rPr>
            </w:pPr>
          </w:p>
          <w:p>
            <w:pPr>
              <w:rPr>
                <w:rFonts w:hAnsi="宋体"/>
                <w:color w:val="auto"/>
                <w:sz w:val="24"/>
                <w:szCs w:val="24"/>
              </w:rPr>
            </w:pPr>
          </w:p>
          <w:p>
            <w:pPr>
              <w:pStyle w:val="2"/>
              <w:rPr>
                <w:rFonts w:hAnsi="宋体"/>
                <w:color w:val="auto"/>
                <w:sz w:val="24"/>
                <w:szCs w:val="24"/>
              </w:rPr>
            </w:pPr>
          </w:p>
          <w:p>
            <w:pPr>
              <w:rPr>
                <w:rFonts w:hAnsi="宋体"/>
                <w:color w:val="auto"/>
                <w:sz w:val="24"/>
                <w:szCs w:val="24"/>
              </w:rPr>
            </w:pPr>
          </w:p>
          <w:p>
            <w:pPr>
              <w:pStyle w:val="2"/>
              <w:rPr>
                <w:rFonts w:hAnsi="宋体"/>
                <w:color w:val="auto"/>
                <w:sz w:val="24"/>
                <w:szCs w:val="24"/>
              </w:rPr>
            </w:pPr>
          </w:p>
          <w:p>
            <w:pPr>
              <w:rPr>
                <w:rFonts w:hAnsi="宋体"/>
                <w:color w:val="auto"/>
                <w:sz w:val="24"/>
                <w:szCs w:val="24"/>
              </w:rPr>
            </w:pPr>
          </w:p>
          <w:p>
            <w:pPr>
              <w:pStyle w:val="2"/>
              <w:rPr>
                <w:rFonts w:hAnsi="宋体"/>
                <w:color w:val="auto"/>
                <w:sz w:val="24"/>
                <w:szCs w:val="24"/>
              </w:rPr>
            </w:pPr>
          </w:p>
          <w:p>
            <w:pPr>
              <w:rPr>
                <w:rFonts w:hAnsi="宋体"/>
                <w:color w:val="auto"/>
                <w:sz w:val="24"/>
                <w:szCs w:val="24"/>
              </w:rPr>
            </w:pPr>
          </w:p>
          <w:p>
            <w:pPr>
              <w:pStyle w:val="2"/>
              <w:rPr>
                <w:rFonts w:hAnsi="宋体"/>
                <w:color w:val="auto"/>
                <w:sz w:val="24"/>
                <w:szCs w:val="24"/>
              </w:rPr>
            </w:pPr>
          </w:p>
          <w:p>
            <w:pPr>
              <w:rPr>
                <w:rFonts w:hAnsi="宋体"/>
                <w:color w:val="auto"/>
                <w:sz w:val="24"/>
                <w:szCs w:val="24"/>
              </w:rPr>
            </w:pPr>
          </w:p>
          <w:p>
            <w:pPr>
              <w:pStyle w:val="2"/>
              <w:rPr>
                <w:rFonts w:hAnsi="宋体"/>
                <w:color w:val="auto"/>
                <w:sz w:val="24"/>
                <w:szCs w:val="24"/>
              </w:rPr>
            </w:pPr>
          </w:p>
          <w:p>
            <w:pPr>
              <w:rPr>
                <w:rFonts w:hAnsi="宋体"/>
                <w:color w:val="auto"/>
                <w:sz w:val="24"/>
                <w:szCs w:val="24"/>
              </w:rPr>
            </w:pPr>
          </w:p>
          <w:p>
            <w:pPr>
              <w:pStyle w:val="2"/>
              <w:rPr>
                <w:rFonts w:hAnsi="宋体"/>
                <w:color w:val="auto"/>
                <w:sz w:val="24"/>
                <w:szCs w:val="24"/>
              </w:rPr>
            </w:pPr>
          </w:p>
          <w:p>
            <w:pPr>
              <w:rPr>
                <w:rFonts w:hAnsi="宋体"/>
                <w:color w:val="auto"/>
                <w:sz w:val="24"/>
                <w:szCs w:val="24"/>
              </w:rPr>
            </w:pPr>
          </w:p>
          <w:p>
            <w:pPr>
              <w:pStyle w:val="2"/>
            </w:pPr>
          </w:p>
          <w:p>
            <w:pPr>
              <w:rPr>
                <w:rFonts w:hAnsi="宋体"/>
                <w:color w:val="auto"/>
                <w:sz w:val="24"/>
                <w:szCs w:val="24"/>
              </w:rPr>
            </w:pPr>
          </w:p>
          <w:p>
            <w:pPr>
              <w:pStyle w:val="2"/>
              <w:rPr>
                <w:rFonts w:hAnsi="宋体"/>
                <w:color w:val="auto"/>
                <w:sz w:val="24"/>
                <w:szCs w:val="24"/>
              </w:rPr>
            </w:pPr>
          </w:p>
          <w:p>
            <w:pPr>
              <w:rPr>
                <w:rFonts w:hAnsi="宋体"/>
                <w:color w:val="auto"/>
                <w:sz w:val="24"/>
                <w:szCs w:val="24"/>
              </w:rPr>
            </w:pPr>
          </w:p>
          <w:p>
            <w:pPr>
              <w:pStyle w:val="2"/>
              <w:rPr>
                <w:rFonts w:hAnsi="宋体"/>
                <w:color w:val="auto"/>
                <w:sz w:val="24"/>
                <w:szCs w:val="24"/>
              </w:rPr>
            </w:pPr>
          </w:p>
          <w:p/>
          <w:p>
            <w:pPr>
              <w:pStyle w:val="2"/>
              <w:keepNext w:val="0"/>
              <w:keepLines w:val="0"/>
              <w:pageBreakBefore w:val="0"/>
              <w:widowControl w:val="0"/>
              <w:kinsoku/>
              <w:wordWrap/>
              <w:overflowPunct/>
              <w:topLinePunct w:val="0"/>
              <w:bidi w:val="0"/>
              <w:spacing w:line="360" w:lineRule="auto"/>
              <w:ind w:firstLine="480" w:firstLineChars="200"/>
              <w:textAlignment w:val="auto"/>
              <w:rPr>
                <w:vertAlign w:val="baseline"/>
              </w:rPr>
            </w:pPr>
          </w:p>
        </w:tc>
      </w:tr>
    </w:tbl>
    <w:p>
      <w:pPr>
        <w:pStyle w:val="2"/>
        <w:sectPr>
          <w:pgSz w:w="11906" w:h="16838"/>
          <w:pgMar w:top="1134" w:right="1134" w:bottom="1134" w:left="1418" w:header="851" w:footer="992" w:gutter="0"/>
          <w:cols w:space="720" w:num="1"/>
          <w:docGrid w:type="lines" w:linePitch="312" w:charSpace="0"/>
        </w:sectPr>
      </w:pPr>
    </w:p>
    <w:p>
      <w:pPr>
        <w:pStyle w:val="39"/>
        <w:jc w:val="center"/>
        <w:rPr>
          <w:rFonts w:ascii="黑体" w:hAnsi="黑体" w:eastAsia="黑体"/>
          <w:b w:val="0"/>
          <w:sz w:val="30"/>
          <w:szCs w:val="30"/>
        </w:rPr>
      </w:pPr>
      <w:bookmarkStart w:id="1" w:name="_Toc97040274"/>
      <w:r>
        <w:rPr>
          <w:rFonts w:hint="eastAsia" w:ascii="黑体" w:hAnsi="黑体" w:eastAsia="黑体"/>
          <w:b w:val="0"/>
          <w:sz w:val="30"/>
          <w:szCs w:val="30"/>
        </w:rPr>
        <w:t>二、建设项目工程分析</w:t>
      </w:r>
      <w:bookmarkEnd w:id="1"/>
    </w:p>
    <w:tbl>
      <w:tblPr>
        <w:tblStyle w:val="15"/>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56" w:type="dxa"/>
            <w:vAlign w:val="center"/>
          </w:tcPr>
          <w:p>
            <w:pPr>
              <w:spacing w:line="360" w:lineRule="auto"/>
              <w:jc w:val="center"/>
              <w:rPr>
                <w:rFonts w:cs="Times New Roman"/>
                <w:sz w:val="24"/>
                <w:szCs w:val="24"/>
              </w:rPr>
            </w:pPr>
            <w:r>
              <w:rPr>
                <w:rFonts w:cs="Times New Roman"/>
                <w:sz w:val="24"/>
                <w:szCs w:val="24"/>
              </w:rPr>
              <w:t>建设内容</w:t>
            </w:r>
          </w:p>
        </w:tc>
        <w:tc>
          <w:tcPr>
            <w:tcW w:w="8893" w:type="dxa"/>
            <w:vAlign w:val="center"/>
          </w:tcPr>
          <w:p>
            <w:pPr>
              <w:spacing w:line="360" w:lineRule="auto"/>
              <w:ind w:firstLine="482" w:firstLineChars="200"/>
              <w:rPr>
                <w:rFonts w:cs="Times New Roman"/>
                <w:b/>
                <w:sz w:val="24"/>
                <w:szCs w:val="24"/>
              </w:rPr>
            </w:pPr>
            <w:r>
              <w:rPr>
                <w:rFonts w:cs="Times New Roman"/>
                <w:b/>
                <w:sz w:val="24"/>
                <w:szCs w:val="24"/>
              </w:rPr>
              <w:t>1、项目</w:t>
            </w:r>
            <w:r>
              <w:rPr>
                <w:rFonts w:hint="eastAsia" w:cs="Times New Roman"/>
                <w:b/>
                <w:sz w:val="24"/>
                <w:szCs w:val="24"/>
              </w:rPr>
              <w:t>由来</w:t>
            </w:r>
          </w:p>
          <w:p>
            <w:pPr>
              <w:spacing w:line="360" w:lineRule="auto"/>
              <w:ind w:firstLine="480" w:firstLineChars="200"/>
              <w:rPr>
                <w:rFonts w:hint="eastAsia"/>
                <w:sz w:val="24"/>
                <w:szCs w:val="24"/>
              </w:rPr>
            </w:pPr>
            <w:r>
              <w:rPr>
                <w:rFonts w:hint="eastAsia"/>
                <w:sz w:val="24"/>
                <w:szCs w:val="24"/>
              </w:rPr>
              <w:t>近年来，宣汉县县委、县政府按照“公园城市”设计理念，坚持以人为本的原则，以生态环境保护为前提，合理开发建设明月新城，加快打造“印象州河畔、城市会客厅”“一湖两岸”生态长廊，打造成“赏湖光山色、品明月新城”的高品质生活宜居地，形成以“未来新城”为中心，生态湿地公园和明月花舞景区为两翼的“一心两翼”发展格局，建成“产业创新、经济创新、生态创新、智慧运营”产城融合、山环水绕、山水相映的现代滨江公园城市。</w:t>
            </w:r>
          </w:p>
          <w:p>
            <w:pPr>
              <w:spacing w:line="360" w:lineRule="auto"/>
              <w:ind w:firstLine="480" w:firstLineChars="200"/>
              <w:rPr>
                <w:rFonts w:hint="eastAsia"/>
                <w:sz w:val="24"/>
                <w:szCs w:val="24"/>
              </w:rPr>
            </w:pPr>
            <w:r>
              <w:rPr>
                <w:rFonts w:hint="eastAsia"/>
                <w:sz w:val="24"/>
                <w:szCs w:val="24"/>
              </w:rPr>
              <w:t>供水设施是城市发展的基础设施，加快城市建设是带动周围经济和社会发展的一个大战略，也是促进城镇化和工业化的一项重要措施，明月新城的基础设施进一步完善，对发展经济会起到加速和推动作用。</w:t>
            </w:r>
          </w:p>
          <w:p>
            <w:pPr>
              <w:spacing w:line="360" w:lineRule="auto"/>
              <w:ind w:firstLine="480" w:firstLineChars="200"/>
              <w:rPr>
                <w:sz w:val="24"/>
                <w:szCs w:val="24"/>
              </w:rPr>
            </w:pPr>
            <w:r>
              <w:rPr>
                <w:rFonts w:hint="eastAsia"/>
                <w:sz w:val="24"/>
                <w:szCs w:val="24"/>
                <w:lang w:val="en-US" w:eastAsia="zh-CN"/>
              </w:rPr>
              <w:t>为此，</w:t>
            </w:r>
            <w:r>
              <w:rPr>
                <w:rFonts w:hint="eastAsia"/>
                <w:sz w:val="24"/>
                <w:szCs w:val="24"/>
                <w:lang w:eastAsia="zh-CN"/>
              </w:rPr>
              <w:t>宣汉发展投资集团有限公司</w:t>
            </w:r>
            <w:r>
              <w:rPr>
                <w:rFonts w:hint="eastAsia"/>
                <w:sz w:val="24"/>
                <w:szCs w:val="24"/>
                <w:lang w:val="en-US" w:eastAsia="zh-CN"/>
              </w:rPr>
              <w:t>拟投资23600万元在</w:t>
            </w:r>
            <w:r>
              <w:rPr>
                <w:rFonts w:hint="eastAsia"/>
                <w:sz w:val="24"/>
                <w:szCs w:val="24"/>
                <w:lang w:eastAsia="zh-CN"/>
              </w:rPr>
              <w:t>宣汉县蒲江街道</w:t>
            </w:r>
            <w:r>
              <w:rPr>
                <w:rFonts w:hint="eastAsia"/>
                <w:sz w:val="24"/>
                <w:szCs w:val="24"/>
                <w:lang w:val="en-US" w:eastAsia="zh-CN"/>
              </w:rPr>
              <w:t>建设</w:t>
            </w:r>
            <w:r>
              <w:rPr>
                <w:rFonts w:hint="eastAsia"/>
                <w:sz w:val="24"/>
                <w:szCs w:val="24"/>
                <w:lang w:eastAsia="zh-CN"/>
              </w:rPr>
              <w:t>宣汉县城（明月坝）供水工程。</w:t>
            </w:r>
            <w:r>
              <w:rPr>
                <w:rFonts w:hint="eastAsia"/>
                <w:sz w:val="24"/>
                <w:szCs w:val="24"/>
              </w:rPr>
              <w:t>拟建1座</w:t>
            </w:r>
            <w:r>
              <w:rPr>
                <w:rFonts w:hint="eastAsia"/>
                <w:sz w:val="24"/>
                <w:szCs w:val="24"/>
                <w:lang w:val="en-US" w:eastAsia="zh-CN"/>
              </w:rPr>
              <w:t>水厂</w:t>
            </w:r>
            <w:r>
              <w:rPr>
                <w:rFonts w:hint="eastAsia"/>
                <w:sz w:val="24"/>
                <w:szCs w:val="24"/>
              </w:rPr>
              <w:t>，规模</w:t>
            </w:r>
            <w:r>
              <w:rPr>
                <w:rFonts w:hint="eastAsia"/>
                <w:sz w:val="24"/>
                <w:szCs w:val="24"/>
                <w:lang w:val="en-US" w:eastAsia="zh-CN"/>
              </w:rPr>
              <w:t>为</w:t>
            </w:r>
            <w:r>
              <w:rPr>
                <w:sz w:val="24"/>
                <w:szCs w:val="24"/>
              </w:rPr>
              <w:t>20</w:t>
            </w:r>
            <w:r>
              <w:rPr>
                <w:rFonts w:hint="eastAsia"/>
                <w:sz w:val="24"/>
                <w:szCs w:val="24"/>
                <w:lang w:val="en-US" w:eastAsia="zh-CN"/>
              </w:rPr>
              <w:t>0</w:t>
            </w:r>
            <w:r>
              <w:rPr>
                <w:sz w:val="24"/>
                <w:szCs w:val="24"/>
              </w:rPr>
              <w:t>00</w:t>
            </w:r>
            <w:r>
              <w:rPr>
                <w:rFonts w:hint="eastAsia"/>
                <w:sz w:val="24"/>
                <w:szCs w:val="24"/>
              </w:rPr>
              <w:t>m</w:t>
            </w:r>
            <w:r>
              <w:rPr>
                <w:sz w:val="24"/>
                <w:szCs w:val="24"/>
                <w:vertAlign w:val="superscript"/>
              </w:rPr>
              <w:t>3</w:t>
            </w:r>
            <w:r>
              <w:rPr>
                <w:sz w:val="24"/>
                <w:szCs w:val="24"/>
              </w:rPr>
              <w:t>/d</w:t>
            </w:r>
            <w:r>
              <w:rPr>
                <w:rFonts w:hint="eastAsia"/>
                <w:sz w:val="24"/>
                <w:szCs w:val="24"/>
              </w:rPr>
              <w:t>，配套建设D</w:t>
            </w:r>
            <w:r>
              <w:rPr>
                <w:sz w:val="24"/>
                <w:szCs w:val="24"/>
              </w:rPr>
              <w:t>N500</w:t>
            </w:r>
            <w:r>
              <w:rPr>
                <w:rFonts w:hint="eastAsia"/>
                <w:sz w:val="24"/>
                <w:szCs w:val="24"/>
              </w:rPr>
              <w:t>原水输水管</w:t>
            </w:r>
            <w:r>
              <w:rPr>
                <w:rFonts w:hint="eastAsia"/>
                <w:color w:val="auto"/>
                <w:sz w:val="24"/>
                <w:szCs w:val="24"/>
              </w:rPr>
              <w:t>长约</w:t>
            </w:r>
            <w:r>
              <w:rPr>
                <w:rFonts w:hint="eastAsia"/>
                <w:color w:val="auto"/>
                <w:sz w:val="24"/>
                <w:szCs w:val="24"/>
                <w:lang w:val="en-US" w:eastAsia="zh-CN"/>
              </w:rPr>
              <w:t>1.66</w:t>
            </w:r>
            <w:r>
              <w:rPr>
                <w:rFonts w:hint="eastAsia"/>
                <w:color w:val="auto"/>
                <w:sz w:val="24"/>
                <w:szCs w:val="24"/>
              </w:rPr>
              <w:t>km。本项目</w:t>
            </w:r>
            <w:r>
              <w:rPr>
                <w:rFonts w:hint="eastAsia"/>
                <w:color w:val="auto"/>
                <w:sz w:val="24"/>
                <w:szCs w:val="24"/>
              </w:rPr>
              <w:t>拟从</w:t>
            </w:r>
            <w:r>
              <w:rPr>
                <w:rFonts w:hint="eastAsia"/>
                <w:color w:val="auto"/>
                <w:sz w:val="24"/>
                <w:szCs w:val="24"/>
                <w:lang w:eastAsia="zh-CN"/>
              </w:rPr>
              <w:t>徐家坡水厂</w:t>
            </w:r>
            <w:r>
              <w:rPr>
                <w:rFonts w:hint="eastAsia"/>
                <w:color w:val="auto"/>
                <w:sz w:val="24"/>
                <w:szCs w:val="24"/>
              </w:rPr>
              <w:t>DN</w:t>
            </w:r>
            <w:r>
              <w:rPr>
                <w:rFonts w:hint="eastAsia"/>
                <w:color w:val="auto"/>
                <w:sz w:val="24"/>
                <w:szCs w:val="24"/>
                <w:lang w:val="en-US" w:eastAsia="zh-CN"/>
              </w:rPr>
              <w:t>7</w:t>
            </w:r>
            <w:r>
              <w:rPr>
                <w:rFonts w:hint="eastAsia"/>
                <w:color w:val="auto"/>
                <w:sz w:val="24"/>
                <w:szCs w:val="24"/>
              </w:rPr>
              <w:t>00原水输水管道取水，取水从</w:t>
            </w:r>
            <w:r>
              <w:rPr>
                <w:rFonts w:hint="eastAsia"/>
                <w:color w:val="auto"/>
                <w:sz w:val="24"/>
                <w:szCs w:val="24"/>
                <w:lang w:eastAsia="zh-CN"/>
              </w:rPr>
              <w:t>徐家坡水厂</w:t>
            </w:r>
            <w:r>
              <w:rPr>
                <w:rFonts w:hint="eastAsia"/>
                <w:color w:val="auto"/>
                <w:sz w:val="24"/>
                <w:szCs w:val="24"/>
              </w:rPr>
              <w:t>的取水总量中分配，不新增取水总量，不新建取水口。</w:t>
            </w:r>
          </w:p>
          <w:p>
            <w:pPr>
              <w:pStyle w:val="33"/>
              <w:ind w:firstLine="480"/>
              <w:rPr>
                <w:szCs w:val="24"/>
              </w:rPr>
            </w:pPr>
            <w:r>
              <w:rPr>
                <w:rFonts w:hint="eastAsia"/>
                <w:szCs w:val="24"/>
              </w:rPr>
              <w:t>按照《中华人民共和国环境保护法》、《中华人民共和国环境影响评价法》以及国务院令第682号《建设项目环境保护管理条例》的要求，本项目需进行环境影响评价。依据《建设项目环境影响评价分类管理名录（2021年版）》中“</w:t>
            </w:r>
            <w:r>
              <w:rPr>
                <w:rFonts w:hint="eastAsia"/>
                <w:i/>
                <w:szCs w:val="24"/>
              </w:rPr>
              <w:t>四十三、水的生产和供应业/</w:t>
            </w:r>
            <w:r>
              <w:rPr>
                <w:i/>
                <w:szCs w:val="24"/>
              </w:rPr>
              <w:t>94</w:t>
            </w:r>
            <w:r>
              <w:rPr>
                <w:rFonts w:hint="eastAsia"/>
                <w:i/>
                <w:szCs w:val="24"/>
              </w:rPr>
              <w:t>、自来水生产和供应4</w:t>
            </w:r>
            <w:r>
              <w:rPr>
                <w:i/>
                <w:szCs w:val="24"/>
              </w:rPr>
              <w:t>61</w:t>
            </w:r>
            <w:r>
              <w:rPr>
                <w:rFonts w:hint="eastAsia"/>
                <w:i/>
                <w:szCs w:val="24"/>
              </w:rPr>
              <w:t>（不含供应工程；不含村庄供应工程）</w:t>
            </w:r>
            <w:r>
              <w:rPr>
                <w:rFonts w:hint="eastAsia"/>
                <w:szCs w:val="24"/>
              </w:rPr>
              <w:t>”的划分，项目环境影响评价形式为报告表。为此，</w:t>
            </w:r>
            <w:r>
              <w:rPr>
                <w:rFonts w:hint="eastAsia"/>
                <w:szCs w:val="24"/>
                <w:lang w:eastAsia="zh-CN"/>
              </w:rPr>
              <w:t>宣汉发展投资集团有限公司</w:t>
            </w:r>
            <w:r>
              <w:rPr>
                <w:rFonts w:hint="eastAsia"/>
                <w:szCs w:val="24"/>
              </w:rPr>
              <w:t>特委托</w:t>
            </w:r>
            <w:r>
              <w:rPr>
                <w:rFonts w:hint="eastAsia"/>
                <w:szCs w:val="24"/>
                <w:lang w:val="en-US" w:eastAsia="zh-CN"/>
              </w:rPr>
              <w:t>我公司</w:t>
            </w:r>
            <w:r>
              <w:rPr>
                <w:rFonts w:hint="eastAsia"/>
                <w:szCs w:val="24"/>
              </w:rPr>
              <w:t>进行环境影响评价工作。我公司接受委托后，即派相关技术人员到项目现场进行实地踏勘和资料收集，并按照有关技术规范和四川省生态环境厅的有关规定，编制该项目环境影响报告表，供生态环境主管部门审查。</w:t>
            </w:r>
          </w:p>
          <w:p>
            <w:pPr>
              <w:spacing w:line="360" w:lineRule="auto"/>
              <w:ind w:firstLine="482" w:firstLineChars="200"/>
              <w:rPr>
                <w:rFonts w:cs="Times New Roman"/>
                <w:b/>
                <w:sz w:val="24"/>
                <w:szCs w:val="24"/>
              </w:rPr>
            </w:pPr>
            <w:r>
              <w:rPr>
                <w:rFonts w:cs="Times New Roman"/>
                <w:b/>
                <w:sz w:val="24"/>
                <w:szCs w:val="24"/>
              </w:rPr>
              <w:t>2、</w:t>
            </w:r>
            <w:r>
              <w:rPr>
                <w:rFonts w:hint="eastAsia" w:cs="Times New Roman"/>
                <w:b/>
                <w:sz w:val="24"/>
                <w:szCs w:val="24"/>
              </w:rPr>
              <w:t>服务范围及供水规模</w:t>
            </w:r>
          </w:p>
          <w:p>
            <w:pPr>
              <w:pStyle w:val="33"/>
              <w:ind w:firstLine="482"/>
              <w:rPr>
                <w:b/>
                <w:bCs/>
                <w:color w:val="auto"/>
                <w:szCs w:val="24"/>
              </w:rPr>
            </w:pPr>
            <w:r>
              <w:rPr>
                <w:rFonts w:hint="eastAsia"/>
                <w:b/>
                <w:bCs/>
                <w:color w:val="auto"/>
                <w:szCs w:val="24"/>
              </w:rPr>
              <w:t>（1）服务范围</w:t>
            </w:r>
          </w:p>
          <w:p>
            <w:pPr>
              <w:pStyle w:val="33"/>
              <w:ind w:firstLine="480"/>
              <w:rPr>
                <w:color w:val="auto"/>
                <w:szCs w:val="24"/>
              </w:rPr>
            </w:pPr>
            <w:r>
              <w:rPr>
                <w:rFonts w:hint="eastAsia"/>
                <w:color w:val="auto"/>
                <w:szCs w:val="24"/>
                <w:lang w:val="en-US" w:eastAsia="zh-CN"/>
              </w:rPr>
              <w:t>水厂</w:t>
            </w:r>
            <w:r>
              <w:rPr>
                <w:rFonts w:hint="eastAsia"/>
                <w:color w:val="auto"/>
                <w:szCs w:val="24"/>
              </w:rPr>
              <w:t>总体规划服务范围为</w:t>
            </w:r>
            <w:r>
              <w:rPr>
                <w:rFonts w:hint="eastAsia"/>
                <w:color w:val="auto"/>
                <w:szCs w:val="24"/>
                <w:lang w:val="en-US" w:eastAsia="zh-CN"/>
              </w:rPr>
              <w:t>明月新城</w:t>
            </w:r>
            <w:r>
              <w:rPr>
                <w:rFonts w:hint="eastAsia"/>
                <w:color w:val="auto"/>
                <w:szCs w:val="24"/>
              </w:rPr>
              <w:t>范围内生活及生产供水，规划总面积约</w:t>
            </w:r>
            <w:r>
              <w:rPr>
                <w:rFonts w:hint="eastAsia"/>
                <w:color w:val="auto"/>
                <w:szCs w:val="24"/>
                <w:lang w:val="en-US" w:eastAsia="zh-CN"/>
              </w:rPr>
              <w:t>3.8</w:t>
            </w:r>
            <w:r>
              <w:rPr>
                <w:rFonts w:hint="eastAsia"/>
                <w:color w:val="auto"/>
                <w:szCs w:val="24"/>
              </w:rPr>
              <w:t>km</w:t>
            </w:r>
            <w:r>
              <w:rPr>
                <w:color w:val="auto"/>
                <w:szCs w:val="24"/>
                <w:vertAlign w:val="superscript"/>
              </w:rPr>
              <w:t>2</w:t>
            </w:r>
            <w:r>
              <w:rPr>
                <w:rFonts w:hint="eastAsia"/>
                <w:color w:val="auto"/>
                <w:szCs w:val="24"/>
              </w:rPr>
              <w:t>。</w:t>
            </w:r>
          </w:p>
          <w:p>
            <w:pPr>
              <w:pStyle w:val="33"/>
              <w:ind w:firstLine="482"/>
              <w:rPr>
                <w:b/>
                <w:bCs/>
                <w:szCs w:val="24"/>
              </w:rPr>
            </w:pPr>
            <w:r>
              <w:rPr>
                <w:rFonts w:hint="eastAsia"/>
                <w:b/>
                <w:bCs/>
                <w:szCs w:val="24"/>
              </w:rPr>
              <w:t>（</w:t>
            </w:r>
            <w:r>
              <w:rPr>
                <w:b/>
                <w:bCs/>
                <w:szCs w:val="24"/>
              </w:rPr>
              <w:t>2</w:t>
            </w:r>
            <w:r>
              <w:rPr>
                <w:rFonts w:hint="eastAsia"/>
                <w:b/>
                <w:bCs/>
                <w:szCs w:val="24"/>
              </w:rPr>
              <w:t>）需水量</w:t>
            </w:r>
          </w:p>
          <w:p>
            <w:pPr>
              <w:pStyle w:val="33"/>
              <w:ind w:firstLine="480"/>
              <w:rPr>
                <w:szCs w:val="24"/>
              </w:rPr>
            </w:pPr>
            <w:r>
              <w:rPr>
                <w:rFonts w:hint="eastAsia"/>
                <w:szCs w:val="24"/>
              </w:rPr>
              <w:t>由于</w:t>
            </w:r>
            <w:r>
              <w:rPr>
                <w:rFonts w:hint="eastAsia"/>
                <w:szCs w:val="24"/>
                <w:lang w:val="en-US" w:eastAsia="zh-CN"/>
              </w:rPr>
              <w:t>目前明月新城</w:t>
            </w:r>
            <w:r>
              <w:rPr>
                <w:rFonts w:hint="eastAsia"/>
                <w:szCs w:val="24"/>
              </w:rPr>
              <w:t>尚处于规划建设阶段，根据</w:t>
            </w:r>
            <w:r>
              <w:rPr>
                <w:rFonts w:hint="eastAsia"/>
                <w:szCs w:val="24"/>
                <w:lang w:val="en-US" w:eastAsia="zh-CN"/>
              </w:rPr>
              <w:t>当地</w:t>
            </w:r>
            <w:r>
              <w:rPr>
                <w:rFonts w:hint="eastAsia"/>
                <w:szCs w:val="24"/>
              </w:rPr>
              <w:t>用水现状、气候、居民生活习惯、经济发展水平，规划取城市综合用水量指标为0.35万m</w:t>
            </w:r>
            <w:r>
              <w:rPr>
                <w:rFonts w:hint="eastAsia"/>
                <w:szCs w:val="24"/>
                <w:vertAlign w:val="superscript"/>
              </w:rPr>
              <w:t>3</w:t>
            </w:r>
            <w:r>
              <w:rPr>
                <w:rFonts w:hint="eastAsia"/>
                <w:szCs w:val="24"/>
              </w:rPr>
              <w:t>/(万人</w:t>
            </w:r>
            <w:r>
              <w:rPr>
                <w:rFonts w:hint="eastAsia"/>
                <w:szCs w:val="24"/>
                <w:lang w:val="en-US" w:eastAsia="zh-CN"/>
              </w:rPr>
              <w:t>·</w:t>
            </w:r>
            <w:r>
              <w:rPr>
                <w:rFonts w:hint="eastAsia"/>
                <w:szCs w:val="24"/>
              </w:rPr>
              <w:t>d)，远期最大人口数4.8万人，供水普及率为100%，则远期最高日用水量为1.68万m</w:t>
            </w:r>
            <w:r>
              <w:rPr>
                <w:rFonts w:hint="eastAsia"/>
                <w:szCs w:val="24"/>
                <w:vertAlign w:val="superscript"/>
              </w:rPr>
              <w:t>3</w:t>
            </w:r>
            <w:r>
              <w:rPr>
                <w:rFonts w:hint="eastAsia"/>
                <w:szCs w:val="24"/>
              </w:rPr>
              <w:t>/d。</w:t>
            </w:r>
          </w:p>
          <w:p>
            <w:pPr>
              <w:pStyle w:val="33"/>
              <w:ind w:firstLine="482"/>
              <w:rPr>
                <w:b/>
                <w:bCs/>
                <w:szCs w:val="24"/>
              </w:rPr>
            </w:pPr>
            <w:r>
              <w:rPr>
                <w:rFonts w:hint="eastAsia"/>
                <w:b/>
                <w:bCs/>
                <w:szCs w:val="24"/>
              </w:rPr>
              <w:t>（</w:t>
            </w:r>
            <w:r>
              <w:rPr>
                <w:b/>
                <w:bCs/>
                <w:szCs w:val="24"/>
              </w:rPr>
              <w:t>3</w:t>
            </w:r>
            <w:r>
              <w:rPr>
                <w:rFonts w:hint="eastAsia"/>
                <w:b/>
                <w:bCs/>
                <w:szCs w:val="24"/>
              </w:rPr>
              <w:t>）供水规模</w:t>
            </w:r>
          </w:p>
          <w:p>
            <w:pPr>
              <w:pStyle w:val="33"/>
              <w:ind w:firstLine="480"/>
              <w:rPr>
                <w:szCs w:val="24"/>
              </w:rPr>
            </w:pPr>
            <w:r>
              <w:rPr>
                <w:rFonts w:hint="eastAsia"/>
                <w:szCs w:val="24"/>
              </w:rPr>
              <w:t>根据</w:t>
            </w:r>
            <w:r>
              <w:rPr>
                <w:rFonts w:hint="eastAsia"/>
                <w:szCs w:val="24"/>
                <w:lang w:val="en-US" w:eastAsia="zh-CN"/>
              </w:rPr>
              <w:t>明月新城规划预测</w:t>
            </w:r>
            <w:r>
              <w:rPr>
                <w:rFonts w:hint="eastAsia"/>
                <w:szCs w:val="24"/>
              </w:rPr>
              <w:t>供水需求，本项目</w:t>
            </w:r>
            <w:r>
              <w:rPr>
                <w:rFonts w:hint="eastAsia"/>
                <w:szCs w:val="24"/>
                <w:lang w:val="en-US" w:eastAsia="zh-CN"/>
              </w:rPr>
              <w:t>水厂</w:t>
            </w:r>
            <w:r>
              <w:rPr>
                <w:rFonts w:hint="eastAsia"/>
                <w:szCs w:val="24"/>
              </w:rPr>
              <w:t>建设规模为</w:t>
            </w:r>
            <w:r>
              <w:rPr>
                <w:szCs w:val="24"/>
              </w:rPr>
              <w:t>2</w:t>
            </w:r>
            <w:r>
              <w:rPr>
                <w:rFonts w:hint="eastAsia"/>
                <w:szCs w:val="24"/>
                <w:lang w:val="en-US" w:eastAsia="zh-CN"/>
              </w:rPr>
              <w:t>0</w:t>
            </w:r>
            <w:r>
              <w:rPr>
                <w:szCs w:val="24"/>
              </w:rPr>
              <w:t>000</w:t>
            </w:r>
            <w:r>
              <w:rPr>
                <w:rFonts w:hint="eastAsia"/>
                <w:szCs w:val="24"/>
              </w:rPr>
              <w:t>m</w:t>
            </w:r>
            <w:r>
              <w:rPr>
                <w:szCs w:val="24"/>
                <w:vertAlign w:val="superscript"/>
              </w:rPr>
              <w:t>3</w:t>
            </w:r>
            <w:r>
              <w:rPr>
                <w:szCs w:val="24"/>
              </w:rPr>
              <w:t>/d</w:t>
            </w:r>
            <w:r>
              <w:rPr>
                <w:rFonts w:hint="eastAsia"/>
                <w:szCs w:val="24"/>
                <w:lang w:eastAsia="zh-CN"/>
              </w:rPr>
              <w:t>，</w:t>
            </w:r>
            <w:r>
              <w:rPr>
                <w:rFonts w:hint="eastAsia"/>
                <w:szCs w:val="24"/>
                <w:lang w:val="en-US" w:eastAsia="zh-CN"/>
              </w:rPr>
              <w:t>能够满足明月新城用水需求</w:t>
            </w:r>
            <w:r>
              <w:rPr>
                <w:rFonts w:hint="eastAsia"/>
                <w:szCs w:val="24"/>
              </w:rPr>
              <w:t>。</w:t>
            </w:r>
          </w:p>
          <w:p>
            <w:pPr>
              <w:spacing w:line="360" w:lineRule="auto"/>
              <w:ind w:firstLine="482" w:firstLineChars="200"/>
              <w:rPr>
                <w:rFonts w:cs="Times New Roman"/>
                <w:b/>
                <w:sz w:val="24"/>
                <w:szCs w:val="24"/>
              </w:rPr>
            </w:pPr>
            <w:r>
              <w:rPr>
                <w:rFonts w:cs="Times New Roman"/>
                <w:b/>
                <w:sz w:val="24"/>
                <w:szCs w:val="24"/>
              </w:rPr>
              <w:t>3、项目概况</w:t>
            </w:r>
          </w:p>
          <w:p>
            <w:pPr>
              <w:spacing w:line="360" w:lineRule="auto"/>
              <w:ind w:firstLine="480" w:firstLineChars="200"/>
              <w:rPr>
                <w:rFonts w:hint="eastAsia" w:eastAsia="宋体"/>
                <w:sz w:val="24"/>
                <w:szCs w:val="24"/>
                <w:lang w:eastAsia="zh-CN"/>
              </w:rPr>
            </w:pPr>
            <w:r>
              <w:rPr>
                <w:rFonts w:hint="eastAsia"/>
                <w:sz w:val="24"/>
                <w:szCs w:val="24"/>
              </w:rPr>
              <w:t>项目名称：</w:t>
            </w:r>
            <w:r>
              <w:rPr>
                <w:rFonts w:hint="eastAsia"/>
                <w:sz w:val="24"/>
                <w:szCs w:val="24"/>
                <w:lang w:eastAsia="zh-CN"/>
              </w:rPr>
              <w:t>宣汉县城（明月坝）供水工程</w:t>
            </w:r>
          </w:p>
          <w:p>
            <w:pPr>
              <w:spacing w:line="360" w:lineRule="auto"/>
              <w:ind w:firstLine="480" w:firstLineChars="200"/>
              <w:rPr>
                <w:rFonts w:hint="eastAsia" w:eastAsia="宋体"/>
                <w:sz w:val="24"/>
                <w:szCs w:val="24"/>
                <w:lang w:eastAsia="zh-CN"/>
              </w:rPr>
            </w:pPr>
            <w:r>
              <w:rPr>
                <w:rFonts w:hint="eastAsia"/>
                <w:sz w:val="24"/>
                <w:szCs w:val="24"/>
              </w:rPr>
              <w:t>建设单位：</w:t>
            </w:r>
            <w:r>
              <w:rPr>
                <w:rFonts w:hint="eastAsia"/>
                <w:sz w:val="24"/>
                <w:szCs w:val="24"/>
                <w:lang w:eastAsia="zh-CN"/>
              </w:rPr>
              <w:t>宣汉发展投资集团有限公司</w:t>
            </w:r>
          </w:p>
          <w:p>
            <w:pPr>
              <w:spacing w:line="360" w:lineRule="auto"/>
              <w:ind w:firstLine="480" w:firstLineChars="200"/>
              <w:rPr>
                <w:rFonts w:hint="eastAsia" w:eastAsia="宋体"/>
                <w:sz w:val="24"/>
                <w:szCs w:val="24"/>
                <w:lang w:eastAsia="zh-CN"/>
              </w:rPr>
            </w:pPr>
            <w:r>
              <w:rPr>
                <w:rFonts w:hint="eastAsia"/>
                <w:sz w:val="24"/>
                <w:szCs w:val="24"/>
              </w:rPr>
              <w:t>建设地点：</w:t>
            </w:r>
            <w:r>
              <w:rPr>
                <w:rFonts w:hint="eastAsia"/>
                <w:sz w:val="24"/>
                <w:szCs w:val="24"/>
                <w:lang w:eastAsia="zh-CN"/>
              </w:rPr>
              <w:t>宣汉县蒲江街道</w:t>
            </w:r>
          </w:p>
          <w:p>
            <w:pPr>
              <w:spacing w:line="360" w:lineRule="auto"/>
              <w:ind w:firstLine="480" w:firstLineChars="200"/>
              <w:rPr>
                <w:sz w:val="24"/>
                <w:szCs w:val="24"/>
              </w:rPr>
            </w:pPr>
            <w:r>
              <w:rPr>
                <w:rFonts w:hint="eastAsia"/>
                <w:sz w:val="24"/>
                <w:szCs w:val="24"/>
              </w:rPr>
              <w:t>建设性质：新建</w:t>
            </w:r>
          </w:p>
          <w:p>
            <w:pPr>
              <w:spacing w:line="360" w:lineRule="auto"/>
              <w:ind w:firstLine="480" w:firstLineChars="200"/>
              <w:rPr>
                <w:sz w:val="24"/>
                <w:szCs w:val="24"/>
              </w:rPr>
            </w:pPr>
            <w:r>
              <w:rPr>
                <w:rFonts w:hint="eastAsia"/>
                <w:sz w:val="24"/>
                <w:szCs w:val="24"/>
              </w:rPr>
              <w:t>项目投资：总投资</w:t>
            </w:r>
            <w:r>
              <w:rPr>
                <w:rFonts w:hint="eastAsia" w:cs="Times New Roman"/>
                <w:sz w:val="24"/>
                <w:szCs w:val="24"/>
                <w:lang w:eastAsia="zh-CN"/>
              </w:rPr>
              <w:t>23600</w:t>
            </w:r>
            <w:r>
              <w:rPr>
                <w:sz w:val="24"/>
                <w:szCs w:val="24"/>
              </w:rPr>
              <w:t>万元</w:t>
            </w:r>
          </w:p>
          <w:p>
            <w:pPr>
              <w:spacing w:line="360" w:lineRule="auto"/>
              <w:ind w:firstLine="480" w:firstLineChars="200"/>
              <w:rPr>
                <w:color w:val="auto"/>
                <w:sz w:val="24"/>
                <w:szCs w:val="24"/>
              </w:rPr>
            </w:pPr>
            <w:r>
              <w:rPr>
                <w:sz w:val="24"/>
                <w:szCs w:val="24"/>
              </w:rPr>
              <w:t>服务</w:t>
            </w:r>
            <w:r>
              <w:rPr>
                <w:color w:val="auto"/>
                <w:sz w:val="24"/>
                <w:szCs w:val="24"/>
              </w:rPr>
              <w:t>范围：</w:t>
            </w:r>
            <w:r>
              <w:rPr>
                <w:rFonts w:hint="eastAsia"/>
                <w:color w:val="auto"/>
                <w:sz w:val="24"/>
                <w:szCs w:val="24"/>
                <w:lang w:val="en-US" w:eastAsia="zh-CN"/>
              </w:rPr>
              <w:t>明月新城</w:t>
            </w:r>
            <w:r>
              <w:rPr>
                <w:color w:val="auto"/>
                <w:sz w:val="24"/>
                <w:szCs w:val="24"/>
              </w:rPr>
              <w:t>规划范围内生活及生产供水</w:t>
            </w:r>
          </w:p>
          <w:p>
            <w:pPr>
              <w:spacing w:line="360" w:lineRule="auto"/>
              <w:ind w:firstLine="480" w:firstLineChars="200"/>
              <w:rPr>
                <w:rFonts w:hint="eastAsia" w:eastAsia="宋体"/>
                <w:color w:val="auto"/>
                <w:sz w:val="24"/>
                <w:szCs w:val="24"/>
                <w:lang w:eastAsia="zh-CN"/>
              </w:rPr>
            </w:pPr>
            <w:r>
              <w:rPr>
                <w:rFonts w:hint="eastAsia"/>
                <w:color w:val="auto"/>
                <w:sz w:val="24"/>
                <w:szCs w:val="24"/>
              </w:rPr>
              <w:t>供水水源：</w:t>
            </w:r>
            <w:r>
              <w:rPr>
                <w:rFonts w:hint="eastAsia"/>
                <w:color w:val="auto"/>
                <w:sz w:val="24"/>
                <w:szCs w:val="24"/>
                <w:lang w:eastAsia="zh-CN"/>
              </w:rPr>
              <w:t>后河</w:t>
            </w:r>
          </w:p>
          <w:p>
            <w:pPr>
              <w:spacing w:line="360" w:lineRule="auto"/>
              <w:ind w:firstLine="480" w:firstLineChars="200"/>
              <w:rPr>
                <w:sz w:val="24"/>
                <w:szCs w:val="24"/>
              </w:rPr>
            </w:pPr>
            <w:r>
              <w:rPr>
                <w:rFonts w:hint="eastAsia"/>
                <w:sz w:val="24"/>
                <w:szCs w:val="24"/>
              </w:rPr>
              <w:t>净水工艺：采用“原水+混凝沉淀过滤+活性炭过滤+次氯酸钠消毒”工艺</w:t>
            </w:r>
          </w:p>
          <w:p>
            <w:pPr>
              <w:spacing w:line="360" w:lineRule="auto"/>
              <w:ind w:firstLine="480" w:firstLineChars="200"/>
              <w:rPr>
                <w:b/>
                <w:color w:val="FF0000"/>
                <w:sz w:val="24"/>
                <w:szCs w:val="24"/>
              </w:rPr>
            </w:pPr>
            <w:r>
              <w:rPr>
                <w:rFonts w:hint="eastAsia"/>
                <w:sz w:val="24"/>
                <w:szCs w:val="24"/>
              </w:rPr>
              <w:t>建设内容：</w:t>
            </w:r>
            <w:r>
              <w:rPr>
                <w:sz w:val="24"/>
                <w:szCs w:val="24"/>
              </w:rPr>
              <w:t>新建</w:t>
            </w:r>
            <w:r>
              <w:rPr>
                <w:rFonts w:hint="eastAsia"/>
                <w:sz w:val="24"/>
                <w:szCs w:val="24"/>
              </w:rPr>
              <w:t>1座</w:t>
            </w:r>
            <w:r>
              <w:rPr>
                <w:rFonts w:hint="eastAsia"/>
                <w:sz w:val="24"/>
                <w:szCs w:val="24"/>
                <w:lang w:val="en-US" w:eastAsia="zh-CN"/>
              </w:rPr>
              <w:t>水厂</w:t>
            </w:r>
            <w:r>
              <w:rPr>
                <w:rFonts w:hint="eastAsia"/>
                <w:sz w:val="24"/>
                <w:szCs w:val="24"/>
              </w:rPr>
              <w:t>，占地面积约</w:t>
            </w:r>
            <w:r>
              <w:rPr>
                <w:rFonts w:hint="eastAsia"/>
                <w:sz w:val="24"/>
                <w:szCs w:val="24"/>
                <w:lang w:val="en-US" w:eastAsia="zh-CN"/>
              </w:rPr>
              <w:t>7000</w:t>
            </w:r>
            <w:r>
              <w:rPr>
                <w:sz w:val="24"/>
                <w:szCs w:val="24"/>
              </w:rPr>
              <w:t>m</w:t>
            </w:r>
            <w:r>
              <w:rPr>
                <w:sz w:val="24"/>
                <w:szCs w:val="24"/>
                <w:vertAlign w:val="superscript"/>
              </w:rPr>
              <w:t>2</w:t>
            </w:r>
            <w:r>
              <w:rPr>
                <w:sz w:val="24"/>
                <w:szCs w:val="24"/>
              </w:rPr>
              <w:t>，</w:t>
            </w:r>
            <w:r>
              <w:rPr>
                <w:rFonts w:hint="eastAsia"/>
                <w:sz w:val="24"/>
                <w:szCs w:val="24"/>
                <w:lang w:val="en-US" w:eastAsia="zh-CN"/>
              </w:rPr>
              <w:t>建设</w:t>
            </w:r>
            <w:r>
              <w:rPr>
                <w:rFonts w:hint="eastAsia"/>
                <w:sz w:val="24"/>
                <w:szCs w:val="24"/>
              </w:rPr>
              <w:t>规模</w:t>
            </w:r>
            <w:r>
              <w:rPr>
                <w:sz w:val="24"/>
                <w:szCs w:val="24"/>
              </w:rPr>
              <w:t>2000</w:t>
            </w:r>
            <w:r>
              <w:rPr>
                <w:rFonts w:hint="eastAsia"/>
                <w:sz w:val="24"/>
                <w:szCs w:val="24"/>
                <w:lang w:val="en-US" w:eastAsia="zh-CN"/>
              </w:rPr>
              <w:t>0</w:t>
            </w:r>
            <w:r>
              <w:rPr>
                <w:rFonts w:hint="eastAsia"/>
                <w:sz w:val="24"/>
                <w:szCs w:val="24"/>
              </w:rPr>
              <w:t>m</w:t>
            </w:r>
            <w:r>
              <w:rPr>
                <w:sz w:val="24"/>
                <w:szCs w:val="24"/>
                <w:vertAlign w:val="superscript"/>
              </w:rPr>
              <w:t>3</w:t>
            </w:r>
            <w:r>
              <w:rPr>
                <w:sz w:val="24"/>
                <w:szCs w:val="24"/>
              </w:rPr>
              <w:t>/d，</w:t>
            </w:r>
            <w:r>
              <w:rPr>
                <w:rFonts w:hint="eastAsia"/>
                <w:sz w:val="24"/>
                <w:szCs w:val="24"/>
              </w:rPr>
              <w:t>配套建设DN</w:t>
            </w:r>
            <w:r>
              <w:rPr>
                <w:rFonts w:hint="eastAsia"/>
                <w:sz w:val="24"/>
                <w:szCs w:val="24"/>
                <w:lang w:val="en-US" w:eastAsia="zh-CN"/>
              </w:rPr>
              <w:t>5</w:t>
            </w:r>
            <w:r>
              <w:rPr>
                <w:rFonts w:hint="eastAsia"/>
                <w:sz w:val="24"/>
                <w:szCs w:val="24"/>
              </w:rPr>
              <w:t>00原水输水管</w:t>
            </w:r>
            <w:r>
              <w:rPr>
                <w:rFonts w:hint="eastAsia"/>
                <w:color w:val="auto"/>
                <w:sz w:val="24"/>
                <w:szCs w:val="24"/>
              </w:rPr>
              <w:t>长约</w:t>
            </w:r>
            <w:r>
              <w:rPr>
                <w:rFonts w:hint="eastAsia"/>
                <w:color w:val="auto"/>
                <w:sz w:val="24"/>
                <w:szCs w:val="24"/>
                <w:lang w:val="en-US" w:eastAsia="zh-CN"/>
              </w:rPr>
              <w:t>1.66</w:t>
            </w:r>
            <w:r>
              <w:rPr>
                <w:rFonts w:hint="eastAsia"/>
                <w:color w:val="auto"/>
                <w:sz w:val="24"/>
                <w:szCs w:val="24"/>
              </w:rPr>
              <w:t>km。</w:t>
            </w:r>
            <w:r>
              <w:rPr>
                <w:rFonts w:hint="eastAsia"/>
                <w:b/>
                <w:color w:val="auto"/>
                <w:sz w:val="24"/>
                <w:szCs w:val="24"/>
              </w:rPr>
              <w:t>本项目拟从</w:t>
            </w:r>
            <w:r>
              <w:rPr>
                <w:rFonts w:hint="eastAsia"/>
                <w:b/>
                <w:color w:val="auto"/>
                <w:sz w:val="24"/>
                <w:szCs w:val="24"/>
                <w:lang w:eastAsia="zh-CN"/>
              </w:rPr>
              <w:t>徐家坡水厂DN700</w:t>
            </w:r>
            <w:r>
              <w:rPr>
                <w:rFonts w:hint="eastAsia"/>
                <w:b/>
                <w:color w:val="auto"/>
                <w:sz w:val="24"/>
                <w:szCs w:val="24"/>
              </w:rPr>
              <w:t>原水输水管道取水，取水从</w:t>
            </w:r>
            <w:r>
              <w:rPr>
                <w:rFonts w:hint="eastAsia"/>
                <w:b/>
                <w:color w:val="auto"/>
                <w:sz w:val="24"/>
                <w:szCs w:val="24"/>
                <w:lang w:eastAsia="zh-CN"/>
              </w:rPr>
              <w:t>徐家坡水厂</w:t>
            </w:r>
            <w:r>
              <w:rPr>
                <w:rFonts w:hint="eastAsia"/>
                <w:b/>
                <w:color w:val="auto"/>
                <w:sz w:val="24"/>
                <w:szCs w:val="24"/>
              </w:rPr>
              <w:t>的取水总量中分配，不新增取水总量，不新建取水口。</w:t>
            </w:r>
          </w:p>
          <w:p>
            <w:pPr>
              <w:spacing w:line="360" w:lineRule="auto"/>
              <w:ind w:firstLine="482" w:firstLineChars="200"/>
              <w:rPr>
                <w:rFonts w:cs="Times New Roman"/>
                <w:b/>
                <w:sz w:val="24"/>
                <w:szCs w:val="24"/>
              </w:rPr>
            </w:pPr>
            <w:r>
              <w:rPr>
                <w:rFonts w:cs="Times New Roman"/>
                <w:b/>
                <w:sz w:val="24"/>
                <w:szCs w:val="24"/>
              </w:rPr>
              <w:t>4、项目组成及主要环境问题</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本</w:t>
            </w:r>
            <w:r>
              <w:rPr>
                <w:rFonts w:asciiTheme="minorEastAsia" w:hAnsiTheme="minorEastAsia"/>
                <w:sz w:val="24"/>
                <w:szCs w:val="24"/>
              </w:rPr>
              <w:t>项目组成及主要环境问题</w:t>
            </w:r>
            <w:r>
              <w:rPr>
                <w:rFonts w:hint="eastAsia" w:asciiTheme="minorEastAsia" w:hAnsiTheme="minorEastAsia"/>
                <w:sz w:val="24"/>
                <w:szCs w:val="24"/>
              </w:rPr>
              <w:t>见表</w:t>
            </w:r>
            <w:r>
              <w:rPr>
                <w:rFonts w:cs="Times New Roman"/>
                <w:sz w:val="24"/>
                <w:szCs w:val="24"/>
              </w:rPr>
              <w:t>2-1</w:t>
            </w:r>
            <w:r>
              <w:rPr>
                <w:rFonts w:hint="eastAsia" w:asciiTheme="minorEastAsia" w:hAnsiTheme="minorEastAsia"/>
                <w:sz w:val="24"/>
                <w:szCs w:val="24"/>
              </w:rPr>
              <w:t>。</w:t>
            </w:r>
          </w:p>
          <w:p>
            <w:pPr>
              <w:spacing w:line="360" w:lineRule="auto"/>
              <w:jc w:val="center"/>
              <w:rPr>
                <w:rFonts w:ascii="黑体" w:hAnsi="黑体" w:eastAsia="黑体"/>
                <w:szCs w:val="21"/>
              </w:rPr>
            </w:pPr>
            <w:r>
              <w:rPr>
                <w:rFonts w:hint="eastAsia" w:ascii="黑体" w:hAnsi="黑体" w:eastAsia="黑体"/>
                <w:szCs w:val="21"/>
              </w:rPr>
              <w:t>表</w:t>
            </w:r>
            <w:r>
              <w:rPr>
                <w:rFonts w:eastAsia="黑体" w:cstheme="minorHAnsi"/>
                <w:szCs w:val="21"/>
              </w:rPr>
              <w:t xml:space="preserve">2-1  </w:t>
            </w:r>
            <w:r>
              <w:rPr>
                <w:rFonts w:hint="eastAsia" w:ascii="黑体" w:hAnsi="黑体" w:eastAsia="黑体"/>
                <w:szCs w:val="21"/>
              </w:rPr>
              <w:t>项目组成及</w:t>
            </w:r>
            <w:r>
              <w:rPr>
                <w:rFonts w:ascii="黑体" w:hAnsi="黑体" w:eastAsia="黑体"/>
                <w:szCs w:val="21"/>
              </w:rPr>
              <w:t>主要环境问题</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134"/>
              <w:gridCol w:w="4538"/>
              <w:gridCol w:w="1134"/>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4" w:type="pct"/>
                  <w:vMerge w:val="restart"/>
                  <w:shd w:val="clear" w:color="auto" w:fill="auto"/>
                  <w:vAlign w:val="center"/>
                </w:tcPr>
                <w:p>
                  <w:pPr>
                    <w:jc w:val="center"/>
                    <w:rPr>
                      <w:szCs w:val="21"/>
                    </w:rPr>
                  </w:pPr>
                  <w:r>
                    <w:rPr>
                      <w:rFonts w:hint="eastAsia"/>
                      <w:szCs w:val="21"/>
                    </w:rPr>
                    <w:t>工程分类</w:t>
                  </w:r>
                </w:p>
              </w:tc>
              <w:tc>
                <w:tcPr>
                  <w:tcW w:w="654" w:type="pct"/>
                  <w:vMerge w:val="restart"/>
                  <w:shd w:val="clear" w:color="auto" w:fill="auto"/>
                  <w:vAlign w:val="center"/>
                </w:tcPr>
                <w:p>
                  <w:pPr>
                    <w:jc w:val="center"/>
                    <w:rPr>
                      <w:szCs w:val="21"/>
                    </w:rPr>
                  </w:pPr>
                  <w:r>
                    <w:rPr>
                      <w:rFonts w:hint="eastAsia"/>
                      <w:szCs w:val="21"/>
                    </w:rPr>
                    <w:t>项目名称</w:t>
                  </w:r>
                </w:p>
              </w:tc>
              <w:tc>
                <w:tcPr>
                  <w:tcW w:w="2617" w:type="pct"/>
                  <w:vMerge w:val="restart"/>
                  <w:shd w:val="clear" w:color="auto" w:fill="auto"/>
                  <w:vAlign w:val="center"/>
                </w:tcPr>
                <w:p>
                  <w:pPr>
                    <w:jc w:val="center"/>
                    <w:rPr>
                      <w:szCs w:val="21"/>
                    </w:rPr>
                  </w:pPr>
                  <w:r>
                    <w:rPr>
                      <w:rFonts w:hint="eastAsia"/>
                      <w:szCs w:val="21"/>
                    </w:rPr>
                    <w:t>建设</w:t>
                  </w:r>
                  <w:r>
                    <w:rPr>
                      <w:szCs w:val="21"/>
                    </w:rPr>
                    <w:t>内容及规模</w:t>
                  </w:r>
                </w:p>
              </w:tc>
              <w:tc>
                <w:tcPr>
                  <w:tcW w:w="1323" w:type="pct"/>
                  <w:gridSpan w:val="2"/>
                  <w:shd w:val="clear" w:color="auto" w:fill="auto"/>
                  <w:vAlign w:val="center"/>
                </w:tcPr>
                <w:p>
                  <w:pPr>
                    <w:jc w:val="center"/>
                    <w:rPr>
                      <w:szCs w:val="21"/>
                    </w:rPr>
                  </w:pPr>
                  <w:r>
                    <w:rPr>
                      <w:rFonts w:hint="eastAsia"/>
                      <w:szCs w:val="21"/>
                    </w:rPr>
                    <w:t>可能</w:t>
                  </w:r>
                  <w:r>
                    <w:rPr>
                      <w:szCs w:val="21"/>
                    </w:rPr>
                    <w:t>产生的环境问题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4" w:type="pct"/>
                  <w:vMerge w:val="continue"/>
                  <w:shd w:val="clear" w:color="auto" w:fill="auto"/>
                  <w:vAlign w:val="center"/>
                </w:tcPr>
                <w:p>
                  <w:pPr>
                    <w:jc w:val="center"/>
                    <w:rPr>
                      <w:szCs w:val="21"/>
                    </w:rPr>
                  </w:pPr>
                </w:p>
              </w:tc>
              <w:tc>
                <w:tcPr>
                  <w:tcW w:w="654" w:type="pct"/>
                  <w:vMerge w:val="continue"/>
                  <w:shd w:val="clear" w:color="auto" w:fill="auto"/>
                  <w:vAlign w:val="center"/>
                </w:tcPr>
                <w:p>
                  <w:pPr>
                    <w:jc w:val="center"/>
                    <w:rPr>
                      <w:szCs w:val="21"/>
                    </w:rPr>
                  </w:pPr>
                </w:p>
              </w:tc>
              <w:tc>
                <w:tcPr>
                  <w:tcW w:w="2617" w:type="pct"/>
                  <w:vMerge w:val="continue"/>
                  <w:shd w:val="clear" w:color="auto" w:fill="auto"/>
                  <w:vAlign w:val="center"/>
                </w:tcPr>
                <w:p>
                  <w:pPr>
                    <w:jc w:val="center"/>
                    <w:rPr>
                      <w:szCs w:val="21"/>
                    </w:rPr>
                  </w:pPr>
                </w:p>
              </w:tc>
              <w:tc>
                <w:tcPr>
                  <w:tcW w:w="654" w:type="pct"/>
                  <w:shd w:val="clear" w:color="auto" w:fill="auto"/>
                  <w:vAlign w:val="center"/>
                </w:tcPr>
                <w:p>
                  <w:pPr>
                    <w:jc w:val="center"/>
                    <w:rPr>
                      <w:szCs w:val="21"/>
                    </w:rPr>
                  </w:pPr>
                  <w:r>
                    <w:rPr>
                      <w:rFonts w:hint="eastAsia"/>
                      <w:szCs w:val="21"/>
                    </w:rPr>
                    <w:t>施工期</w:t>
                  </w:r>
                </w:p>
              </w:tc>
              <w:tc>
                <w:tcPr>
                  <w:tcW w:w="669" w:type="pct"/>
                  <w:shd w:val="clear" w:color="auto" w:fill="auto"/>
                  <w:vAlign w:val="center"/>
                </w:tcPr>
                <w:p>
                  <w:pPr>
                    <w:jc w:val="center"/>
                    <w:rPr>
                      <w:szCs w:val="21"/>
                    </w:rPr>
                  </w:pPr>
                  <w:r>
                    <w:rPr>
                      <w:rFonts w:hint="eastAsia"/>
                      <w:szCs w:val="21"/>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4" w:type="pct"/>
                  <w:vMerge w:val="restart"/>
                  <w:shd w:val="clear" w:color="auto" w:fill="auto"/>
                  <w:vAlign w:val="center"/>
                </w:tcPr>
                <w:p>
                  <w:pPr>
                    <w:jc w:val="center"/>
                    <w:rPr>
                      <w:szCs w:val="21"/>
                    </w:rPr>
                  </w:pPr>
                  <w:r>
                    <w:rPr>
                      <w:rFonts w:hint="eastAsia"/>
                      <w:szCs w:val="21"/>
                    </w:rPr>
                    <w:t>主体工程</w:t>
                  </w:r>
                </w:p>
              </w:tc>
              <w:tc>
                <w:tcPr>
                  <w:tcW w:w="654" w:type="pct"/>
                  <w:shd w:val="clear" w:color="auto" w:fill="auto"/>
                  <w:vAlign w:val="center"/>
                </w:tcPr>
                <w:p>
                  <w:pPr>
                    <w:jc w:val="center"/>
                    <w:rPr>
                      <w:szCs w:val="21"/>
                    </w:rPr>
                  </w:pPr>
                  <w:r>
                    <w:rPr>
                      <w:rFonts w:hint="eastAsia"/>
                      <w:szCs w:val="21"/>
                    </w:rPr>
                    <w:t>原水输水管工程</w:t>
                  </w:r>
                </w:p>
              </w:tc>
              <w:tc>
                <w:tcPr>
                  <w:tcW w:w="2617" w:type="pct"/>
                  <w:shd w:val="clear" w:color="auto" w:fill="auto"/>
                  <w:vAlign w:val="center"/>
                </w:tcPr>
                <w:p>
                  <w:pPr>
                    <w:rPr>
                      <w:szCs w:val="21"/>
                    </w:rPr>
                  </w:pPr>
                  <w:r>
                    <w:rPr>
                      <w:szCs w:val="21"/>
                    </w:rPr>
                    <w:t>原水</w:t>
                  </w:r>
                  <w:r>
                    <w:rPr>
                      <w:color w:val="auto"/>
                      <w:szCs w:val="21"/>
                    </w:rPr>
                    <w:t>输水管</w:t>
                  </w:r>
                  <w:r>
                    <w:rPr>
                      <w:rFonts w:hint="eastAsia"/>
                      <w:color w:val="auto"/>
                      <w:szCs w:val="21"/>
                      <w:lang w:eastAsia="zh-CN"/>
                    </w:rPr>
                    <w:t>徐家坡水厂DN700</w:t>
                  </w:r>
                  <w:r>
                    <w:rPr>
                      <w:rFonts w:hint="eastAsia"/>
                      <w:color w:val="auto"/>
                      <w:szCs w:val="21"/>
                    </w:rPr>
                    <w:t>原水输水管取水，沿</w:t>
                  </w:r>
                  <w:r>
                    <w:rPr>
                      <w:rFonts w:hint="eastAsia"/>
                      <w:color w:val="auto"/>
                      <w:szCs w:val="21"/>
                      <w:lang w:val="en-US" w:eastAsia="zh-CN"/>
                    </w:rPr>
                    <w:t>已建道路</w:t>
                  </w:r>
                  <w:r>
                    <w:rPr>
                      <w:rFonts w:hint="eastAsia"/>
                      <w:color w:val="auto"/>
                      <w:szCs w:val="21"/>
                    </w:rPr>
                    <w:t>敷设，全长约</w:t>
                  </w:r>
                  <w:r>
                    <w:rPr>
                      <w:rFonts w:hint="eastAsia"/>
                      <w:color w:val="auto"/>
                      <w:szCs w:val="21"/>
                      <w:lang w:val="en-US" w:eastAsia="zh-CN"/>
                    </w:rPr>
                    <w:t>1.66</w:t>
                  </w:r>
                  <w:r>
                    <w:rPr>
                      <w:color w:val="auto"/>
                      <w:szCs w:val="21"/>
                    </w:rPr>
                    <w:t>km，采用DN500</w:t>
                  </w:r>
                  <w:r>
                    <w:rPr>
                      <w:rFonts w:hint="eastAsia"/>
                      <w:color w:val="auto"/>
                      <w:szCs w:val="21"/>
                    </w:rPr>
                    <w:t>球墨铸铁管</w:t>
                  </w:r>
                </w:p>
              </w:tc>
              <w:tc>
                <w:tcPr>
                  <w:tcW w:w="654" w:type="pct"/>
                  <w:vMerge w:val="restart"/>
                  <w:shd w:val="clear" w:color="auto" w:fill="auto"/>
                  <w:vAlign w:val="center"/>
                </w:tcPr>
                <w:p>
                  <w:pPr>
                    <w:jc w:val="center"/>
                    <w:rPr>
                      <w:szCs w:val="21"/>
                    </w:rPr>
                  </w:pPr>
                  <w:r>
                    <w:rPr>
                      <w:rFonts w:hint="eastAsia"/>
                      <w:szCs w:val="21"/>
                    </w:rPr>
                    <w:t>施工扬尘</w:t>
                  </w:r>
                </w:p>
                <w:p>
                  <w:pPr>
                    <w:jc w:val="center"/>
                    <w:rPr>
                      <w:szCs w:val="21"/>
                    </w:rPr>
                  </w:pPr>
                  <w:r>
                    <w:rPr>
                      <w:rFonts w:hint="eastAsia"/>
                      <w:szCs w:val="21"/>
                    </w:rPr>
                    <w:t>施工废气</w:t>
                  </w:r>
                </w:p>
                <w:p>
                  <w:pPr>
                    <w:jc w:val="center"/>
                    <w:rPr>
                      <w:szCs w:val="21"/>
                    </w:rPr>
                  </w:pPr>
                  <w:r>
                    <w:rPr>
                      <w:rFonts w:hint="eastAsia"/>
                      <w:szCs w:val="21"/>
                    </w:rPr>
                    <w:t>施工废水</w:t>
                  </w:r>
                </w:p>
                <w:p>
                  <w:pPr>
                    <w:jc w:val="center"/>
                    <w:rPr>
                      <w:szCs w:val="21"/>
                    </w:rPr>
                  </w:pPr>
                  <w:r>
                    <w:rPr>
                      <w:rFonts w:hint="eastAsia"/>
                      <w:szCs w:val="21"/>
                    </w:rPr>
                    <w:t>生活污水</w:t>
                  </w:r>
                </w:p>
                <w:p>
                  <w:pPr>
                    <w:jc w:val="center"/>
                    <w:rPr>
                      <w:szCs w:val="21"/>
                    </w:rPr>
                  </w:pPr>
                  <w:r>
                    <w:rPr>
                      <w:rFonts w:hint="eastAsia"/>
                      <w:szCs w:val="21"/>
                    </w:rPr>
                    <w:t>施工噪声</w:t>
                  </w:r>
                </w:p>
                <w:p>
                  <w:pPr>
                    <w:jc w:val="center"/>
                    <w:rPr>
                      <w:szCs w:val="21"/>
                    </w:rPr>
                  </w:pPr>
                  <w:r>
                    <w:rPr>
                      <w:rFonts w:hint="eastAsia"/>
                      <w:szCs w:val="21"/>
                    </w:rPr>
                    <w:t>固体废物</w:t>
                  </w:r>
                </w:p>
              </w:tc>
              <w:tc>
                <w:tcPr>
                  <w:tcW w:w="669" w:type="pct"/>
                  <w:vMerge w:val="restart"/>
                  <w:shd w:val="clear" w:color="auto" w:fill="auto"/>
                  <w:vAlign w:val="center"/>
                </w:tcPr>
                <w:p>
                  <w:pPr>
                    <w:jc w:val="center"/>
                    <w:rPr>
                      <w:szCs w:val="21"/>
                    </w:rPr>
                  </w:pPr>
                  <w:r>
                    <w:rPr>
                      <w:rFonts w:hint="eastAsia"/>
                      <w:szCs w:val="21"/>
                    </w:rPr>
                    <w:t>废水、噪声、固废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4" w:type="pct"/>
                  <w:vMerge w:val="continue"/>
                  <w:shd w:val="clear" w:color="auto" w:fill="auto"/>
                  <w:vAlign w:val="center"/>
                </w:tcPr>
                <w:p>
                  <w:pPr>
                    <w:jc w:val="center"/>
                    <w:rPr>
                      <w:szCs w:val="21"/>
                    </w:rPr>
                  </w:pPr>
                </w:p>
              </w:tc>
              <w:tc>
                <w:tcPr>
                  <w:tcW w:w="654" w:type="pct"/>
                  <w:shd w:val="clear" w:color="auto" w:fill="auto"/>
                  <w:vAlign w:val="center"/>
                </w:tcPr>
                <w:p>
                  <w:pPr>
                    <w:jc w:val="center"/>
                    <w:rPr>
                      <w:rFonts w:hint="eastAsia" w:eastAsia="宋体"/>
                      <w:color w:val="auto"/>
                      <w:szCs w:val="21"/>
                      <w:lang w:eastAsia="zh-CN"/>
                    </w:rPr>
                  </w:pPr>
                  <w:r>
                    <w:rPr>
                      <w:rFonts w:hint="eastAsia"/>
                      <w:color w:val="auto"/>
                      <w:szCs w:val="21"/>
                      <w:lang w:eastAsia="zh-CN"/>
                    </w:rPr>
                    <w:t>水厂</w:t>
                  </w:r>
                </w:p>
              </w:tc>
              <w:tc>
                <w:tcPr>
                  <w:tcW w:w="2617" w:type="pct"/>
                  <w:shd w:val="clear" w:color="auto" w:fill="auto"/>
                  <w:vAlign w:val="center"/>
                </w:tcPr>
                <w:p>
                  <w:pPr>
                    <w:rPr>
                      <w:color w:val="auto"/>
                      <w:szCs w:val="21"/>
                    </w:rPr>
                  </w:pPr>
                  <w:r>
                    <w:rPr>
                      <w:color w:val="auto"/>
                      <w:szCs w:val="21"/>
                    </w:rPr>
                    <w:t>1座，占地面积</w:t>
                  </w:r>
                  <w:r>
                    <w:rPr>
                      <w:rFonts w:hint="eastAsia"/>
                      <w:color w:val="auto"/>
                      <w:szCs w:val="21"/>
                      <w:lang w:val="en-US" w:eastAsia="zh-CN"/>
                    </w:rPr>
                    <w:t>约7000</w:t>
                  </w:r>
                  <w:r>
                    <w:rPr>
                      <w:rFonts w:hint="eastAsia"/>
                      <w:color w:val="auto"/>
                      <w:szCs w:val="21"/>
                    </w:rPr>
                    <w:t>m</w:t>
                  </w:r>
                  <w:r>
                    <w:rPr>
                      <w:rFonts w:hint="eastAsia"/>
                      <w:color w:val="auto"/>
                      <w:szCs w:val="21"/>
                      <w:vertAlign w:val="superscript"/>
                    </w:rPr>
                    <w:t>2</w:t>
                  </w:r>
                  <w:r>
                    <w:rPr>
                      <w:rFonts w:hint="eastAsia"/>
                      <w:color w:val="auto"/>
                      <w:szCs w:val="21"/>
                    </w:rPr>
                    <w:t>，</w:t>
                  </w:r>
                  <w:r>
                    <w:rPr>
                      <w:rFonts w:hint="eastAsia"/>
                      <w:color w:val="auto"/>
                      <w:szCs w:val="21"/>
                      <w:lang w:val="en-US" w:eastAsia="zh-CN"/>
                    </w:rPr>
                    <w:t>建设</w:t>
                  </w:r>
                  <w:r>
                    <w:rPr>
                      <w:color w:val="auto"/>
                      <w:szCs w:val="21"/>
                    </w:rPr>
                    <w:t>规模200</w:t>
                  </w:r>
                  <w:r>
                    <w:rPr>
                      <w:rFonts w:hint="eastAsia"/>
                      <w:color w:val="auto"/>
                      <w:szCs w:val="21"/>
                      <w:lang w:val="en-US" w:eastAsia="zh-CN"/>
                    </w:rPr>
                    <w:t>0</w:t>
                  </w:r>
                  <w:r>
                    <w:rPr>
                      <w:color w:val="auto"/>
                      <w:szCs w:val="21"/>
                    </w:rPr>
                    <w:t>0m</w:t>
                  </w:r>
                  <w:r>
                    <w:rPr>
                      <w:color w:val="auto"/>
                      <w:szCs w:val="21"/>
                      <w:vertAlign w:val="superscript"/>
                    </w:rPr>
                    <w:t>3</w:t>
                  </w:r>
                  <w:r>
                    <w:rPr>
                      <w:color w:val="auto"/>
                      <w:szCs w:val="21"/>
                    </w:rPr>
                    <w:t>/d，主要建（构）筑物包括原水箱、一体化净水器、中间水箱、活性炭过滤器、产水箱、废水池、污泥脱水机房（含</w:t>
                  </w:r>
                  <w:r>
                    <w:rPr>
                      <w:rFonts w:hint="eastAsia"/>
                      <w:color w:val="auto"/>
                      <w:szCs w:val="21"/>
                      <w:lang w:val="en-US" w:eastAsia="zh-CN"/>
                    </w:rPr>
                    <w:t>污泥间</w:t>
                  </w:r>
                  <w:r>
                    <w:rPr>
                      <w:color w:val="auto"/>
                      <w:szCs w:val="21"/>
                    </w:rPr>
                    <w:t>）及</w:t>
                  </w:r>
                  <w:r>
                    <w:rPr>
                      <w:rFonts w:hint="eastAsia"/>
                      <w:color w:val="auto"/>
                      <w:szCs w:val="21"/>
                    </w:rPr>
                    <w:t>辅助</w:t>
                  </w:r>
                  <w:r>
                    <w:rPr>
                      <w:color w:val="auto"/>
                      <w:szCs w:val="21"/>
                    </w:rPr>
                    <w:t>设施</w:t>
                  </w:r>
                </w:p>
              </w:tc>
              <w:tc>
                <w:tcPr>
                  <w:tcW w:w="654" w:type="pct"/>
                  <w:vMerge w:val="continue"/>
                  <w:shd w:val="clear" w:color="auto" w:fill="auto"/>
                  <w:vAlign w:val="center"/>
                </w:tcPr>
                <w:p>
                  <w:pPr>
                    <w:jc w:val="center"/>
                    <w:rPr>
                      <w:szCs w:val="21"/>
                    </w:rPr>
                  </w:pPr>
                </w:p>
              </w:tc>
              <w:tc>
                <w:tcPr>
                  <w:tcW w:w="669" w:type="pct"/>
                  <w:vMerge w:val="continue"/>
                  <w:shd w:val="clear" w:color="auto" w:fill="auto"/>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404" w:type="pct"/>
                  <w:shd w:val="clear" w:color="auto" w:fill="auto"/>
                  <w:vAlign w:val="center"/>
                </w:tcPr>
                <w:p>
                  <w:pPr>
                    <w:jc w:val="center"/>
                    <w:rPr>
                      <w:szCs w:val="21"/>
                    </w:rPr>
                  </w:pPr>
                  <w:r>
                    <w:rPr>
                      <w:rFonts w:hint="eastAsia"/>
                      <w:szCs w:val="21"/>
                    </w:rPr>
                    <w:t>办公生活设施</w:t>
                  </w:r>
                </w:p>
              </w:tc>
              <w:tc>
                <w:tcPr>
                  <w:tcW w:w="654" w:type="pct"/>
                  <w:shd w:val="clear" w:color="auto" w:fill="auto"/>
                  <w:vAlign w:val="center"/>
                </w:tcPr>
                <w:p>
                  <w:pPr>
                    <w:jc w:val="center"/>
                    <w:rPr>
                      <w:rFonts w:hint="eastAsia" w:eastAsia="宋体"/>
                      <w:color w:val="auto"/>
                      <w:szCs w:val="21"/>
                      <w:lang w:eastAsia="zh-CN"/>
                    </w:rPr>
                  </w:pPr>
                  <w:r>
                    <w:rPr>
                      <w:rFonts w:hint="eastAsia"/>
                      <w:color w:val="auto"/>
                      <w:szCs w:val="21"/>
                      <w:lang w:val="en-US" w:eastAsia="zh-CN"/>
                    </w:rPr>
                    <w:t>门卫</w:t>
                  </w:r>
                </w:p>
              </w:tc>
              <w:tc>
                <w:tcPr>
                  <w:tcW w:w="2617" w:type="pct"/>
                  <w:shd w:val="clear" w:color="auto" w:fill="auto"/>
                  <w:vAlign w:val="center"/>
                </w:tcPr>
                <w:p>
                  <w:pPr>
                    <w:rPr>
                      <w:color w:val="auto"/>
                      <w:szCs w:val="21"/>
                    </w:rPr>
                  </w:pPr>
                  <w:r>
                    <w:rPr>
                      <w:color w:val="auto"/>
                      <w:szCs w:val="21"/>
                    </w:rPr>
                    <w:t>1间，建筑面积约</w:t>
                  </w:r>
                  <w:r>
                    <w:rPr>
                      <w:rFonts w:hint="eastAsia"/>
                      <w:color w:val="auto"/>
                      <w:szCs w:val="21"/>
                      <w:lang w:val="en-US" w:eastAsia="zh-CN"/>
                    </w:rPr>
                    <w:t>70</w:t>
                  </w:r>
                  <w:r>
                    <w:rPr>
                      <w:color w:val="auto"/>
                      <w:szCs w:val="21"/>
                    </w:rPr>
                    <w:t>m</w:t>
                  </w:r>
                  <w:r>
                    <w:rPr>
                      <w:color w:val="auto"/>
                      <w:szCs w:val="21"/>
                      <w:vertAlign w:val="superscript"/>
                    </w:rPr>
                    <w:t>2</w:t>
                  </w:r>
                  <w:r>
                    <w:rPr>
                      <w:color w:val="auto"/>
                      <w:szCs w:val="21"/>
                    </w:rPr>
                    <w:t>，</w:t>
                  </w:r>
                  <w:r>
                    <w:rPr>
                      <w:rFonts w:hint="eastAsia"/>
                      <w:color w:val="auto"/>
                      <w:szCs w:val="21"/>
                    </w:rPr>
                    <w:t>仅</w:t>
                  </w:r>
                  <w:r>
                    <w:rPr>
                      <w:color w:val="auto"/>
                      <w:szCs w:val="21"/>
                    </w:rPr>
                    <w:t>用于值班工作人员办公、休息</w:t>
                  </w:r>
                  <w:r>
                    <w:rPr>
                      <w:rFonts w:hint="eastAsia"/>
                      <w:color w:val="auto"/>
                      <w:szCs w:val="21"/>
                    </w:rPr>
                    <w:t>，不设员工食堂</w:t>
                  </w:r>
                </w:p>
              </w:tc>
              <w:tc>
                <w:tcPr>
                  <w:tcW w:w="654" w:type="pct"/>
                  <w:vMerge w:val="continue"/>
                  <w:shd w:val="clear" w:color="auto" w:fill="auto"/>
                  <w:vAlign w:val="center"/>
                </w:tcPr>
                <w:p>
                  <w:pPr>
                    <w:jc w:val="center"/>
                    <w:rPr>
                      <w:szCs w:val="21"/>
                    </w:rPr>
                  </w:pPr>
                </w:p>
              </w:tc>
              <w:tc>
                <w:tcPr>
                  <w:tcW w:w="669" w:type="pct"/>
                  <w:shd w:val="clear" w:color="auto" w:fill="auto"/>
                  <w:vAlign w:val="center"/>
                </w:tcPr>
                <w:p>
                  <w:pPr>
                    <w:jc w:val="center"/>
                    <w:rPr>
                      <w:szCs w:val="21"/>
                    </w:rPr>
                  </w:pPr>
                  <w:r>
                    <w:rPr>
                      <w:rFonts w:hint="eastAsia"/>
                      <w:szCs w:val="21"/>
                    </w:rPr>
                    <w:t>生活污水</w:t>
                  </w:r>
                </w:p>
                <w:p>
                  <w:pPr>
                    <w:jc w:val="center"/>
                    <w:rPr>
                      <w:szCs w:val="21"/>
                    </w:rPr>
                  </w:pPr>
                  <w:r>
                    <w:rPr>
                      <w:szCs w:val="21"/>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04" w:type="pct"/>
                  <w:shd w:val="clear" w:color="auto" w:fill="auto"/>
                  <w:vAlign w:val="center"/>
                </w:tcPr>
                <w:p>
                  <w:pPr>
                    <w:jc w:val="center"/>
                    <w:rPr>
                      <w:szCs w:val="21"/>
                    </w:rPr>
                  </w:pPr>
                  <w:r>
                    <w:rPr>
                      <w:szCs w:val="21"/>
                    </w:rPr>
                    <w:t>辅助工程</w:t>
                  </w:r>
                </w:p>
              </w:tc>
              <w:tc>
                <w:tcPr>
                  <w:tcW w:w="654" w:type="pct"/>
                  <w:shd w:val="clear" w:color="auto" w:fill="auto"/>
                  <w:vAlign w:val="center"/>
                </w:tcPr>
                <w:p>
                  <w:pPr>
                    <w:jc w:val="center"/>
                    <w:rPr>
                      <w:rFonts w:hint="eastAsia" w:ascii="Times New Roman" w:hAnsi="Times New Roman" w:eastAsia="宋体" w:cs="黑体"/>
                      <w:color w:val="auto"/>
                      <w:kern w:val="2"/>
                      <w:sz w:val="21"/>
                      <w:szCs w:val="21"/>
                      <w:lang w:val="en-US" w:eastAsia="zh-CN" w:bidi="ar-SA"/>
                    </w:rPr>
                  </w:pPr>
                  <w:r>
                    <w:rPr>
                      <w:rFonts w:hint="eastAsia"/>
                      <w:color w:val="auto"/>
                      <w:szCs w:val="21"/>
                    </w:rPr>
                    <w:t>污泥脱水机房</w:t>
                  </w:r>
                </w:p>
              </w:tc>
              <w:tc>
                <w:tcPr>
                  <w:tcW w:w="2617" w:type="pct"/>
                  <w:shd w:val="clear" w:color="auto" w:fill="auto"/>
                  <w:vAlign w:val="center"/>
                </w:tcPr>
                <w:p>
                  <w:pPr>
                    <w:rPr>
                      <w:rFonts w:ascii="Times New Roman" w:hAnsi="Times New Roman" w:eastAsia="宋体" w:cs="黑体"/>
                      <w:color w:val="auto"/>
                      <w:kern w:val="2"/>
                      <w:sz w:val="21"/>
                      <w:szCs w:val="21"/>
                      <w:lang w:val="en-US" w:eastAsia="zh-CN" w:bidi="ar-SA"/>
                    </w:rPr>
                  </w:pPr>
                  <w:r>
                    <w:rPr>
                      <w:rFonts w:hint="eastAsia"/>
                      <w:color w:val="auto"/>
                      <w:szCs w:val="21"/>
                    </w:rPr>
                    <w:t>1间</w:t>
                  </w:r>
                  <w:r>
                    <w:rPr>
                      <w:rFonts w:hint="eastAsia"/>
                      <w:color w:val="auto"/>
                      <w:szCs w:val="21"/>
                      <w:lang w:eastAsia="zh-CN"/>
                    </w:rPr>
                    <w:t>（</w:t>
                  </w:r>
                  <w:r>
                    <w:rPr>
                      <w:rFonts w:hint="eastAsia"/>
                      <w:color w:val="auto"/>
                      <w:szCs w:val="21"/>
                      <w:lang w:val="en-US" w:eastAsia="zh-CN"/>
                    </w:rPr>
                    <w:t>内含污泥间</w:t>
                  </w:r>
                  <w:r>
                    <w:rPr>
                      <w:rFonts w:hint="eastAsia"/>
                      <w:color w:val="auto"/>
                      <w:szCs w:val="21"/>
                      <w:lang w:eastAsia="zh-CN"/>
                    </w:rPr>
                    <w:t>）</w:t>
                  </w:r>
                  <w:r>
                    <w:rPr>
                      <w:rFonts w:hint="eastAsia"/>
                      <w:color w:val="auto"/>
                      <w:szCs w:val="21"/>
                    </w:rPr>
                    <w:t>，</w:t>
                  </w:r>
                  <w:r>
                    <w:rPr>
                      <w:color w:val="auto"/>
                      <w:szCs w:val="21"/>
                    </w:rPr>
                    <w:t>建筑面积约288m</w:t>
                  </w:r>
                  <w:r>
                    <w:rPr>
                      <w:color w:val="auto"/>
                      <w:szCs w:val="21"/>
                      <w:vertAlign w:val="superscript"/>
                    </w:rPr>
                    <w:t>2</w:t>
                  </w:r>
                  <w:r>
                    <w:rPr>
                      <w:color w:val="auto"/>
                      <w:szCs w:val="21"/>
                    </w:rPr>
                    <w:t>，设置</w:t>
                  </w:r>
                  <w:r>
                    <w:rPr>
                      <w:rFonts w:hint="eastAsia"/>
                      <w:color w:val="auto"/>
                      <w:szCs w:val="21"/>
                    </w:rPr>
                    <w:t>2台叠螺浓缩脱水一体机</w:t>
                  </w:r>
                </w:p>
              </w:tc>
              <w:tc>
                <w:tcPr>
                  <w:tcW w:w="654" w:type="pct"/>
                  <w:vMerge w:val="continue"/>
                  <w:shd w:val="clear" w:color="auto" w:fill="auto"/>
                  <w:vAlign w:val="center"/>
                </w:tcPr>
                <w:p>
                  <w:pPr>
                    <w:jc w:val="center"/>
                    <w:rPr>
                      <w:szCs w:val="21"/>
                    </w:rPr>
                  </w:pPr>
                </w:p>
              </w:tc>
              <w:tc>
                <w:tcPr>
                  <w:tcW w:w="669" w:type="pct"/>
                  <w:shd w:val="clear" w:color="auto" w:fill="auto"/>
                  <w:vAlign w:val="center"/>
                </w:tcPr>
                <w:p>
                  <w:pPr>
                    <w:jc w:val="center"/>
                    <w:rPr>
                      <w:szCs w:val="21"/>
                    </w:rPr>
                  </w:pPr>
                  <w:r>
                    <w:rPr>
                      <w:color w:val="auto"/>
                      <w:szCs w:val="21"/>
                    </w:rPr>
                    <w:t>噪声、废水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vMerge w:val="restart"/>
                  <w:shd w:val="clear" w:color="auto" w:fill="auto"/>
                  <w:vAlign w:val="center"/>
                </w:tcPr>
                <w:p>
                  <w:pPr>
                    <w:jc w:val="center"/>
                    <w:rPr>
                      <w:color w:val="auto"/>
                      <w:szCs w:val="21"/>
                    </w:rPr>
                  </w:pPr>
                  <w:r>
                    <w:rPr>
                      <w:rFonts w:hint="eastAsia"/>
                      <w:color w:val="auto"/>
                      <w:szCs w:val="21"/>
                    </w:rPr>
                    <w:t>公用工程</w:t>
                  </w:r>
                </w:p>
              </w:tc>
              <w:tc>
                <w:tcPr>
                  <w:tcW w:w="654" w:type="pct"/>
                  <w:shd w:val="clear" w:color="auto" w:fill="auto"/>
                  <w:vAlign w:val="center"/>
                </w:tcPr>
                <w:p>
                  <w:pPr>
                    <w:jc w:val="center"/>
                    <w:rPr>
                      <w:color w:val="auto"/>
                      <w:szCs w:val="21"/>
                    </w:rPr>
                  </w:pPr>
                  <w:r>
                    <w:rPr>
                      <w:rFonts w:hint="eastAsia"/>
                      <w:color w:val="auto"/>
                      <w:szCs w:val="21"/>
                    </w:rPr>
                    <w:t>供电</w:t>
                  </w:r>
                </w:p>
              </w:tc>
              <w:tc>
                <w:tcPr>
                  <w:tcW w:w="2617" w:type="pct"/>
                  <w:shd w:val="clear" w:color="auto" w:fill="auto"/>
                  <w:vAlign w:val="center"/>
                </w:tcPr>
                <w:p>
                  <w:pPr>
                    <w:rPr>
                      <w:color w:val="auto"/>
                      <w:szCs w:val="21"/>
                    </w:rPr>
                  </w:pPr>
                  <w:r>
                    <w:rPr>
                      <w:rFonts w:hint="eastAsia"/>
                      <w:color w:val="auto"/>
                      <w:szCs w:val="21"/>
                    </w:rPr>
                    <w:t>市政电网</w:t>
                  </w:r>
                  <w:r>
                    <w:rPr>
                      <w:color w:val="auto"/>
                      <w:szCs w:val="21"/>
                    </w:rPr>
                    <w:t>供电</w:t>
                  </w:r>
                </w:p>
              </w:tc>
              <w:tc>
                <w:tcPr>
                  <w:tcW w:w="654" w:type="pct"/>
                  <w:vMerge w:val="continue"/>
                  <w:shd w:val="clear" w:color="auto" w:fill="auto"/>
                  <w:vAlign w:val="center"/>
                </w:tcPr>
                <w:p>
                  <w:pPr>
                    <w:jc w:val="center"/>
                    <w:rPr>
                      <w:szCs w:val="21"/>
                    </w:rPr>
                  </w:pPr>
                </w:p>
              </w:tc>
              <w:tc>
                <w:tcPr>
                  <w:tcW w:w="669" w:type="pct"/>
                  <w:shd w:val="clear" w:color="auto" w:fill="auto"/>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vMerge w:val="continue"/>
                  <w:shd w:val="clear" w:color="auto" w:fill="auto"/>
                  <w:vAlign w:val="center"/>
                </w:tcPr>
                <w:p>
                  <w:pPr>
                    <w:jc w:val="center"/>
                    <w:rPr>
                      <w:color w:val="auto"/>
                      <w:szCs w:val="21"/>
                    </w:rPr>
                  </w:pPr>
                </w:p>
              </w:tc>
              <w:tc>
                <w:tcPr>
                  <w:tcW w:w="654" w:type="pct"/>
                  <w:shd w:val="clear" w:color="auto" w:fill="auto"/>
                  <w:vAlign w:val="center"/>
                </w:tcPr>
                <w:p>
                  <w:pPr>
                    <w:jc w:val="center"/>
                    <w:rPr>
                      <w:color w:val="auto"/>
                      <w:szCs w:val="21"/>
                    </w:rPr>
                  </w:pPr>
                  <w:r>
                    <w:rPr>
                      <w:rFonts w:hint="eastAsia"/>
                      <w:color w:val="auto"/>
                      <w:szCs w:val="21"/>
                    </w:rPr>
                    <w:t>供水</w:t>
                  </w:r>
                </w:p>
              </w:tc>
              <w:tc>
                <w:tcPr>
                  <w:tcW w:w="2617" w:type="pct"/>
                  <w:shd w:val="clear" w:color="auto" w:fill="auto"/>
                  <w:vAlign w:val="center"/>
                </w:tcPr>
                <w:p>
                  <w:pPr>
                    <w:rPr>
                      <w:color w:val="auto"/>
                      <w:szCs w:val="21"/>
                    </w:rPr>
                  </w:pPr>
                  <w:r>
                    <w:rPr>
                      <w:color w:val="auto"/>
                      <w:szCs w:val="21"/>
                    </w:rPr>
                    <w:t>项目内部供水</w:t>
                  </w:r>
                </w:p>
              </w:tc>
              <w:tc>
                <w:tcPr>
                  <w:tcW w:w="654" w:type="pct"/>
                  <w:vMerge w:val="continue"/>
                  <w:shd w:val="clear" w:color="auto" w:fill="auto"/>
                  <w:vAlign w:val="center"/>
                </w:tcPr>
                <w:p>
                  <w:pPr>
                    <w:jc w:val="center"/>
                    <w:rPr>
                      <w:szCs w:val="21"/>
                    </w:rPr>
                  </w:pPr>
                </w:p>
              </w:tc>
              <w:tc>
                <w:tcPr>
                  <w:tcW w:w="669" w:type="pct"/>
                  <w:shd w:val="clear" w:color="auto" w:fill="auto"/>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4" w:type="pct"/>
                  <w:vMerge w:val="restart"/>
                  <w:shd w:val="clear" w:color="auto" w:fill="auto"/>
                  <w:vAlign w:val="center"/>
                </w:tcPr>
                <w:p>
                  <w:pPr>
                    <w:jc w:val="center"/>
                    <w:rPr>
                      <w:color w:val="auto"/>
                      <w:szCs w:val="21"/>
                    </w:rPr>
                  </w:pPr>
                  <w:r>
                    <w:rPr>
                      <w:rFonts w:hint="eastAsia"/>
                      <w:color w:val="auto"/>
                      <w:szCs w:val="21"/>
                    </w:rPr>
                    <w:t>环保</w:t>
                  </w:r>
                  <w:r>
                    <w:rPr>
                      <w:color w:val="auto"/>
                      <w:szCs w:val="21"/>
                    </w:rPr>
                    <w:t>工程</w:t>
                  </w:r>
                </w:p>
              </w:tc>
              <w:tc>
                <w:tcPr>
                  <w:tcW w:w="654" w:type="pct"/>
                  <w:shd w:val="clear" w:color="auto" w:fill="auto"/>
                  <w:vAlign w:val="center"/>
                </w:tcPr>
                <w:p>
                  <w:pPr>
                    <w:jc w:val="center"/>
                    <w:rPr>
                      <w:b/>
                      <w:color w:val="auto"/>
                      <w:szCs w:val="21"/>
                    </w:rPr>
                  </w:pPr>
                  <w:r>
                    <w:rPr>
                      <w:color w:val="auto"/>
                      <w:szCs w:val="21"/>
                    </w:rPr>
                    <w:t>预处理池</w:t>
                  </w:r>
                </w:p>
              </w:tc>
              <w:tc>
                <w:tcPr>
                  <w:tcW w:w="2617" w:type="pct"/>
                  <w:shd w:val="clear" w:color="auto" w:fill="auto"/>
                  <w:vAlign w:val="center"/>
                </w:tcPr>
                <w:p>
                  <w:pPr>
                    <w:rPr>
                      <w:b/>
                      <w:color w:val="auto"/>
                      <w:szCs w:val="21"/>
                    </w:rPr>
                  </w:pPr>
                  <w:r>
                    <w:rPr>
                      <w:rFonts w:hint="eastAsia"/>
                      <w:color w:val="auto"/>
                      <w:szCs w:val="21"/>
                    </w:rPr>
                    <w:t>1个，容积</w:t>
                  </w:r>
                  <w:r>
                    <w:rPr>
                      <w:color w:val="auto"/>
                      <w:szCs w:val="21"/>
                    </w:rPr>
                    <w:t>4</w:t>
                  </w:r>
                  <w:r>
                    <w:rPr>
                      <w:rFonts w:hint="eastAsia"/>
                      <w:color w:val="auto"/>
                      <w:szCs w:val="21"/>
                    </w:rPr>
                    <w:t>m</w:t>
                  </w:r>
                  <w:r>
                    <w:rPr>
                      <w:color w:val="auto"/>
                      <w:szCs w:val="21"/>
                      <w:vertAlign w:val="superscript"/>
                    </w:rPr>
                    <w:t>3</w:t>
                  </w:r>
                  <w:r>
                    <w:rPr>
                      <w:rFonts w:hint="eastAsia"/>
                      <w:color w:val="auto"/>
                      <w:szCs w:val="21"/>
                    </w:rPr>
                    <w:t>，设</w:t>
                  </w:r>
                  <w:r>
                    <w:rPr>
                      <w:rFonts w:hint="eastAsia"/>
                      <w:color w:val="auto"/>
                      <w:szCs w:val="21"/>
                      <w:lang w:val="en-US" w:eastAsia="zh-CN"/>
                    </w:rPr>
                    <w:t>门卫室</w:t>
                  </w:r>
                  <w:r>
                    <w:rPr>
                      <w:rFonts w:hint="eastAsia"/>
                      <w:color w:val="auto"/>
                      <w:szCs w:val="21"/>
                    </w:rPr>
                    <w:t>北侧，用于生活污水预处理</w:t>
                  </w:r>
                </w:p>
              </w:tc>
              <w:tc>
                <w:tcPr>
                  <w:tcW w:w="654" w:type="pct"/>
                  <w:vMerge w:val="continue"/>
                  <w:shd w:val="clear" w:color="auto" w:fill="auto"/>
                  <w:vAlign w:val="center"/>
                </w:tcPr>
                <w:p>
                  <w:pPr>
                    <w:jc w:val="center"/>
                    <w:rPr>
                      <w:b/>
                      <w:szCs w:val="21"/>
                    </w:rPr>
                  </w:pPr>
                </w:p>
              </w:tc>
              <w:tc>
                <w:tcPr>
                  <w:tcW w:w="669" w:type="pct"/>
                  <w:shd w:val="clear" w:color="auto" w:fill="auto"/>
                  <w:vAlign w:val="center"/>
                </w:tcPr>
                <w:p>
                  <w:pPr>
                    <w:jc w:val="center"/>
                    <w:rPr>
                      <w:b/>
                      <w:szCs w:val="21"/>
                    </w:rPr>
                  </w:pPr>
                  <w:r>
                    <w:rPr>
                      <w:rFonts w:hint="eastAsia"/>
                      <w:szCs w:val="21"/>
                    </w:rPr>
                    <w:t>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4" w:type="pct"/>
                  <w:vMerge w:val="continue"/>
                  <w:shd w:val="clear" w:color="auto" w:fill="auto"/>
                  <w:vAlign w:val="center"/>
                </w:tcPr>
                <w:p>
                  <w:pPr>
                    <w:jc w:val="center"/>
                    <w:rPr>
                      <w:color w:val="auto"/>
                      <w:szCs w:val="21"/>
                    </w:rPr>
                  </w:pPr>
                </w:p>
              </w:tc>
              <w:tc>
                <w:tcPr>
                  <w:tcW w:w="654" w:type="pct"/>
                  <w:shd w:val="clear" w:color="auto" w:fill="auto"/>
                  <w:vAlign w:val="center"/>
                </w:tcPr>
                <w:p>
                  <w:pPr>
                    <w:jc w:val="center"/>
                    <w:rPr>
                      <w:color w:val="auto"/>
                      <w:szCs w:val="21"/>
                    </w:rPr>
                  </w:pPr>
                  <w:r>
                    <w:rPr>
                      <w:color w:val="auto"/>
                      <w:szCs w:val="21"/>
                    </w:rPr>
                    <w:t>废水池</w:t>
                  </w:r>
                </w:p>
              </w:tc>
              <w:tc>
                <w:tcPr>
                  <w:tcW w:w="2617" w:type="pct"/>
                  <w:shd w:val="clear" w:color="auto" w:fill="auto"/>
                  <w:vAlign w:val="center"/>
                </w:tcPr>
                <w:p>
                  <w:pPr>
                    <w:rPr>
                      <w:color w:val="auto"/>
                      <w:szCs w:val="21"/>
                    </w:rPr>
                  </w:pPr>
                  <w:r>
                    <w:rPr>
                      <w:rFonts w:hint="eastAsia"/>
                      <w:color w:val="auto"/>
                      <w:szCs w:val="21"/>
                    </w:rPr>
                    <w:t>1个，容积</w:t>
                  </w:r>
                  <w:r>
                    <w:rPr>
                      <w:rFonts w:hint="eastAsia"/>
                      <w:color w:val="auto"/>
                      <w:szCs w:val="21"/>
                      <w:lang w:val="en-US" w:eastAsia="zh-CN"/>
                    </w:rPr>
                    <w:t>200</w:t>
                  </w:r>
                  <w:r>
                    <w:rPr>
                      <w:rFonts w:hint="eastAsia"/>
                      <w:color w:val="auto"/>
                      <w:szCs w:val="21"/>
                    </w:rPr>
                    <w:t>m</w:t>
                  </w:r>
                  <w:r>
                    <w:rPr>
                      <w:color w:val="auto"/>
                      <w:szCs w:val="21"/>
                      <w:vertAlign w:val="superscript"/>
                    </w:rPr>
                    <w:t>3</w:t>
                  </w:r>
                  <w:r>
                    <w:rPr>
                      <w:rFonts w:hint="eastAsia"/>
                      <w:color w:val="auto"/>
                      <w:szCs w:val="21"/>
                    </w:rPr>
                    <w:t>，设于厂区</w:t>
                  </w:r>
                  <w:r>
                    <w:rPr>
                      <w:rFonts w:hint="eastAsia"/>
                      <w:color w:val="auto"/>
                      <w:szCs w:val="21"/>
                      <w:lang w:val="en-US" w:eastAsia="zh-CN"/>
                    </w:rPr>
                    <w:t>西北侧</w:t>
                  </w:r>
                  <w:r>
                    <w:rPr>
                      <w:rFonts w:hint="eastAsia"/>
                      <w:color w:val="auto"/>
                      <w:szCs w:val="21"/>
                    </w:rPr>
                    <w:t>，用于生产废水收集回用</w:t>
                  </w:r>
                </w:p>
              </w:tc>
              <w:tc>
                <w:tcPr>
                  <w:tcW w:w="654" w:type="pct"/>
                  <w:vMerge w:val="continue"/>
                  <w:shd w:val="clear" w:color="auto" w:fill="auto"/>
                  <w:vAlign w:val="center"/>
                </w:tcPr>
                <w:p>
                  <w:pPr>
                    <w:jc w:val="center"/>
                    <w:rPr>
                      <w:b/>
                      <w:szCs w:val="21"/>
                    </w:rPr>
                  </w:pPr>
                </w:p>
              </w:tc>
              <w:tc>
                <w:tcPr>
                  <w:tcW w:w="669" w:type="pct"/>
                  <w:shd w:val="clear" w:color="auto" w:fill="auto"/>
                  <w:vAlign w:val="center"/>
                </w:tcPr>
                <w:p>
                  <w:pPr>
                    <w:jc w:val="center"/>
                    <w:rPr>
                      <w:b/>
                      <w:szCs w:val="21"/>
                    </w:rPr>
                  </w:pPr>
                  <w:r>
                    <w:rPr>
                      <w:rFonts w:hint="eastAsia"/>
                      <w:szCs w:val="21"/>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04" w:type="pct"/>
                  <w:vMerge w:val="continue"/>
                  <w:shd w:val="clear" w:color="auto" w:fill="auto"/>
                  <w:vAlign w:val="center"/>
                </w:tcPr>
                <w:p>
                  <w:pPr>
                    <w:jc w:val="center"/>
                    <w:rPr>
                      <w:color w:val="auto"/>
                      <w:szCs w:val="21"/>
                    </w:rPr>
                  </w:pPr>
                </w:p>
              </w:tc>
              <w:tc>
                <w:tcPr>
                  <w:tcW w:w="654" w:type="pct"/>
                  <w:shd w:val="clear" w:color="auto" w:fill="auto"/>
                  <w:vAlign w:val="center"/>
                </w:tcPr>
                <w:p>
                  <w:pPr>
                    <w:jc w:val="center"/>
                    <w:rPr>
                      <w:rFonts w:hint="eastAsia" w:eastAsia="宋体"/>
                      <w:color w:val="auto"/>
                      <w:szCs w:val="21"/>
                      <w:lang w:val="en-US" w:eastAsia="zh-CN"/>
                    </w:rPr>
                  </w:pPr>
                  <w:r>
                    <w:rPr>
                      <w:rFonts w:hint="eastAsia"/>
                      <w:color w:val="auto"/>
                      <w:szCs w:val="21"/>
                    </w:rPr>
                    <w:t>污泥</w:t>
                  </w:r>
                  <w:r>
                    <w:rPr>
                      <w:rFonts w:hint="eastAsia"/>
                      <w:color w:val="auto"/>
                      <w:szCs w:val="21"/>
                      <w:lang w:val="en-US" w:eastAsia="zh-CN"/>
                    </w:rPr>
                    <w:t>间</w:t>
                  </w:r>
                </w:p>
              </w:tc>
              <w:tc>
                <w:tcPr>
                  <w:tcW w:w="2617" w:type="pct"/>
                  <w:shd w:val="clear" w:color="auto" w:fill="auto"/>
                  <w:vAlign w:val="center"/>
                </w:tcPr>
                <w:p>
                  <w:pPr>
                    <w:rPr>
                      <w:color w:val="auto"/>
                      <w:szCs w:val="21"/>
                    </w:rPr>
                  </w:pPr>
                  <w:r>
                    <w:rPr>
                      <w:rFonts w:hint="eastAsia"/>
                      <w:color w:val="auto"/>
                      <w:szCs w:val="21"/>
                    </w:rPr>
                    <w:t>1间</w:t>
                  </w:r>
                  <w:r>
                    <w:rPr>
                      <w:rFonts w:hint="eastAsia"/>
                      <w:color w:val="auto"/>
                      <w:szCs w:val="21"/>
                      <w:lang w:eastAsia="zh-CN"/>
                    </w:rPr>
                    <w:t>（</w:t>
                  </w:r>
                  <w:r>
                    <w:rPr>
                      <w:rFonts w:hint="eastAsia"/>
                      <w:color w:val="auto"/>
                      <w:szCs w:val="21"/>
                      <w:lang w:val="en-US" w:eastAsia="zh-CN"/>
                    </w:rPr>
                    <w:t>设置在污泥脱水机房内</w:t>
                  </w:r>
                  <w:r>
                    <w:rPr>
                      <w:rFonts w:hint="eastAsia"/>
                      <w:color w:val="auto"/>
                      <w:szCs w:val="21"/>
                      <w:lang w:eastAsia="zh-CN"/>
                    </w:rPr>
                    <w:t>）</w:t>
                  </w:r>
                  <w:r>
                    <w:rPr>
                      <w:rFonts w:hint="eastAsia"/>
                      <w:color w:val="auto"/>
                      <w:szCs w:val="21"/>
                    </w:rPr>
                    <w:t>，占地面积约</w:t>
                  </w:r>
                  <w:r>
                    <w:rPr>
                      <w:rFonts w:hint="eastAsia"/>
                      <w:color w:val="auto"/>
                      <w:szCs w:val="21"/>
                      <w:lang w:val="en-US" w:eastAsia="zh-CN"/>
                    </w:rPr>
                    <w:t>94</w:t>
                  </w:r>
                  <w:r>
                    <w:rPr>
                      <w:rFonts w:hint="eastAsia"/>
                      <w:color w:val="auto"/>
                      <w:szCs w:val="21"/>
                    </w:rPr>
                    <w:t>m</w:t>
                  </w:r>
                  <w:r>
                    <w:rPr>
                      <w:color w:val="auto"/>
                      <w:szCs w:val="21"/>
                      <w:vertAlign w:val="superscript"/>
                    </w:rPr>
                    <w:t>2</w:t>
                  </w:r>
                  <w:r>
                    <w:rPr>
                      <w:rFonts w:hint="eastAsia"/>
                      <w:color w:val="auto"/>
                      <w:szCs w:val="21"/>
                    </w:rPr>
                    <w:t>，设于脱水机房，</w:t>
                  </w:r>
                  <w:r>
                    <w:rPr>
                      <w:color w:val="auto"/>
                      <w:szCs w:val="21"/>
                    </w:rPr>
                    <w:t>用于</w:t>
                  </w:r>
                  <w:r>
                    <w:rPr>
                      <w:rFonts w:hint="eastAsia"/>
                      <w:color w:val="auto"/>
                      <w:szCs w:val="21"/>
                    </w:rPr>
                    <w:t>泥饼暂存</w:t>
                  </w:r>
                </w:p>
              </w:tc>
              <w:tc>
                <w:tcPr>
                  <w:tcW w:w="654" w:type="pct"/>
                  <w:vMerge w:val="continue"/>
                  <w:shd w:val="clear" w:color="auto" w:fill="auto"/>
                  <w:vAlign w:val="center"/>
                </w:tcPr>
                <w:p>
                  <w:pPr>
                    <w:jc w:val="center"/>
                    <w:rPr>
                      <w:szCs w:val="21"/>
                    </w:rPr>
                  </w:pPr>
                </w:p>
              </w:tc>
              <w:tc>
                <w:tcPr>
                  <w:tcW w:w="669" w:type="pct"/>
                  <w:shd w:val="clear" w:color="auto" w:fill="auto"/>
                  <w:vAlign w:val="center"/>
                </w:tcPr>
                <w:p>
                  <w:pPr>
                    <w:jc w:val="center"/>
                    <w:rPr>
                      <w:szCs w:val="21"/>
                    </w:rPr>
                  </w:pPr>
                  <w:r>
                    <w:rPr>
                      <w:rFonts w:hint="eastAsia"/>
                      <w:szCs w:val="21"/>
                    </w:rPr>
                    <w:t>污泥</w:t>
                  </w:r>
                </w:p>
              </w:tc>
            </w:tr>
          </w:tbl>
          <w:p>
            <w:pPr>
              <w:spacing w:line="360" w:lineRule="auto"/>
              <w:ind w:firstLine="482" w:firstLineChars="200"/>
              <w:rPr>
                <w:rFonts w:cs="Times New Roman"/>
                <w:b/>
                <w:sz w:val="24"/>
                <w:szCs w:val="24"/>
              </w:rPr>
            </w:pPr>
            <w:r>
              <w:rPr>
                <w:rFonts w:cs="Times New Roman"/>
                <w:b/>
                <w:sz w:val="24"/>
                <w:szCs w:val="24"/>
              </w:rPr>
              <w:t>5、</w:t>
            </w:r>
            <w:r>
              <w:rPr>
                <w:rFonts w:hint="eastAsia" w:cs="Times New Roman"/>
                <w:b/>
                <w:sz w:val="24"/>
                <w:szCs w:val="24"/>
              </w:rPr>
              <w:t>工程</w:t>
            </w:r>
            <w:r>
              <w:rPr>
                <w:rFonts w:cs="Times New Roman"/>
                <w:b/>
                <w:sz w:val="24"/>
                <w:szCs w:val="24"/>
              </w:rPr>
              <w:t>建设方案</w:t>
            </w:r>
          </w:p>
          <w:p>
            <w:pPr>
              <w:spacing w:line="360" w:lineRule="auto"/>
              <w:ind w:firstLine="482" w:firstLineChars="200"/>
              <w:rPr>
                <w:rFonts w:cs="Times New Roman"/>
                <w:b/>
                <w:sz w:val="24"/>
                <w:szCs w:val="24"/>
              </w:rPr>
            </w:pPr>
            <w:r>
              <w:rPr>
                <w:rFonts w:cs="Times New Roman"/>
                <w:b/>
                <w:sz w:val="24"/>
                <w:szCs w:val="24"/>
              </w:rPr>
              <w:t>（</w:t>
            </w:r>
            <w:r>
              <w:rPr>
                <w:rFonts w:hint="eastAsia" w:cs="Times New Roman"/>
                <w:b/>
                <w:sz w:val="24"/>
                <w:szCs w:val="24"/>
              </w:rPr>
              <w:t>1）供水水源</w:t>
            </w:r>
          </w:p>
          <w:p>
            <w:pPr>
              <w:spacing w:line="360" w:lineRule="auto"/>
              <w:ind w:firstLine="482" w:firstLineChars="200"/>
              <w:rPr>
                <w:rFonts w:cs="Times New Roman"/>
                <w:b/>
                <w:sz w:val="24"/>
                <w:szCs w:val="24"/>
              </w:rPr>
            </w:pPr>
            <w:r>
              <w:rPr>
                <w:rFonts w:hint="eastAsia" w:cs="Times New Roman"/>
                <w:b/>
                <w:sz w:val="24"/>
                <w:szCs w:val="24"/>
              </w:rPr>
              <w:t>①水源</w:t>
            </w:r>
          </w:p>
          <w:p>
            <w:pPr>
              <w:spacing w:line="360" w:lineRule="auto"/>
              <w:ind w:firstLine="480" w:firstLineChars="200"/>
              <w:rPr>
                <w:rFonts w:hint="default" w:eastAsia="宋体"/>
                <w:color w:val="333333"/>
                <w:sz w:val="24"/>
                <w:szCs w:val="24"/>
                <w:shd w:val="clear" w:color="auto" w:fill="FFFFFF"/>
                <w:lang w:val="en-US" w:eastAsia="zh-CN"/>
              </w:rPr>
            </w:pPr>
            <w:r>
              <w:rPr>
                <w:rFonts w:hint="eastAsia"/>
                <w:color w:val="333333"/>
                <w:sz w:val="24"/>
                <w:szCs w:val="24"/>
                <w:shd w:val="clear" w:color="auto" w:fill="FFFFFF"/>
              </w:rPr>
              <w:t>根据《宣汉县城市供水工程》施工图设计相关资料，</w:t>
            </w:r>
            <w:r>
              <w:rPr>
                <w:rFonts w:hint="eastAsia"/>
                <w:color w:val="333333"/>
                <w:sz w:val="24"/>
                <w:szCs w:val="24"/>
                <w:shd w:val="clear" w:color="auto" w:fill="FFFFFF"/>
                <w:lang w:val="en-US" w:eastAsia="zh-CN"/>
              </w:rPr>
              <w:t>本项目从</w:t>
            </w:r>
            <w:r>
              <w:rPr>
                <w:rFonts w:hint="eastAsia"/>
                <w:color w:val="333333"/>
                <w:sz w:val="24"/>
                <w:szCs w:val="24"/>
                <w:shd w:val="clear" w:color="auto" w:fill="FFFFFF"/>
              </w:rPr>
              <w:t>徐家坡水厂</w:t>
            </w:r>
            <w:r>
              <w:rPr>
                <w:rFonts w:hint="eastAsia"/>
                <w:color w:val="333333"/>
                <w:sz w:val="24"/>
                <w:szCs w:val="24"/>
                <w:shd w:val="clear" w:color="auto" w:fill="FFFFFF"/>
                <w:lang w:val="en-US" w:eastAsia="zh-CN"/>
              </w:rPr>
              <w:t>取水，</w:t>
            </w:r>
            <w:r>
              <w:rPr>
                <w:rFonts w:hint="eastAsia"/>
                <w:color w:val="333333"/>
                <w:sz w:val="24"/>
                <w:szCs w:val="24"/>
                <w:shd w:val="clear" w:color="auto" w:fill="FFFFFF"/>
              </w:rPr>
              <w:t>徐家坡水厂水源为后河，目前已建有一座岸边式取水泵房，泵房直径为16m，现状取水规模为</w:t>
            </w:r>
            <w:r>
              <w:rPr>
                <w:color w:val="333333"/>
                <w:sz w:val="24"/>
                <w:szCs w:val="24"/>
                <w:shd w:val="clear" w:color="auto" w:fill="FFFFFF"/>
              </w:rPr>
              <w:t>3</w:t>
            </w:r>
            <w:r>
              <w:rPr>
                <w:rFonts w:hint="eastAsia"/>
                <w:color w:val="333333"/>
                <w:sz w:val="24"/>
                <w:szCs w:val="24"/>
                <w:shd w:val="clear" w:color="auto" w:fill="FFFFFF"/>
              </w:rPr>
              <w:t>万m³/d，水泵为</w:t>
            </w:r>
            <w:r>
              <w:rPr>
                <w:color w:val="333333"/>
                <w:sz w:val="24"/>
                <w:szCs w:val="24"/>
                <w:shd w:val="clear" w:color="auto" w:fill="FFFFFF"/>
              </w:rPr>
              <w:t>3</w:t>
            </w:r>
            <w:r>
              <w:rPr>
                <w:rFonts w:hint="eastAsia"/>
                <w:color w:val="333333"/>
                <w:sz w:val="24"/>
                <w:szCs w:val="24"/>
                <w:shd w:val="clear" w:color="auto" w:fill="FFFFFF"/>
              </w:rPr>
              <w:t>用1备。泵房内目前有一个预留泵位，</w:t>
            </w:r>
            <w:r>
              <w:rPr>
                <w:rFonts w:hint="eastAsia"/>
                <w:color w:val="333333"/>
                <w:sz w:val="24"/>
                <w:szCs w:val="24"/>
                <w:shd w:val="clear" w:color="auto" w:fill="FFFFFF"/>
                <w:lang w:val="en-US" w:eastAsia="zh-CN"/>
              </w:rPr>
              <w:t>即将</w:t>
            </w:r>
            <w:r>
              <w:rPr>
                <w:rFonts w:hint="eastAsia"/>
                <w:color w:val="333333"/>
                <w:sz w:val="24"/>
                <w:szCs w:val="24"/>
                <w:shd w:val="clear" w:color="auto" w:fill="FFFFFF"/>
              </w:rPr>
              <w:t>增加一台水泵，能够满足徐家坡水厂扩容后</w:t>
            </w:r>
            <w:r>
              <w:rPr>
                <w:rFonts w:hint="eastAsia"/>
                <w:color w:val="333333"/>
                <w:sz w:val="24"/>
                <w:szCs w:val="24"/>
                <w:shd w:val="clear" w:color="auto" w:fill="FFFFFF"/>
                <w:lang w:eastAsia="zh-CN"/>
              </w:rPr>
              <w:t>（</w:t>
            </w:r>
            <w:r>
              <w:rPr>
                <w:rFonts w:hint="eastAsia"/>
                <w:color w:val="333333"/>
                <w:sz w:val="24"/>
                <w:szCs w:val="24"/>
                <w:shd w:val="clear" w:color="auto" w:fill="FFFFFF"/>
                <w:lang w:val="en-US" w:eastAsia="zh-CN"/>
              </w:rPr>
              <w:t>6</w:t>
            </w:r>
            <w:r>
              <w:rPr>
                <w:rFonts w:hint="eastAsia"/>
                <w:color w:val="333333"/>
                <w:sz w:val="24"/>
                <w:szCs w:val="24"/>
                <w:shd w:val="clear" w:color="auto" w:fill="FFFFFF"/>
              </w:rPr>
              <w:t>万m³/d</w:t>
            </w:r>
            <w:r>
              <w:rPr>
                <w:rFonts w:hint="eastAsia"/>
                <w:color w:val="333333"/>
                <w:sz w:val="24"/>
                <w:szCs w:val="24"/>
                <w:shd w:val="clear" w:color="auto" w:fill="FFFFFF"/>
                <w:lang w:eastAsia="zh-CN"/>
              </w:rPr>
              <w:t>）</w:t>
            </w:r>
            <w:r>
              <w:rPr>
                <w:rFonts w:hint="eastAsia"/>
                <w:color w:val="333333"/>
                <w:sz w:val="24"/>
                <w:szCs w:val="24"/>
                <w:shd w:val="clear" w:color="auto" w:fill="FFFFFF"/>
              </w:rPr>
              <w:t>的原水来源。</w:t>
            </w:r>
            <w:r>
              <w:rPr>
                <w:rFonts w:hint="eastAsia"/>
                <w:color w:val="333333"/>
                <w:sz w:val="24"/>
                <w:szCs w:val="24"/>
                <w:shd w:val="clear" w:color="auto" w:fill="FFFFFF"/>
                <w:lang w:val="en-US" w:eastAsia="zh-CN"/>
              </w:rPr>
              <w:t>本项目从中引水2</w:t>
            </w:r>
            <w:r>
              <w:rPr>
                <w:rFonts w:hint="eastAsia"/>
                <w:color w:val="333333"/>
                <w:sz w:val="24"/>
                <w:szCs w:val="24"/>
                <w:shd w:val="clear" w:color="auto" w:fill="FFFFFF"/>
              </w:rPr>
              <w:t>万m³/d</w:t>
            </w:r>
            <w:r>
              <w:rPr>
                <w:rFonts w:hint="eastAsia"/>
                <w:color w:val="333333"/>
                <w:sz w:val="24"/>
                <w:szCs w:val="24"/>
                <w:shd w:val="clear" w:color="auto" w:fill="FFFFFF"/>
                <w:lang w:eastAsia="zh-CN"/>
              </w:rPr>
              <w:t>，</w:t>
            </w:r>
            <w:r>
              <w:rPr>
                <w:rFonts w:hint="eastAsia"/>
                <w:color w:val="333333"/>
                <w:sz w:val="24"/>
                <w:szCs w:val="24"/>
                <w:shd w:val="clear" w:color="auto" w:fill="FFFFFF"/>
                <w:lang w:val="en-US" w:eastAsia="zh-CN"/>
              </w:rPr>
              <w:t>可满足本项目取水要求。</w:t>
            </w:r>
          </w:p>
          <w:p>
            <w:pPr>
              <w:spacing w:line="360" w:lineRule="auto"/>
              <w:ind w:firstLine="480" w:firstLineChars="200"/>
              <w:rPr>
                <w:rFonts w:hint="eastAsia"/>
                <w:color w:val="333333"/>
                <w:sz w:val="24"/>
                <w:szCs w:val="24"/>
                <w:shd w:val="clear" w:color="auto" w:fill="FFFFFF"/>
              </w:rPr>
            </w:pPr>
            <w:r>
              <w:rPr>
                <w:rFonts w:hint="eastAsia"/>
                <w:color w:val="333333"/>
                <w:sz w:val="24"/>
                <w:szCs w:val="24"/>
                <w:shd w:val="clear" w:color="auto" w:fill="FFFFFF"/>
              </w:rPr>
              <w:t>从</w:t>
            </w:r>
            <w:r>
              <w:rPr>
                <w:rFonts w:hint="eastAsia"/>
                <w:color w:val="333333"/>
                <w:sz w:val="24"/>
                <w:szCs w:val="24"/>
                <w:shd w:val="clear" w:color="auto" w:fill="FFFFFF"/>
                <w:lang w:val="en-US" w:eastAsia="zh-CN"/>
              </w:rPr>
              <w:t>后河</w:t>
            </w:r>
            <w:r>
              <w:rPr>
                <w:rFonts w:hint="eastAsia"/>
                <w:color w:val="333333"/>
                <w:sz w:val="24"/>
                <w:szCs w:val="24"/>
                <w:shd w:val="clear" w:color="auto" w:fill="FFFFFF"/>
              </w:rPr>
              <w:t>河流径流量分析，后河最枯日径流量为69.12万m</w:t>
            </w:r>
            <w:r>
              <w:rPr>
                <w:rFonts w:hint="eastAsia"/>
                <w:color w:val="333333"/>
                <w:sz w:val="24"/>
                <w:szCs w:val="24"/>
                <w:shd w:val="clear" w:color="auto" w:fill="FFFFFF"/>
                <w:vertAlign w:val="superscript"/>
              </w:rPr>
              <w:t>3</w:t>
            </w:r>
            <w:r>
              <w:rPr>
                <w:rFonts w:hint="eastAsia"/>
                <w:color w:val="333333"/>
                <w:sz w:val="24"/>
                <w:szCs w:val="24"/>
                <w:shd w:val="clear" w:color="auto" w:fill="FFFFFF"/>
              </w:rPr>
              <w:t>，保证率为P=100％，</w:t>
            </w:r>
            <w:r>
              <w:rPr>
                <w:rFonts w:hint="eastAsia"/>
                <w:color w:val="333333"/>
                <w:sz w:val="24"/>
                <w:szCs w:val="24"/>
                <w:shd w:val="clear" w:color="auto" w:fill="FFFFFF"/>
                <w:lang w:val="en-US" w:eastAsia="zh-CN"/>
              </w:rPr>
              <w:t>徐家坡水厂</w:t>
            </w:r>
            <w:r>
              <w:rPr>
                <w:rFonts w:hint="eastAsia"/>
                <w:color w:val="333333"/>
                <w:sz w:val="24"/>
                <w:szCs w:val="24"/>
                <w:shd w:val="clear" w:color="auto" w:fill="FFFFFF"/>
              </w:rPr>
              <w:t>日取原水量为3</w:t>
            </w:r>
            <w:r>
              <w:rPr>
                <w:color w:val="333333"/>
                <w:sz w:val="24"/>
                <w:szCs w:val="24"/>
                <w:shd w:val="clear" w:color="auto" w:fill="FFFFFF"/>
              </w:rPr>
              <w:t>0014.9</w:t>
            </w:r>
            <w:r>
              <w:rPr>
                <w:rFonts w:hint="eastAsia"/>
                <w:color w:val="333333"/>
                <w:sz w:val="24"/>
                <w:szCs w:val="24"/>
                <w:shd w:val="clear" w:color="auto" w:fill="FFFFFF"/>
              </w:rPr>
              <w:t>m³，可知后河水径流量远远大于</w:t>
            </w:r>
            <w:r>
              <w:rPr>
                <w:rFonts w:hint="eastAsia"/>
                <w:color w:val="333333"/>
                <w:sz w:val="24"/>
                <w:szCs w:val="24"/>
                <w:shd w:val="clear" w:color="auto" w:fill="FFFFFF"/>
                <w:lang w:val="en-US" w:eastAsia="zh-CN"/>
              </w:rPr>
              <w:t>徐家陂水厂</w:t>
            </w:r>
            <w:r>
              <w:rPr>
                <w:rFonts w:hint="eastAsia"/>
                <w:color w:val="333333"/>
                <w:sz w:val="24"/>
                <w:szCs w:val="24"/>
                <w:shd w:val="clear" w:color="auto" w:fill="FFFFFF"/>
              </w:rPr>
              <w:t>需水量，水资源总量是满足的，满足当地水资源上线要求。</w:t>
            </w:r>
          </w:p>
          <w:p>
            <w:pPr>
              <w:spacing w:line="360" w:lineRule="auto"/>
              <w:ind w:firstLine="480" w:firstLineChars="200"/>
              <w:rPr>
                <w:rFonts w:hint="eastAsia"/>
                <w:color w:val="333333"/>
                <w:sz w:val="24"/>
                <w:szCs w:val="24"/>
                <w:shd w:val="clear" w:color="auto" w:fill="FFFFFF"/>
              </w:rPr>
            </w:pPr>
            <w:r>
              <w:rPr>
                <w:rFonts w:hint="eastAsia"/>
                <w:color w:val="333333"/>
                <w:sz w:val="24"/>
                <w:szCs w:val="24"/>
                <w:shd w:val="clear" w:color="auto" w:fill="FFFFFF"/>
              </w:rPr>
              <w:t>因此，本项目取水口水资源承载力可行。</w:t>
            </w:r>
          </w:p>
          <w:p>
            <w:pPr>
              <w:spacing w:line="360" w:lineRule="auto"/>
              <w:ind w:firstLine="482" w:firstLineChars="200"/>
              <w:rPr>
                <w:rFonts w:cs="Times New Roman"/>
                <w:b/>
                <w:sz w:val="24"/>
                <w:szCs w:val="24"/>
              </w:rPr>
            </w:pPr>
            <w:r>
              <w:rPr>
                <w:rFonts w:hint="eastAsia" w:cs="Times New Roman"/>
                <w:b/>
                <w:sz w:val="24"/>
                <w:szCs w:val="24"/>
              </w:rPr>
              <w:t>②水质</w:t>
            </w:r>
          </w:p>
          <w:p>
            <w:pPr>
              <w:spacing w:line="360" w:lineRule="auto"/>
              <w:ind w:firstLine="480" w:firstLineChars="200"/>
              <w:rPr>
                <w:rFonts w:hint="eastAsia"/>
                <w:color w:val="333333"/>
                <w:sz w:val="24"/>
                <w:szCs w:val="24"/>
                <w:shd w:val="clear" w:color="auto" w:fill="FFFFFF"/>
              </w:rPr>
            </w:pPr>
            <w:r>
              <w:rPr>
                <w:rFonts w:hint="eastAsia"/>
                <w:color w:val="333333"/>
                <w:sz w:val="24"/>
                <w:szCs w:val="24"/>
                <w:shd w:val="clear" w:color="auto" w:fill="FFFFFF"/>
              </w:rPr>
              <w:t>根据四川省工业环境监测研究院对宣汉县徐家坡饮用水水样进行的监测（监测报告：川工环监字（2</w:t>
            </w:r>
            <w:r>
              <w:rPr>
                <w:color w:val="333333"/>
                <w:sz w:val="24"/>
                <w:szCs w:val="24"/>
                <w:shd w:val="clear" w:color="auto" w:fill="FFFFFF"/>
              </w:rPr>
              <w:t>021</w:t>
            </w:r>
            <w:r>
              <w:rPr>
                <w:rFonts w:hint="eastAsia"/>
                <w:color w:val="333333"/>
                <w:sz w:val="24"/>
                <w:szCs w:val="24"/>
                <w:shd w:val="clear" w:color="auto" w:fill="FFFFFF"/>
              </w:rPr>
              <w:t>）第</w:t>
            </w:r>
            <w:r>
              <w:rPr>
                <w:color w:val="333333"/>
                <w:sz w:val="24"/>
                <w:szCs w:val="24"/>
                <w:shd w:val="clear" w:color="auto" w:fill="FFFFFF"/>
              </w:rPr>
              <w:t>03070316</w:t>
            </w:r>
            <w:r>
              <w:rPr>
                <w:rFonts w:hint="eastAsia"/>
                <w:color w:val="333333"/>
                <w:sz w:val="24"/>
                <w:szCs w:val="24"/>
                <w:shd w:val="clear" w:color="auto" w:fill="FFFFFF"/>
              </w:rPr>
              <w:t>号），徐家坡饮用水水质满足《地表水环境质量标准》（GB3838-2002）中的Ⅲ类水质标准。</w:t>
            </w:r>
          </w:p>
          <w:p>
            <w:pPr>
              <w:spacing w:line="360" w:lineRule="auto"/>
              <w:ind w:firstLine="482" w:firstLineChars="200"/>
              <w:rPr>
                <w:rFonts w:cs="Times New Roman"/>
                <w:b/>
                <w:color w:val="auto"/>
                <w:sz w:val="24"/>
                <w:szCs w:val="24"/>
              </w:rPr>
            </w:pPr>
            <w:r>
              <w:rPr>
                <w:rFonts w:hint="eastAsia" w:cs="Times New Roman"/>
                <w:b/>
                <w:color w:val="auto"/>
                <w:sz w:val="24"/>
                <w:szCs w:val="24"/>
              </w:rPr>
              <w:t>（2）取水方案</w:t>
            </w:r>
          </w:p>
          <w:p>
            <w:pPr>
              <w:spacing w:line="360" w:lineRule="auto"/>
              <w:ind w:firstLine="480" w:firstLineChars="200"/>
              <w:rPr>
                <w:rFonts w:cs="Times New Roman"/>
                <w:color w:val="auto"/>
                <w:sz w:val="24"/>
                <w:szCs w:val="24"/>
              </w:rPr>
            </w:pPr>
            <w:r>
              <w:rPr>
                <w:rFonts w:hint="eastAsia" w:cs="Times New Roman"/>
                <w:color w:val="auto"/>
                <w:sz w:val="24"/>
                <w:szCs w:val="24"/>
              </w:rPr>
              <w:t>本项目拟从</w:t>
            </w:r>
            <w:r>
              <w:rPr>
                <w:rFonts w:hint="eastAsia" w:cs="Times New Roman"/>
                <w:color w:val="auto"/>
                <w:sz w:val="24"/>
                <w:szCs w:val="24"/>
                <w:lang w:eastAsia="zh-CN"/>
              </w:rPr>
              <w:t>后河</w:t>
            </w:r>
            <w:r>
              <w:rPr>
                <w:rFonts w:hint="eastAsia" w:cs="Times New Roman"/>
                <w:color w:val="auto"/>
                <w:sz w:val="24"/>
                <w:szCs w:val="24"/>
              </w:rPr>
              <w:t>以东</w:t>
            </w:r>
            <w:r>
              <w:rPr>
                <w:rFonts w:hint="eastAsia" w:cs="Times New Roman"/>
                <w:color w:val="auto"/>
                <w:sz w:val="24"/>
                <w:szCs w:val="24"/>
                <w:lang w:eastAsia="zh-CN"/>
              </w:rPr>
              <w:t>徐家坡水厂</w:t>
            </w:r>
            <w:r>
              <w:rPr>
                <w:rFonts w:hint="eastAsia" w:cs="Times New Roman"/>
                <w:color w:val="auto"/>
                <w:sz w:val="24"/>
                <w:szCs w:val="24"/>
              </w:rPr>
              <w:t>已建</w:t>
            </w:r>
            <w:r>
              <w:rPr>
                <w:rFonts w:hint="eastAsia" w:cs="Times New Roman"/>
                <w:color w:val="auto"/>
                <w:sz w:val="24"/>
                <w:szCs w:val="24"/>
                <w:lang w:eastAsia="zh-CN"/>
              </w:rPr>
              <w:t>DN700</w:t>
            </w:r>
            <w:r>
              <w:rPr>
                <w:rFonts w:hint="eastAsia" w:cs="Times New Roman"/>
                <w:color w:val="auto"/>
                <w:sz w:val="24"/>
                <w:szCs w:val="24"/>
              </w:rPr>
              <w:t>原水输水管道取水，取水规模约</w:t>
            </w:r>
            <w:r>
              <w:rPr>
                <w:rFonts w:cs="Times New Roman"/>
                <w:color w:val="auto"/>
                <w:sz w:val="24"/>
                <w:szCs w:val="24"/>
              </w:rPr>
              <w:t>20</w:t>
            </w:r>
            <w:r>
              <w:rPr>
                <w:rFonts w:hint="eastAsia" w:cs="Times New Roman"/>
                <w:color w:val="auto"/>
                <w:sz w:val="24"/>
                <w:szCs w:val="24"/>
                <w:lang w:val="en-US" w:eastAsia="zh-CN"/>
              </w:rPr>
              <w:t>000</w:t>
            </w:r>
            <w:r>
              <w:rPr>
                <w:rFonts w:cs="Times New Roman"/>
                <w:color w:val="auto"/>
                <w:sz w:val="24"/>
                <w:szCs w:val="24"/>
              </w:rPr>
              <w:t>m</w:t>
            </w:r>
            <w:r>
              <w:rPr>
                <w:rFonts w:cs="Times New Roman"/>
                <w:color w:val="auto"/>
                <w:sz w:val="24"/>
                <w:szCs w:val="24"/>
                <w:vertAlign w:val="superscript"/>
              </w:rPr>
              <w:t>3</w:t>
            </w:r>
            <w:r>
              <w:rPr>
                <w:rFonts w:cs="Times New Roman"/>
                <w:color w:val="auto"/>
                <w:sz w:val="24"/>
                <w:szCs w:val="24"/>
              </w:rPr>
              <w:t>/d</w:t>
            </w:r>
            <w:r>
              <w:rPr>
                <w:rFonts w:hint="eastAsia" w:cs="Times New Roman"/>
                <w:color w:val="auto"/>
                <w:sz w:val="24"/>
                <w:szCs w:val="24"/>
              </w:rPr>
              <w:t>，</w:t>
            </w:r>
            <w:r>
              <w:rPr>
                <w:rFonts w:hint="eastAsia" w:cs="Times New Roman"/>
                <w:color w:val="auto"/>
                <w:sz w:val="24"/>
                <w:szCs w:val="24"/>
              </w:rPr>
              <w:t>从</w:t>
            </w:r>
            <w:r>
              <w:rPr>
                <w:rFonts w:hint="eastAsia" w:cs="Times New Roman"/>
                <w:color w:val="auto"/>
                <w:sz w:val="24"/>
                <w:szCs w:val="24"/>
                <w:lang w:eastAsia="zh-CN"/>
              </w:rPr>
              <w:t>徐家坡水厂</w:t>
            </w:r>
            <w:r>
              <w:rPr>
                <w:rFonts w:hint="eastAsia" w:cs="Times New Roman"/>
                <w:color w:val="auto"/>
                <w:sz w:val="24"/>
                <w:szCs w:val="24"/>
              </w:rPr>
              <w:t>的取水总量中分配，不新增取水总量，不新建取水口。根据《宣汉县徐家坡农村居民供水工程环境影响报告表》，</w:t>
            </w:r>
            <w:r>
              <w:rPr>
                <w:rFonts w:hint="eastAsia" w:cs="Times New Roman"/>
                <w:color w:val="auto"/>
                <w:sz w:val="24"/>
                <w:szCs w:val="24"/>
                <w:lang w:eastAsia="zh-CN"/>
              </w:rPr>
              <w:t>徐家坡水厂</w:t>
            </w:r>
            <w:r>
              <w:rPr>
                <w:rFonts w:hint="eastAsia" w:cs="Times New Roman"/>
                <w:color w:val="auto"/>
                <w:sz w:val="24"/>
                <w:szCs w:val="24"/>
              </w:rPr>
              <w:t>建设规模</w:t>
            </w:r>
            <w:r>
              <w:rPr>
                <w:rFonts w:hint="eastAsia" w:cs="Times New Roman"/>
                <w:color w:val="auto"/>
                <w:sz w:val="24"/>
                <w:szCs w:val="24"/>
                <w:lang w:val="en-US" w:eastAsia="zh-CN"/>
              </w:rPr>
              <w:t>6</w:t>
            </w:r>
            <w:r>
              <w:rPr>
                <w:rFonts w:cs="Times New Roman"/>
                <w:color w:val="auto"/>
                <w:sz w:val="24"/>
                <w:szCs w:val="24"/>
              </w:rPr>
              <w:t>万m</w:t>
            </w:r>
            <w:r>
              <w:rPr>
                <w:rFonts w:cs="Times New Roman"/>
                <w:color w:val="auto"/>
                <w:sz w:val="24"/>
                <w:szCs w:val="24"/>
                <w:vertAlign w:val="superscript"/>
              </w:rPr>
              <w:t>3</w:t>
            </w:r>
            <w:r>
              <w:rPr>
                <w:rFonts w:cs="Times New Roman"/>
                <w:color w:val="auto"/>
                <w:sz w:val="24"/>
                <w:szCs w:val="24"/>
              </w:rPr>
              <w:t>/d，取水从</w:t>
            </w:r>
            <w:r>
              <w:rPr>
                <w:rFonts w:hint="eastAsia" w:cs="Times New Roman"/>
                <w:color w:val="auto"/>
                <w:sz w:val="24"/>
                <w:szCs w:val="24"/>
                <w:lang w:val="en-US" w:eastAsia="zh-CN"/>
              </w:rPr>
              <w:t>后河</w:t>
            </w:r>
            <w:r>
              <w:rPr>
                <w:rFonts w:cs="Times New Roman"/>
                <w:color w:val="auto"/>
                <w:sz w:val="24"/>
                <w:szCs w:val="24"/>
              </w:rPr>
              <w:t>取水，取水规模</w:t>
            </w:r>
            <w:r>
              <w:rPr>
                <w:rFonts w:hint="eastAsia" w:cs="Times New Roman"/>
                <w:color w:val="auto"/>
                <w:sz w:val="24"/>
                <w:szCs w:val="24"/>
                <w:lang w:val="en-US" w:eastAsia="zh-CN"/>
              </w:rPr>
              <w:t>6</w:t>
            </w:r>
            <w:r>
              <w:rPr>
                <w:rFonts w:cs="Times New Roman"/>
                <w:color w:val="auto"/>
                <w:sz w:val="24"/>
                <w:szCs w:val="24"/>
              </w:rPr>
              <w:t>万m</w:t>
            </w:r>
            <w:r>
              <w:rPr>
                <w:rFonts w:cs="Times New Roman"/>
                <w:color w:val="auto"/>
                <w:sz w:val="24"/>
                <w:szCs w:val="24"/>
                <w:vertAlign w:val="superscript"/>
              </w:rPr>
              <w:t>3</w:t>
            </w:r>
            <w:r>
              <w:rPr>
                <w:rFonts w:cs="Times New Roman"/>
                <w:color w:val="auto"/>
                <w:sz w:val="24"/>
                <w:szCs w:val="24"/>
              </w:rPr>
              <w:t>/d</w:t>
            </w:r>
            <w:r>
              <w:rPr>
                <w:rFonts w:hint="eastAsia" w:cs="Times New Roman"/>
                <w:color w:val="auto"/>
                <w:sz w:val="24"/>
                <w:szCs w:val="24"/>
                <w:lang w:eastAsia="zh-CN"/>
              </w:rPr>
              <w:t>。</w:t>
            </w:r>
            <w:r>
              <w:rPr>
                <w:rFonts w:hint="eastAsia" w:cs="Times New Roman"/>
                <w:color w:val="auto"/>
                <w:sz w:val="24"/>
                <w:szCs w:val="24"/>
              </w:rPr>
              <w:t>本项目取水量约</w:t>
            </w:r>
            <w:r>
              <w:rPr>
                <w:rFonts w:cs="Times New Roman"/>
                <w:color w:val="auto"/>
                <w:sz w:val="24"/>
                <w:szCs w:val="24"/>
              </w:rPr>
              <w:t>20</w:t>
            </w:r>
            <w:r>
              <w:rPr>
                <w:rFonts w:hint="eastAsia" w:cs="Times New Roman"/>
                <w:color w:val="auto"/>
                <w:sz w:val="24"/>
                <w:szCs w:val="24"/>
                <w:lang w:val="en-US" w:eastAsia="zh-CN"/>
              </w:rPr>
              <w:t>000</w:t>
            </w:r>
            <w:r>
              <w:rPr>
                <w:rFonts w:cs="Times New Roman"/>
                <w:color w:val="auto"/>
                <w:sz w:val="24"/>
                <w:szCs w:val="24"/>
              </w:rPr>
              <w:t>m</w:t>
            </w:r>
            <w:r>
              <w:rPr>
                <w:rFonts w:cs="Times New Roman"/>
                <w:color w:val="auto"/>
                <w:sz w:val="24"/>
                <w:szCs w:val="24"/>
                <w:vertAlign w:val="superscript"/>
              </w:rPr>
              <w:t>3</w:t>
            </w:r>
            <w:r>
              <w:rPr>
                <w:rFonts w:cs="Times New Roman"/>
                <w:color w:val="auto"/>
                <w:sz w:val="24"/>
                <w:szCs w:val="24"/>
              </w:rPr>
              <w:t>/d</w:t>
            </w:r>
            <w:r>
              <w:rPr>
                <w:rFonts w:hint="eastAsia" w:cs="Times New Roman"/>
                <w:color w:val="auto"/>
                <w:sz w:val="24"/>
                <w:szCs w:val="24"/>
              </w:rPr>
              <w:t>，未超出</w:t>
            </w:r>
            <w:r>
              <w:rPr>
                <w:rFonts w:hint="eastAsia" w:cs="Times New Roman"/>
                <w:color w:val="auto"/>
                <w:sz w:val="24"/>
                <w:szCs w:val="24"/>
                <w:lang w:val="en-US" w:eastAsia="zh-CN"/>
              </w:rPr>
              <w:t>6</w:t>
            </w:r>
            <w:r>
              <w:rPr>
                <w:rFonts w:cs="Times New Roman"/>
                <w:color w:val="auto"/>
                <w:sz w:val="24"/>
                <w:szCs w:val="24"/>
              </w:rPr>
              <w:t>万m</w:t>
            </w:r>
            <w:r>
              <w:rPr>
                <w:rFonts w:cs="Times New Roman"/>
                <w:color w:val="auto"/>
                <w:sz w:val="24"/>
                <w:szCs w:val="24"/>
                <w:vertAlign w:val="superscript"/>
              </w:rPr>
              <w:t>3</w:t>
            </w:r>
            <w:r>
              <w:rPr>
                <w:rFonts w:cs="Times New Roman"/>
                <w:color w:val="auto"/>
                <w:sz w:val="24"/>
                <w:szCs w:val="24"/>
              </w:rPr>
              <w:t>/d，</w:t>
            </w:r>
            <w:r>
              <w:rPr>
                <w:rFonts w:hint="eastAsia" w:cs="Times New Roman"/>
                <w:color w:val="auto"/>
                <w:sz w:val="24"/>
                <w:szCs w:val="24"/>
                <w:lang w:eastAsia="zh-CN"/>
              </w:rPr>
              <w:t>徐家坡水厂</w:t>
            </w:r>
            <w:r>
              <w:rPr>
                <w:rFonts w:cs="Times New Roman"/>
                <w:color w:val="auto"/>
                <w:sz w:val="24"/>
                <w:szCs w:val="24"/>
              </w:rPr>
              <w:t>取水量满足项目建设需求</w:t>
            </w:r>
            <w:r>
              <w:rPr>
                <w:rFonts w:hint="eastAsia" w:cs="Times New Roman"/>
                <w:color w:val="auto"/>
                <w:sz w:val="24"/>
                <w:szCs w:val="24"/>
              </w:rPr>
              <w:t>。</w:t>
            </w:r>
          </w:p>
          <w:p>
            <w:pPr>
              <w:spacing w:line="360" w:lineRule="auto"/>
              <w:ind w:firstLine="482" w:firstLineChars="200"/>
              <w:rPr>
                <w:rFonts w:cs="Times New Roman"/>
                <w:b/>
                <w:color w:val="auto"/>
                <w:sz w:val="24"/>
                <w:szCs w:val="24"/>
              </w:rPr>
            </w:pPr>
            <w:r>
              <w:rPr>
                <w:rFonts w:cs="Times New Roman"/>
                <w:b/>
                <w:color w:val="auto"/>
                <w:sz w:val="24"/>
                <w:szCs w:val="24"/>
              </w:rPr>
              <w:t>（</w:t>
            </w:r>
            <w:r>
              <w:rPr>
                <w:rFonts w:hint="eastAsia" w:cs="Times New Roman"/>
                <w:b/>
                <w:color w:val="auto"/>
                <w:sz w:val="24"/>
                <w:szCs w:val="24"/>
                <w:lang w:val="en-US" w:eastAsia="zh-CN"/>
              </w:rPr>
              <w:t>3</w:t>
            </w:r>
            <w:r>
              <w:rPr>
                <w:rFonts w:hint="eastAsia" w:cs="Times New Roman"/>
                <w:b/>
                <w:color w:val="auto"/>
                <w:sz w:val="24"/>
                <w:szCs w:val="24"/>
              </w:rPr>
              <w:t>）原水输水管工程</w:t>
            </w:r>
          </w:p>
          <w:p>
            <w:pPr>
              <w:spacing w:line="360" w:lineRule="auto"/>
              <w:ind w:firstLine="482" w:firstLineChars="200"/>
              <w:rPr>
                <w:rFonts w:cs="Times New Roman"/>
                <w:b/>
                <w:color w:val="auto"/>
                <w:sz w:val="24"/>
                <w:szCs w:val="24"/>
              </w:rPr>
            </w:pPr>
            <w:r>
              <w:rPr>
                <w:rFonts w:hint="eastAsia" w:cs="Times New Roman"/>
                <w:b/>
                <w:color w:val="auto"/>
                <w:sz w:val="24"/>
                <w:szCs w:val="24"/>
              </w:rPr>
              <w:t>①管线比选方案</w:t>
            </w:r>
          </w:p>
          <w:p>
            <w:pPr>
              <w:spacing w:line="360" w:lineRule="auto"/>
              <w:ind w:firstLine="480" w:firstLineChars="200"/>
              <w:rPr>
                <w:rFonts w:cs="Times New Roman"/>
                <w:color w:val="auto"/>
                <w:sz w:val="24"/>
                <w:szCs w:val="24"/>
              </w:rPr>
            </w:pPr>
            <w:r>
              <w:rPr>
                <w:rFonts w:hint="eastAsia" w:cs="Times New Roman"/>
                <w:color w:val="auto"/>
                <w:sz w:val="24"/>
                <w:szCs w:val="24"/>
              </w:rPr>
              <w:t>根据</w:t>
            </w:r>
            <w:r>
              <w:rPr>
                <w:rFonts w:hint="eastAsia" w:cs="Times New Roman"/>
                <w:color w:val="auto"/>
                <w:sz w:val="24"/>
                <w:szCs w:val="24"/>
                <w:lang w:val="en-US" w:eastAsia="zh-CN"/>
              </w:rPr>
              <w:t>项目与</w:t>
            </w:r>
            <w:r>
              <w:rPr>
                <w:rFonts w:hint="eastAsia" w:cs="Times New Roman"/>
                <w:color w:val="auto"/>
                <w:sz w:val="24"/>
                <w:szCs w:val="24"/>
                <w:lang w:eastAsia="zh-CN"/>
              </w:rPr>
              <w:t>徐家坡水厂</w:t>
            </w:r>
            <w:r>
              <w:rPr>
                <w:rFonts w:hint="eastAsia" w:cs="Times New Roman"/>
                <w:color w:val="auto"/>
                <w:sz w:val="24"/>
                <w:szCs w:val="24"/>
                <w:lang w:val="en-US" w:eastAsia="zh-CN"/>
              </w:rPr>
              <w:t>的位置关系，</w:t>
            </w:r>
            <w:r>
              <w:rPr>
                <w:rFonts w:cs="Times New Roman"/>
                <w:color w:val="auto"/>
                <w:sz w:val="24"/>
                <w:szCs w:val="24"/>
              </w:rPr>
              <w:t>本项目原水输水管道拟定两种设计方案，其中：</w:t>
            </w:r>
          </w:p>
          <w:p>
            <w:pPr>
              <w:spacing w:line="360" w:lineRule="auto"/>
              <w:ind w:firstLine="482" w:firstLineChars="200"/>
              <w:rPr>
                <w:rFonts w:cs="Times New Roman"/>
                <w:color w:val="auto"/>
                <w:sz w:val="24"/>
                <w:szCs w:val="24"/>
              </w:rPr>
            </w:pPr>
            <w:r>
              <w:rPr>
                <w:rFonts w:cs="Times New Roman"/>
                <w:b/>
                <w:color w:val="auto"/>
                <w:sz w:val="24"/>
                <w:szCs w:val="24"/>
              </w:rPr>
              <w:t>方案一</w:t>
            </w:r>
            <w:r>
              <w:rPr>
                <w:rFonts w:cs="Times New Roman"/>
                <w:color w:val="auto"/>
                <w:sz w:val="24"/>
                <w:szCs w:val="24"/>
              </w:rPr>
              <w:t>：</w:t>
            </w:r>
            <w:r>
              <w:rPr>
                <w:rFonts w:hint="eastAsia" w:cs="Times New Roman"/>
                <w:color w:val="auto"/>
                <w:sz w:val="24"/>
                <w:szCs w:val="24"/>
              </w:rPr>
              <w:t>自原水输水管线接管</w:t>
            </w:r>
            <w:r>
              <w:rPr>
                <w:rFonts w:hint="eastAsia" w:cs="Times New Roman"/>
                <w:color w:val="auto"/>
                <w:sz w:val="24"/>
                <w:szCs w:val="24"/>
                <w:lang w:val="en-US" w:eastAsia="zh-CN"/>
              </w:rPr>
              <w:t>直接跨越后河，接到169县道，然后沿169县道敷设到本项目水厂。</w:t>
            </w:r>
          </w:p>
          <w:p>
            <w:pPr>
              <w:spacing w:line="360" w:lineRule="auto"/>
              <w:ind w:firstLine="482" w:firstLineChars="200"/>
              <w:rPr>
                <w:rFonts w:cs="Times New Roman"/>
                <w:color w:val="auto"/>
                <w:sz w:val="24"/>
                <w:szCs w:val="24"/>
              </w:rPr>
            </w:pPr>
            <w:r>
              <w:rPr>
                <w:rFonts w:cs="Times New Roman"/>
                <w:b/>
                <w:color w:val="auto"/>
                <w:sz w:val="24"/>
                <w:szCs w:val="24"/>
              </w:rPr>
              <w:t>方案</w:t>
            </w:r>
            <w:r>
              <w:rPr>
                <w:rFonts w:hint="eastAsia" w:cs="Times New Roman"/>
                <w:b/>
                <w:color w:val="auto"/>
                <w:sz w:val="24"/>
                <w:szCs w:val="24"/>
              </w:rPr>
              <w:t>二</w:t>
            </w:r>
            <w:r>
              <w:rPr>
                <w:rFonts w:cs="Times New Roman"/>
                <w:color w:val="auto"/>
                <w:sz w:val="24"/>
                <w:szCs w:val="24"/>
              </w:rPr>
              <w:t>：</w:t>
            </w:r>
            <w:r>
              <w:rPr>
                <w:rFonts w:hint="eastAsia" w:cs="Times New Roman"/>
                <w:color w:val="auto"/>
                <w:sz w:val="24"/>
                <w:szCs w:val="24"/>
              </w:rPr>
              <w:t>自原水输水管线接管</w:t>
            </w:r>
            <w:r>
              <w:rPr>
                <w:rFonts w:hint="eastAsia" w:cs="Times New Roman"/>
                <w:color w:val="auto"/>
                <w:sz w:val="24"/>
                <w:szCs w:val="24"/>
                <w:lang w:val="en-US" w:eastAsia="zh-CN"/>
              </w:rPr>
              <w:t>沿现有道路敷设至明月大桥，再经169县道敷设到本项目水厂。</w:t>
            </w:r>
          </w:p>
          <w:p>
            <w:pPr>
              <w:spacing w:line="360" w:lineRule="auto"/>
              <w:jc w:val="center"/>
              <w:rPr>
                <w:rFonts w:cs="Times New Roman"/>
                <w:color w:val="auto"/>
                <w:sz w:val="24"/>
                <w:szCs w:val="24"/>
              </w:rPr>
            </w:pPr>
            <w:r>
              <w:rPr>
                <w:color w:val="auto"/>
              </w:rPr>
              <w:drawing>
                <wp:inline distT="0" distB="0" distL="114300" distR="114300">
                  <wp:extent cx="5162550" cy="5724525"/>
                  <wp:effectExtent l="0" t="0" r="0" b="952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7"/>
                          <a:stretch>
                            <a:fillRect/>
                          </a:stretch>
                        </pic:blipFill>
                        <pic:spPr>
                          <a:xfrm>
                            <a:off x="0" y="0"/>
                            <a:ext cx="5162550" cy="5724525"/>
                          </a:xfrm>
                          <a:prstGeom prst="rect">
                            <a:avLst/>
                          </a:prstGeom>
                          <a:noFill/>
                          <a:ln>
                            <a:noFill/>
                          </a:ln>
                        </pic:spPr>
                      </pic:pic>
                    </a:graphicData>
                  </a:graphic>
                </wp:inline>
              </w:drawing>
            </w:r>
          </w:p>
          <w:p>
            <w:pPr>
              <w:spacing w:line="360" w:lineRule="auto"/>
              <w:jc w:val="center"/>
              <w:rPr>
                <w:rFonts w:eastAsia="黑体" w:cs="Times New Roman"/>
                <w:color w:val="auto"/>
                <w:szCs w:val="21"/>
              </w:rPr>
            </w:pPr>
            <w:r>
              <w:rPr>
                <w:rFonts w:eastAsia="黑体" w:cs="Times New Roman"/>
                <w:color w:val="auto"/>
                <w:szCs w:val="21"/>
              </w:rPr>
              <w:t xml:space="preserve">图2-1  </w:t>
            </w:r>
            <w:r>
              <w:rPr>
                <w:rFonts w:hint="eastAsia" w:eastAsia="黑体" w:cs="Times New Roman"/>
                <w:color w:val="auto"/>
                <w:szCs w:val="21"/>
                <w:lang w:val="en-US" w:eastAsia="zh-CN"/>
              </w:rPr>
              <w:t>方案一管线敷设</w:t>
            </w:r>
            <w:r>
              <w:rPr>
                <w:rFonts w:eastAsia="黑体" w:cs="Times New Roman"/>
                <w:color w:val="auto"/>
                <w:szCs w:val="21"/>
              </w:rPr>
              <w:t>图</w:t>
            </w:r>
          </w:p>
          <w:p>
            <w:pPr>
              <w:spacing w:line="360" w:lineRule="auto"/>
              <w:jc w:val="center"/>
              <w:rPr>
                <w:rFonts w:eastAsia="黑体" w:cs="Times New Roman"/>
                <w:color w:val="auto"/>
                <w:szCs w:val="21"/>
              </w:rPr>
            </w:pPr>
            <w:r>
              <w:rPr>
                <w:color w:val="auto"/>
              </w:rPr>
              <w:drawing>
                <wp:inline distT="0" distB="0" distL="114300" distR="114300">
                  <wp:extent cx="4352290" cy="5593080"/>
                  <wp:effectExtent l="0" t="0" r="10160" b="762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8"/>
                          <a:stretch>
                            <a:fillRect/>
                          </a:stretch>
                        </pic:blipFill>
                        <pic:spPr>
                          <a:xfrm>
                            <a:off x="0" y="0"/>
                            <a:ext cx="4352290" cy="5593080"/>
                          </a:xfrm>
                          <a:prstGeom prst="rect">
                            <a:avLst/>
                          </a:prstGeom>
                          <a:noFill/>
                          <a:ln>
                            <a:noFill/>
                          </a:ln>
                        </pic:spPr>
                      </pic:pic>
                    </a:graphicData>
                  </a:graphic>
                </wp:inline>
              </w:drawing>
            </w:r>
          </w:p>
          <w:p>
            <w:pPr>
              <w:spacing w:line="360" w:lineRule="auto"/>
              <w:jc w:val="center"/>
              <w:rPr>
                <w:rFonts w:eastAsia="黑体" w:cs="Times New Roman"/>
                <w:color w:val="auto"/>
                <w:szCs w:val="21"/>
              </w:rPr>
            </w:pPr>
            <w:r>
              <w:rPr>
                <w:rFonts w:eastAsia="黑体" w:cs="Times New Roman"/>
                <w:color w:val="auto"/>
                <w:szCs w:val="21"/>
              </w:rPr>
              <w:t xml:space="preserve">图2-2  </w:t>
            </w:r>
            <w:r>
              <w:rPr>
                <w:rFonts w:hint="eastAsia" w:eastAsia="黑体" w:cs="Times New Roman"/>
                <w:color w:val="auto"/>
                <w:szCs w:val="21"/>
                <w:lang w:val="en-US" w:eastAsia="zh-CN"/>
              </w:rPr>
              <w:t>方案二管线敷设</w:t>
            </w:r>
            <w:r>
              <w:rPr>
                <w:rFonts w:eastAsia="黑体" w:cs="Times New Roman"/>
                <w:color w:val="auto"/>
                <w:szCs w:val="21"/>
              </w:rPr>
              <w:t>图</w:t>
            </w:r>
          </w:p>
          <w:p>
            <w:pPr>
              <w:spacing w:line="360" w:lineRule="auto"/>
              <w:ind w:firstLine="480" w:firstLineChars="200"/>
              <w:rPr>
                <w:rFonts w:cs="Times New Roman"/>
                <w:color w:val="auto"/>
                <w:sz w:val="24"/>
                <w:szCs w:val="24"/>
              </w:rPr>
            </w:pPr>
            <w:r>
              <w:rPr>
                <w:rFonts w:cs="Times New Roman"/>
                <w:color w:val="auto"/>
                <w:sz w:val="24"/>
                <w:szCs w:val="24"/>
              </w:rPr>
              <w:t>本项目方案一和方案二优缺点比较</w:t>
            </w:r>
            <w:r>
              <w:rPr>
                <w:rFonts w:hint="eastAsia" w:cs="Times New Roman"/>
                <w:color w:val="auto"/>
                <w:sz w:val="24"/>
                <w:szCs w:val="24"/>
              </w:rPr>
              <w:t>情况</w:t>
            </w:r>
            <w:r>
              <w:rPr>
                <w:rFonts w:cs="Times New Roman"/>
                <w:color w:val="auto"/>
                <w:sz w:val="24"/>
                <w:szCs w:val="24"/>
              </w:rPr>
              <w:t>见下表。</w:t>
            </w:r>
          </w:p>
          <w:p>
            <w:pPr>
              <w:spacing w:line="360" w:lineRule="auto"/>
              <w:jc w:val="center"/>
              <w:rPr>
                <w:rFonts w:ascii="黑体" w:hAnsi="黑体" w:eastAsia="黑体"/>
                <w:color w:val="auto"/>
                <w:szCs w:val="21"/>
              </w:rPr>
            </w:pPr>
            <w:r>
              <w:rPr>
                <w:rFonts w:hint="eastAsia" w:ascii="黑体" w:hAnsi="黑体" w:eastAsia="黑体"/>
                <w:color w:val="auto"/>
                <w:szCs w:val="21"/>
              </w:rPr>
              <w:t>表</w:t>
            </w:r>
            <w:r>
              <w:rPr>
                <w:rFonts w:eastAsia="黑体" w:cstheme="minorHAnsi"/>
                <w:color w:val="auto"/>
                <w:szCs w:val="21"/>
              </w:rPr>
              <w:t>2-3  不同</w:t>
            </w:r>
            <w:r>
              <w:rPr>
                <w:rFonts w:hint="eastAsia" w:ascii="黑体" w:hAnsi="黑体" w:eastAsia="黑体"/>
                <w:color w:val="auto"/>
                <w:szCs w:val="21"/>
              </w:rPr>
              <w:t>方案优缺点比较表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1"/>
              <w:gridCol w:w="3126"/>
              <w:gridCol w:w="4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pct"/>
                  <w:vAlign w:val="center"/>
                </w:tcPr>
                <w:p>
                  <w:pPr>
                    <w:jc w:val="center"/>
                    <w:rPr>
                      <w:rFonts w:cs="Times New Roman"/>
                      <w:color w:val="auto"/>
                      <w:szCs w:val="21"/>
                    </w:rPr>
                  </w:pPr>
                  <w:r>
                    <w:rPr>
                      <w:rFonts w:hint="eastAsia" w:cs="Times New Roman"/>
                      <w:color w:val="auto"/>
                      <w:szCs w:val="21"/>
                    </w:rPr>
                    <w:t>方案</w:t>
                  </w:r>
                </w:p>
              </w:tc>
              <w:tc>
                <w:tcPr>
                  <w:tcW w:w="1803" w:type="pct"/>
                  <w:vAlign w:val="center"/>
                </w:tcPr>
                <w:p>
                  <w:pPr>
                    <w:jc w:val="center"/>
                    <w:rPr>
                      <w:rFonts w:cs="Times New Roman"/>
                      <w:color w:val="auto"/>
                      <w:szCs w:val="21"/>
                    </w:rPr>
                  </w:pPr>
                  <w:r>
                    <w:rPr>
                      <w:rFonts w:hint="eastAsia" w:cs="Times New Roman"/>
                      <w:color w:val="auto"/>
                      <w:szCs w:val="21"/>
                    </w:rPr>
                    <w:t>优点</w:t>
                  </w:r>
                </w:p>
              </w:tc>
              <w:tc>
                <w:tcPr>
                  <w:tcW w:w="2382" w:type="pct"/>
                  <w:vAlign w:val="center"/>
                </w:tcPr>
                <w:p>
                  <w:pPr>
                    <w:jc w:val="center"/>
                    <w:rPr>
                      <w:rFonts w:cs="Times New Roman"/>
                      <w:color w:val="auto"/>
                      <w:szCs w:val="21"/>
                    </w:rPr>
                  </w:pPr>
                  <w:r>
                    <w:rPr>
                      <w:rFonts w:cs="Times New Roman"/>
                      <w:color w:val="auto"/>
                      <w:szCs w:val="21"/>
                    </w:rPr>
                    <w:t>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14" w:type="pct"/>
                  <w:vAlign w:val="center"/>
                </w:tcPr>
                <w:p>
                  <w:pPr>
                    <w:jc w:val="center"/>
                    <w:rPr>
                      <w:rFonts w:cs="Times New Roman"/>
                      <w:color w:val="auto"/>
                      <w:szCs w:val="21"/>
                    </w:rPr>
                  </w:pPr>
                  <w:r>
                    <w:rPr>
                      <w:rFonts w:hint="eastAsia" w:cs="Times New Roman"/>
                      <w:color w:val="auto"/>
                      <w:szCs w:val="21"/>
                    </w:rPr>
                    <w:t>方案一</w:t>
                  </w:r>
                </w:p>
              </w:tc>
              <w:tc>
                <w:tcPr>
                  <w:tcW w:w="1803" w:type="pct"/>
                  <w:vAlign w:val="center"/>
                </w:tcPr>
                <w:p>
                  <w:pPr>
                    <w:rPr>
                      <w:rFonts w:cs="Times New Roman"/>
                      <w:color w:val="auto"/>
                      <w:szCs w:val="21"/>
                    </w:rPr>
                  </w:pPr>
                  <w:r>
                    <w:rPr>
                      <w:rFonts w:hint="eastAsia" w:cs="Times New Roman"/>
                      <w:color w:val="auto"/>
                      <w:szCs w:val="21"/>
                    </w:rPr>
                    <w:t>1、</w:t>
                  </w:r>
                  <w:r>
                    <w:rPr>
                      <w:rFonts w:hint="eastAsia" w:cs="Times New Roman"/>
                      <w:color w:val="auto"/>
                      <w:szCs w:val="21"/>
                      <w:lang w:val="en-US" w:eastAsia="zh-CN"/>
                    </w:rPr>
                    <w:t>线路较短</w:t>
                  </w:r>
                  <w:r>
                    <w:rPr>
                      <w:rFonts w:hint="eastAsia" w:cs="Times New Roman"/>
                      <w:color w:val="auto"/>
                      <w:szCs w:val="21"/>
                    </w:rPr>
                    <w:t>。</w:t>
                  </w:r>
                </w:p>
              </w:tc>
              <w:tc>
                <w:tcPr>
                  <w:tcW w:w="2382" w:type="pct"/>
                  <w:vAlign w:val="center"/>
                </w:tcPr>
                <w:p>
                  <w:pPr>
                    <w:rPr>
                      <w:rFonts w:hint="eastAsia" w:cs="Times New Roman"/>
                      <w:color w:val="auto"/>
                      <w:szCs w:val="21"/>
                      <w:lang w:val="en-US" w:eastAsia="zh-CN"/>
                    </w:rPr>
                  </w:pPr>
                  <w:r>
                    <w:rPr>
                      <w:rFonts w:hint="eastAsia" w:cs="Times New Roman"/>
                      <w:color w:val="auto"/>
                      <w:szCs w:val="21"/>
                    </w:rPr>
                    <w:t>1、</w:t>
                  </w:r>
                  <w:r>
                    <w:rPr>
                      <w:rFonts w:hint="eastAsia" w:cs="Times New Roman"/>
                      <w:color w:val="auto"/>
                      <w:szCs w:val="21"/>
                      <w:lang w:val="en-US" w:eastAsia="zh-CN"/>
                    </w:rPr>
                    <w:t>跨越后河，需进行穿越或者架空敷设；</w:t>
                  </w:r>
                </w:p>
                <w:p>
                  <w:pPr>
                    <w:rPr>
                      <w:rFonts w:cs="Times New Roman"/>
                      <w:color w:val="auto"/>
                      <w:szCs w:val="21"/>
                    </w:rPr>
                  </w:pPr>
                  <w:r>
                    <w:rPr>
                      <w:rFonts w:hint="eastAsia" w:cs="Times New Roman"/>
                      <w:color w:val="auto"/>
                      <w:szCs w:val="21"/>
                      <w:lang w:val="en-US" w:eastAsia="zh-CN"/>
                    </w:rPr>
                    <w:t>2、不便于检修</w:t>
                  </w:r>
                  <w:r>
                    <w:rPr>
                      <w:rFonts w:hint="eastAsia"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pct"/>
                  <w:vAlign w:val="center"/>
                </w:tcPr>
                <w:p>
                  <w:pPr>
                    <w:jc w:val="center"/>
                    <w:rPr>
                      <w:rFonts w:cs="Times New Roman"/>
                      <w:color w:val="auto"/>
                      <w:szCs w:val="21"/>
                    </w:rPr>
                  </w:pPr>
                  <w:r>
                    <w:rPr>
                      <w:rFonts w:hint="eastAsia" w:cs="Times New Roman"/>
                      <w:color w:val="auto"/>
                      <w:szCs w:val="21"/>
                    </w:rPr>
                    <w:t>方案二</w:t>
                  </w:r>
                </w:p>
              </w:tc>
              <w:tc>
                <w:tcPr>
                  <w:tcW w:w="1803" w:type="pct"/>
                  <w:vAlign w:val="center"/>
                </w:tcPr>
                <w:p>
                  <w:pPr>
                    <w:numPr>
                      <w:ilvl w:val="0"/>
                      <w:numId w:val="1"/>
                    </w:numPr>
                    <w:rPr>
                      <w:rFonts w:hint="eastAsia" w:cs="Times New Roman"/>
                      <w:color w:val="auto"/>
                      <w:szCs w:val="21"/>
                      <w:lang w:val="en-US" w:eastAsia="zh-CN"/>
                    </w:rPr>
                  </w:pPr>
                  <w:r>
                    <w:rPr>
                      <w:rFonts w:hint="eastAsia" w:cs="Times New Roman"/>
                      <w:color w:val="auto"/>
                      <w:szCs w:val="21"/>
                      <w:lang w:val="en-US" w:eastAsia="zh-CN"/>
                    </w:rPr>
                    <w:t>不需要直接跨河；</w:t>
                  </w:r>
                </w:p>
                <w:p>
                  <w:pPr>
                    <w:numPr>
                      <w:ilvl w:val="0"/>
                      <w:numId w:val="1"/>
                    </w:numPr>
                    <w:rPr>
                      <w:rFonts w:cs="Times New Roman"/>
                      <w:color w:val="auto"/>
                      <w:szCs w:val="21"/>
                    </w:rPr>
                  </w:pPr>
                  <w:r>
                    <w:rPr>
                      <w:rFonts w:hint="eastAsia" w:cs="Times New Roman"/>
                      <w:color w:val="auto"/>
                      <w:szCs w:val="21"/>
                      <w:lang w:val="en-US" w:eastAsia="zh-CN"/>
                    </w:rPr>
                    <w:t>检修方便</w:t>
                  </w:r>
                  <w:r>
                    <w:rPr>
                      <w:rFonts w:hint="eastAsia" w:cs="Times New Roman"/>
                      <w:color w:val="auto"/>
                      <w:szCs w:val="21"/>
                    </w:rPr>
                    <w:t>。</w:t>
                  </w:r>
                </w:p>
              </w:tc>
              <w:tc>
                <w:tcPr>
                  <w:tcW w:w="2382" w:type="pct"/>
                  <w:vAlign w:val="center"/>
                </w:tcPr>
                <w:p>
                  <w:pPr>
                    <w:rPr>
                      <w:rFonts w:cs="Times New Roman"/>
                      <w:color w:val="auto"/>
                      <w:szCs w:val="21"/>
                    </w:rPr>
                  </w:pPr>
                  <w:r>
                    <w:rPr>
                      <w:rFonts w:hint="eastAsia" w:cs="Times New Roman"/>
                      <w:color w:val="auto"/>
                      <w:szCs w:val="21"/>
                    </w:rPr>
                    <w:t>1、需破除道路</w:t>
                  </w:r>
                  <w:r>
                    <w:rPr>
                      <w:rFonts w:hint="eastAsia" w:cs="Times New Roman"/>
                      <w:color w:val="auto"/>
                      <w:szCs w:val="21"/>
                      <w:lang w:val="en-US" w:eastAsia="zh-CN"/>
                    </w:rPr>
                    <w:t>2</w:t>
                  </w:r>
                  <w:r>
                    <w:rPr>
                      <w:rFonts w:hint="eastAsia" w:cs="Times New Roman"/>
                      <w:color w:val="auto"/>
                      <w:szCs w:val="21"/>
                    </w:rPr>
                    <w:t>处；</w:t>
                  </w:r>
                </w:p>
                <w:p>
                  <w:pPr>
                    <w:rPr>
                      <w:rFonts w:cs="Times New Roman"/>
                      <w:color w:val="auto"/>
                      <w:szCs w:val="21"/>
                    </w:rPr>
                  </w:pPr>
                  <w:r>
                    <w:rPr>
                      <w:rFonts w:hint="eastAsia" w:cs="Times New Roman"/>
                      <w:color w:val="auto"/>
                      <w:szCs w:val="21"/>
                    </w:rPr>
                    <w:t>2、</w:t>
                  </w:r>
                  <w:r>
                    <w:rPr>
                      <w:rFonts w:hint="eastAsia" w:cs="Times New Roman"/>
                      <w:color w:val="auto"/>
                      <w:szCs w:val="21"/>
                      <w:lang w:val="en-US" w:eastAsia="zh-CN"/>
                    </w:rPr>
                    <w:t>管线较长</w:t>
                  </w:r>
                  <w:r>
                    <w:rPr>
                      <w:rFonts w:hint="eastAsia" w:cs="Times New Roman"/>
                      <w:color w:val="auto"/>
                      <w:szCs w:val="21"/>
                    </w:rPr>
                    <w:t>。</w:t>
                  </w:r>
                </w:p>
              </w:tc>
            </w:tr>
          </w:tbl>
          <w:p>
            <w:pPr>
              <w:spacing w:line="360" w:lineRule="auto"/>
              <w:ind w:firstLine="482" w:firstLineChars="200"/>
              <w:rPr>
                <w:rFonts w:cs="Times New Roman"/>
                <w:b/>
                <w:color w:val="auto"/>
                <w:sz w:val="24"/>
                <w:szCs w:val="24"/>
              </w:rPr>
            </w:pPr>
            <w:r>
              <w:rPr>
                <w:rFonts w:cs="Times New Roman"/>
                <w:b/>
                <w:color w:val="auto"/>
                <w:sz w:val="24"/>
                <w:szCs w:val="24"/>
              </w:rPr>
              <w:t>根据上述比较，本项目</w:t>
            </w:r>
            <w:r>
              <w:rPr>
                <w:rFonts w:hint="eastAsia" w:cs="Times New Roman"/>
                <w:b/>
                <w:color w:val="auto"/>
                <w:sz w:val="24"/>
                <w:szCs w:val="24"/>
                <w:lang w:val="en-US" w:eastAsia="zh-CN"/>
              </w:rPr>
              <w:t>选择</w:t>
            </w:r>
            <w:r>
              <w:rPr>
                <w:rFonts w:hint="eastAsia" w:cs="Times New Roman"/>
                <w:b/>
                <w:color w:val="auto"/>
                <w:sz w:val="24"/>
                <w:szCs w:val="24"/>
              </w:rPr>
              <w:t>方案二。</w:t>
            </w:r>
          </w:p>
          <w:p>
            <w:pPr>
              <w:spacing w:line="360" w:lineRule="auto"/>
              <w:ind w:firstLine="482" w:firstLineChars="200"/>
              <w:rPr>
                <w:rFonts w:cs="Times New Roman"/>
                <w:b/>
                <w:color w:val="auto"/>
                <w:sz w:val="24"/>
                <w:szCs w:val="24"/>
              </w:rPr>
            </w:pPr>
            <w:r>
              <w:rPr>
                <w:rFonts w:hint="eastAsia" w:cs="Times New Roman"/>
                <w:b/>
                <w:color w:val="auto"/>
                <w:sz w:val="24"/>
                <w:szCs w:val="24"/>
              </w:rPr>
              <w:t>②管线设计方案</w:t>
            </w:r>
          </w:p>
          <w:p>
            <w:pPr>
              <w:spacing w:line="360" w:lineRule="auto"/>
              <w:ind w:firstLine="480" w:firstLineChars="200"/>
              <w:rPr>
                <w:rFonts w:cs="Times New Roman"/>
                <w:color w:val="auto"/>
                <w:sz w:val="24"/>
                <w:szCs w:val="24"/>
              </w:rPr>
            </w:pPr>
            <w:r>
              <w:rPr>
                <w:rFonts w:hint="eastAsia" w:cs="Times New Roman"/>
                <w:color w:val="auto"/>
                <w:sz w:val="24"/>
                <w:szCs w:val="24"/>
              </w:rPr>
              <w:t>项目原水输水管设计管径DN</w:t>
            </w:r>
            <w:r>
              <w:rPr>
                <w:rFonts w:cs="Times New Roman"/>
                <w:color w:val="auto"/>
                <w:sz w:val="24"/>
                <w:szCs w:val="24"/>
              </w:rPr>
              <w:t>500</w:t>
            </w:r>
            <w:r>
              <w:rPr>
                <w:rFonts w:hint="eastAsia" w:cs="Times New Roman"/>
                <w:color w:val="auto"/>
                <w:sz w:val="24"/>
                <w:szCs w:val="24"/>
              </w:rPr>
              <w:t>，输水管道</w:t>
            </w:r>
            <w:r>
              <w:rPr>
                <w:rFonts w:hint="eastAsia" w:cs="Times New Roman"/>
                <w:color w:val="auto"/>
                <w:sz w:val="24"/>
                <w:szCs w:val="24"/>
                <w:lang w:val="en-US" w:eastAsia="zh-CN"/>
              </w:rPr>
              <w:t>沿现有道路</w:t>
            </w:r>
            <w:r>
              <w:rPr>
                <w:rFonts w:hint="eastAsia" w:cs="Times New Roman"/>
                <w:color w:val="auto"/>
                <w:sz w:val="24"/>
                <w:szCs w:val="24"/>
              </w:rPr>
              <w:t>敷设（在</w:t>
            </w:r>
            <w:r>
              <w:rPr>
                <w:rFonts w:hint="eastAsia" w:cs="Times New Roman"/>
                <w:color w:val="auto"/>
                <w:sz w:val="24"/>
                <w:szCs w:val="24"/>
                <w:lang w:val="en-US" w:eastAsia="zh-CN"/>
              </w:rPr>
              <w:t>明月大桥处采用悬挂敷设</w:t>
            </w:r>
            <w:r>
              <w:rPr>
                <w:rFonts w:hint="eastAsia" w:cs="Times New Roman"/>
                <w:color w:val="auto"/>
                <w:sz w:val="24"/>
                <w:szCs w:val="24"/>
              </w:rPr>
              <w:t>），沿线比较顺直，管材采用球墨铸铁管。</w:t>
            </w:r>
          </w:p>
          <w:p>
            <w:pPr>
              <w:spacing w:line="360" w:lineRule="auto"/>
              <w:ind w:firstLine="480" w:firstLineChars="200"/>
              <w:rPr>
                <w:rFonts w:cs="Times New Roman"/>
                <w:color w:val="auto"/>
                <w:sz w:val="24"/>
                <w:szCs w:val="24"/>
              </w:rPr>
            </w:pPr>
            <w:r>
              <w:rPr>
                <w:rFonts w:hint="eastAsia" w:cs="Times New Roman"/>
                <w:color w:val="auto"/>
                <w:sz w:val="24"/>
                <w:szCs w:val="24"/>
              </w:rPr>
              <w:t>原水输水管道起于</w:t>
            </w:r>
            <w:r>
              <w:rPr>
                <w:rFonts w:hint="eastAsia" w:cs="Times New Roman"/>
                <w:color w:val="auto"/>
                <w:sz w:val="24"/>
                <w:szCs w:val="24"/>
                <w:lang w:eastAsia="zh-CN"/>
              </w:rPr>
              <w:t>后河</w:t>
            </w:r>
            <w:r>
              <w:rPr>
                <w:rFonts w:hint="eastAsia" w:cs="Times New Roman"/>
                <w:color w:val="auto"/>
                <w:sz w:val="24"/>
                <w:szCs w:val="24"/>
              </w:rPr>
              <w:t>以东</w:t>
            </w:r>
            <w:r>
              <w:rPr>
                <w:rFonts w:hint="eastAsia" w:cs="Times New Roman"/>
                <w:color w:val="auto"/>
                <w:sz w:val="24"/>
                <w:szCs w:val="24"/>
                <w:lang w:eastAsia="zh-CN"/>
              </w:rPr>
              <w:t>徐家坡水厂</w:t>
            </w:r>
            <w:r>
              <w:rPr>
                <w:rFonts w:hint="eastAsia" w:cs="Times New Roman"/>
                <w:color w:val="auto"/>
                <w:sz w:val="24"/>
                <w:szCs w:val="24"/>
              </w:rPr>
              <w:t>已建</w:t>
            </w:r>
            <w:r>
              <w:rPr>
                <w:rFonts w:hint="eastAsia" w:cs="Times New Roman"/>
                <w:color w:val="auto"/>
                <w:sz w:val="24"/>
                <w:szCs w:val="24"/>
                <w:lang w:eastAsia="zh-CN"/>
              </w:rPr>
              <w:t>DN700</w:t>
            </w:r>
            <w:r>
              <w:rPr>
                <w:rFonts w:hint="eastAsia" w:cs="Times New Roman"/>
                <w:color w:val="auto"/>
                <w:sz w:val="24"/>
                <w:szCs w:val="24"/>
              </w:rPr>
              <w:t>原水输水管道，自原水输水管线接管</w:t>
            </w:r>
            <w:r>
              <w:rPr>
                <w:rFonts w:hint="eastAsia" w:cs="Times New Roman"/>
                <w:color w:val="auto"/>
                <w:sz w:val="24"/>
                <w:szCs w:val="24"/>
                <w:lang w:val="en-US" w:eastAsia="zh-CN"/>
              </w:rPr>
              <w:t>后沿现有道路敷设</w:t>
            </w:r>
            <w:r>
              <w:rPr>
                <w:rFonts w:hint="eastAsia" w:cs="Times New Roman"/>
                <w:color w:val="auto"/>
                <w:sz w:val="24"/>
                <w:szCs w:val="24"/>
              </w:rPr>
              <w:t>，全长约</w:t>
            </w:r>
            <w:r>
              <w:rPr>
                <w:rFonts w:hint="eastAsia" w:cs="Times New Roman"/>
                <w:color w:val="auto"/>
                <w:sz w:val="24"/>
                <w:szCs w:val="24"/>
                <w:lang w:val="en-US" w:eastAsia="zh-CN"/>
              </w:rPr>
              <w:t>1.66</w:t>
            </w:r>
            <w:r>
              <w:rPr>
                <w:rFonts w:hint="eastAsia" w:cs="Times New Roman"/>
                <w:color w:val="auto"/>
                <w:sz w:val="24"/>
                <w:szCs w:val="24"/>
              </w:rPr>
              <w:t>km。</w:t>
            </w:r>
          </w:p>
          <w:p>
            <w:pPr>
              <w:spacing w:line="360" w:lineRule="auto"/>
              <w:ind w:firstLine="482" w:firstLineChars="200"/>
              <w:rPr>
                <w:rFonts w:cs="Times New Roman"/>
                <w:b/>
                <w:color w:val="auto"/>
                <w:sz w:val="24"/>
                <w:szCs w:val="24"/>
              </w:rPr>
            </w:pPr>
            <w:r>
              <w:rPr>
                <w:rFonts w:cs="Times New Roman"/>
                <w:b/>
                <w:color w:val="auto"/>
                <w:sz w:val="24"/>
                <w:szCs w:val="24"/>
              </w:rPr>
              <w:t>6</w:t>
            </w:r>
            <w:r>
              <w:rPr>
                <w:rFonts w:hint="eastAsia" w:cs="Times New Roman"/>
                <w:b/>
                <w:color w:val="auto"/>
                <w:sz w:val="24"/>
                <w:szCs w:val="24"/>
              </w:rPr>
              <w:t>、</w:t>
            </w:r>
            <w:r>
              <w:rPr>
                <w:rFonts w:cs="Times New Roman"/>
                <w:b/>
                <w:color w:val="auto"/>
                <w:sz w:val="24"/>
                <w:szCs w:val="24"/>
              </w:rPr>
              <w:t>主要生产</w:t>
            </w:r>
            <w:r>
              <w:rPr>
                <w:rFonts w:hint="eastAsia" w:cs="Times New Roman"/>
                <w:b/>
                <w:color w:val="auto"/>
                <w:sz w:val="24"/>
                <w:szCs w:val="24"/>
              </w:rPr>
              <w:t>设施信息</w:t>
            </w:r>
          </w:p>
          <w:p>
            <w:pPr>
              <w:spacing w:line="360" w:lineRule="auto"/>
              <w:ind w:firstLine="480" w:firstLineChars="200"/>
              <w:rPr>
                <w:color w:val="auto"/>
                <w:kern w:val="24"/>
                <w:sz w:val="24"/>
                <w:szCs w:val="24"/>
              </w:rPr>
            </w:pPr>
            <w:r>
              <w:rPr>
                <w:rFonts w:hint="eastAsia"/>
                <w:color w:val="auto"/>
                <w:kern w:val="24"/>
                <w:sz w:val="24"/>
                <w:szCs w:val="24"/>
              </w:rPr>
              <w:t>项目主要生产设施信息见表</w:t>
            </w:r>
            <w:r>
              <w:rPr>
                <w:color w:val="auto"/>
                <w:kern w:val="24"/>
                <w:sz w:val="24"/>
                <w:szCs w:val="24"/>
              </w:rPr>
              <w:t>2</w:t>
            </w:r>
            <w:r>
              <w:rPr>
                <w:rFonts w:hint="eastAsia"/>
                <w:color w:val="auto"/>
                <w:kern w:val="24"/>
                <w:sz w:val="24"/>
                <w:szCs w:val="24"/>
              </w:rPr>
              <w:t>-</w:t>
            </w:r>
            <w:r>
              <w:rPr>
                <w:color w:val="auto"/>
                <w:kern w:val="24"/>
                <w:sz w:val="24"/>
                <w:szCs w:val="24"/>
              </w:rPr>
              <w:t>4</w:t>
            </w:r>
            <w:r>
              <w:rPr>
                <w:rFonts w:hint="eastAsia"/>
                <w:color w:val="auto"/>
                <w:kern w:val="24"/>
                <w:sz w:val="24"/>
                <w:szCs w:val="24"/>
              </w:rPr>
              <w:t>。</w:t>
            </w:r>
          </w:p>
          <w:p>
            <w:pPr>
              <w:spacing w:line="360" w:lineRule="auto"/>
              <w:jc w:val="center"/>
              <w:rPr>
                <w:rFonts w:ascii="黑体" w:hAnsi="黑体" w:eastAsia="黑体"/>
                <w:color w:val="auto"/>
                <w:szCs w:val="21"/>
              </w:rPr>
            </w:pPr>
            <w:r>
              <w:rPr>
                <w:rFonts w:hint="eastAsia" w:ascii="黑体" w:hAnsi="黑体" w:eastAsia="黑体"/>
                <w:color w:val="auto"/>
                <w:szCs w:val="21"/>
              </w:rPr>
              <w:t>表</w:t>
            </w:r>
            <w:r>
              <w:rPr>
                <w:rFonts w:eastAsia="黑体" w:cs="Times New Roman"/>
                <w:color w:val="auto"/>
                <w:szCs w:val="21"/>
              </w:rPr>
              <w:t>2</w:t>
            </w:r>
            <w:r>
              <w:rPr>
                <w:rFonts w:hint="eastAsia" w:eastAsia="黑体" w:cs="Times New Roman"/>
                <w:color w:val="auto"/>
                <w:szCs w:val="21"/>
              </w:rPr>
              <w:t>-</w:t>
            </w:r>
            <w:r>
              <w:rPr>
                <w:rFonts w:eastAsia="黑体" w:cs="Times New Roman"/>
                <w:color w:val="auto"/>
                <w:szCs w:val="21"/>
              </w:rPr>
              <w:t xml:space="preserve">4  </w:t>
            </w:r>
            <w:r>
              <w:rPr>
                <w:rFonts w:hint="eastAsia" w:ascii="黑体" w:hAnsi="黑体" w:eastAsia="黑体"/>
                <w:color w:val="auto"/>
                <w:szCs w:val="21"/>
              </w:rPr>
              <w:t>主要生产设施信息表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1625"/>
              <w:gridCol w:w="2977"/>
              <w:gridCol w:w="1063"/>
              <w:gridCol w:w="1063"/>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7" w:type="pct"/>
                  <w:vAlign w:val="center"/>
                </w:tcPr>
                <w:p>
                  <w:pPr>
                    <w:widowControl/>
                    <w:jc w:val="center"/>
                    <w:rPr>
                      <w:rFonts w:cs="Times New Roman"/>
                      <w:bCs/>
                      <w:color w:val="auto"/>
                      <w:kern w:val="0"/>
                      <w:szCs w:val="21"/>
                    </w:rPr>
                  </w:pPr>
                  <w:r>
                    <w:rPr>
                      <w:rFonts w:cs="Times New Roman"/>
                      <w:bCs/>
                      <w:color w:val="auto"/>
                      <w:kern w:val="0"/>
                      <w:szCs w:val="21"/>
                    </w:rPr>
                    <w:t>序号</w:t>
                  </w:r>
                </w:p>
              </w:tc>
              <w:tc>
                <w:tcPr>
                  <w:tcW w:w="937" w:type="pct"/>
                  <w:shd w:val="clear" w:color="auto" w:fill="auto"/>
                  <w:vAlign w:val="center"/>
                </w:tcPr>
                <w:p>
                  <w:pPr>
                    <w:widowControl/>
                    <w:jc w:val="center"/>
                    <w:rPr>
                      <w:rFonts w:cs="Times New Roman"/>
                      <w:bCs/>
                      <w:color w:val="auto"/>
                      <w:kern w:val="0"/>
                      <w:szCs w:val="21"/>
                    </w:rPr>
                  </w:pPr>
                  <w:r>
                    <w:rPr>
                      <w:rFonts w:cs="Times New Roman"/>
                      <w:bCs/>
                      <w:color w:val="auto"/>
                      <w:kern w:val="0"/>
                      <w:szCs w:val="21"/>
                    </w:rPr>
                    <w:t>设施名称</w:t>
                  </w:r>
                </w:p>
              </w:tc>
              <w:tc>
                <w:tcPr>
                  <w:tcW w:w="1717" w:type="pct"/>
                  <w:shd w:val="clear" w:color="auto" w:fill="auto"/>
                  <w:vAlign w:val="center"/>
                </w:tcPr>
                <w:p>
                  <w:pPr>
                    <w:widowControl/>
                    <w:jc w:val="center"/>
                    <w:rPr>
                      <w:rFonts w:cs="Times New Roman"/>
                      <w:bCs/>
                      <w:color w:val="auto"/>
                      <w:kern w:val="0"/>
                      <w:szCs w:val="21"/>
                    </w:rPr>
                  </w:pPr>
                  <w:r>
                    <w:rPr>
                      <w:rFonts w:hint="eastAsia" w:cs="Times New Roman"/>
                      <w:bCs/>
                      <w:color w:val="auto"/>
                      <w:kern w:val="0"/>
                      <w:szCs w:val="21"/>
                    </w:rPr>
                    <w:t>设施</w:t>
                  </w:r>
                  <w:r>
                    <w:rPr>
                      <w:rFonts w:cs="Times New Roman"/>
                      <w:bCs/>
                      <w:color w:val="auto"/>
                      <w:kern w:val="0"/>
                      <w:szCs w:val="21"/>
                    </w:rPr>
                    <w:t>型号</w:t>
                  </w:r>
                </w:p>
              </w:tc>
              <w:tc>
                <w:tcPr>
                  <w:tcW w:w="613" w:type="pct"/>
                  <w:vAlign w:val="center"/>
                </w:tcPr>
                <w:p>
                  <w:pPr>
                    <w:widowControl/>
                    <w:jc w:val="center"/>
                    <w:rPr>
                      <w:rFonts w:cs="Times New Roman"/>
                      <w:bCs/>
                      <w:color w:val="auto"/>
                      <w:kern w:val="0"/>
                      <w:szCs w:val="21"/>
                    </w:rPr>
                  </w:pPr>
                  <w:r>
                    <w:rPr>
                      <w:rFonts w:hint="eastAsia" w:cs="Times New Roman"/>
                      <w:bCs/>
                      <w:color w:val="auto"/>
                      <w:kern w:val="0"/>
                      <w:szCs w:val="21"/>
                    </w:rPr>
                    <w:t>单位</w:t>
                  </w:r>
                </w:p>
              </w:tc>
              <w:tc>
                <w:tcPr>
                  <w:tcW w:w="613" w:type="pct"/>
                  <w:vAlign w:val="center"/>
                </w:tcPr>
                <w:p>
                  <w:pPr>
                    <w:widowControl/>
                    <w:jc w:val="center"/>
                    <w:rPr>
                      <w:rFonts w:cs="Times New Roman"/>
                      <w:bCs/>
                      <w:color w:val="auto"/>
                      <w:kern w:val="0"/>
                      <w:szCs w:val="21"/>
                    </w:rPr>
                  </w:pPr>
                  <w:r>
                    <w:rPr>
                      <w:rFonts w:cs="Times New Roman"/>
                      <w:bCs/>
                      <w:color w:val="auto"/>
                      <w:kern w:val="0"/>
                      <w:szCs w:val="21"/>
                    </w:rPr>
                    <w:t>数量</w:t>
                  </w:r>
                </w:p>
              </w:tc>
              <w:tc>
                <w:tcPr>
                  <w:tcW w:w="752" w:type="pct"/>
                  <w:vAlign w:val="center"/>
                </w:tcPr>
                <w:p>
                  <w:pPr>
                    <w:widowControl/>
                    <w:jc w:val="center"/>
                    <w:rPr>
                      <w:rFonts w:cs="Times New Roman"/>
                      <w:bCs/>
                      <w:color w:val="auto"/>
                      <w:kern w:val="0"/>
                      <w:szCs w:val="21"/>
                    </w:rPr>
                  </w:pPr>
                  <w:r>
                    <w:rPr>
                      <w:rFonts w:cs="Times New Roman"/>
                      <w:bCs/>
                      <w:color w:val="auto"/>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7" w:type="pct"/>
                  <w:vAlign w:val="center"/>
                </w:tcPr>
                <w:p>
                  <w:pPr>
                    <w:widowControl/>
                    <w:jc w:val="center"/>
                    <w:rPr>
                      <w:color w:val="auto"/>
                      <w:szCs w:val="21"/>
                    </w:rPr>
                  </w:pPr>
                  <w:r>
                    <w:rPr>
                      <w:rFonts w:hint="eastAsia"/>
                      <w:color w:val="auto"/>
                      <w:szCs w:val="21"/>
                    </w:rPr>
                    <w:t>1</w:t>
                  </w:r>
                </w:p>
              </w:tc>
              <w:tc>
                <w:tcPr>
                  <w:tcW w:w="937" w:type="pct"/>
                  <w:shd w:val="clear" w:color="auto" w:fill="auto"/>
                  <w:vAlign w:val="center"/>
                </w:tcPr>
                <w:p>
                  <w:pPr>
                    <w:widowControl/>
                    <w:jc w:val="center"/>
                    <w:rPr>
                      <w:rFonts w:cs="Times New Roman"/>
                      <w:bCs/>
                      <w:color w:val="auto"/>
                      <w:kern w:val="0"/>
                      <w:szCs w:val="21"/>
                    </w:rPr>
                  </w:pPr>
                  <w:r>
                    <w:rPr>
                      <w:rFonts w:cs="Times New Roman"/>
                      <w:bCs/>
                      <w:color w:val="auto"/>
                      <w:kern w:val="0"/>
                      <w:szCs w:val="21"/>
                    </w:rPr>
                    <w:t>原水箱</w:t>
                  </w:r>
                </w:p>
              </w:tc>
              <w:tc>
                <w:tcPr>
                  <w:tcW w:w="1717" w:type="pct"/>
                  <w:shd w:val="clear" w:color="auto" w:fill="auto"/>
                  <w:vAlign w:val="center"/>
                </w:tcPr>
                <w:p>
                  <w:pPr>
                    <w:jc w:val="center"/>
                    <w:rPr>
                      <w:rFonts w:cs="Times New Roman"/>
                      <w:color w:val="auto"/>
                      <w:szCs w:val="21"/>
                    </w:rPr>
                  </w:pPr>
                  <w:r>
                    <w:rPr>
                      <w:rFonts w:cs="Times New Roman"/>
                      <w:color w:val="auto"/>
                      <w:szCs w:val="21"/>
                    </w:rPr>
                    <w:t>V=200m</w:t>
                  </w:r>
                  <w:r>
                    <w:rPr>
                      <w:rFonts w:cs="Times New Roman"/>
                      <w:color w:val="auto"/>
                      <w:szCs w:val="21"/>
                      <w:vertAlign w:val="superscript"/>
                    </w:rPr>
                    <w:t>3</w:t>
                  </w:r>
                  <w:r>
                    <w:rPr>
                      <w:rFonts w:cs="Times New Roman"/>
                      <w:color w:val="auto"/>
                      <w:szCs w:val="21"/>
                    </w:rPr>
                    <w:t>，</w:t>
                  </w:r>
                  <w:r>
                    <w:rPr>
                      <w:rFonts w:hint="eastAsia" w:cs="Times New Roman"/>
                      <w:color w:val="auto"/>
                      <w:szCs w:val="21"/>
                    </w:rPr>
                    <w:t>1</w:t>
                  </w:r>
                  <w:r>
                    <w:rPr>
                      <w:rFonts w:cs="Times New Roman"/>
                      <w:color w:val="auto"/>
                      <w:szCs w:val="21"/>
                    </w:rPr>
                    <w:t>0000*5000*4000</w:t>
                  </w:r>
                </w:p>
              </w:tc>
              <w:tc>
                <w:tcPr>
                  <w:tcW w:w="613" w:type="pct"/>
                  <w:vAlign w:val="center"/>
                </w:tcPr>
                <w:p>
                  <w:pPr>
                    <w:widowControl/>
                    <w:jc w:val="center"/>
                    <w:rPr>
                      <w:rFonts w:cs="Times New Roman"/>
                      <w:bCs/>
                      <w:color w:val="auto"/>
                      <w:kern w:val="0"/>
                      <w:szCs w:val="21"/>
                    </w:rPr>
                  </w:pPr>
                  <w:r>
                    <w:rPr>
                      <w:rFonts w:cs="Times New Roman"/>
                      <w:bCs/>
                      <w:color w:val="auto"/>
                      <w:kern w:val="0"/>
                      <w:szCs w:val="21"/>
                    </w:rPr>
                    <w:t>台</w:t>
                  </w:r>
                </w:p>
              </w:tc>
              <w:tc>
                <w:tcPr>
                  <w:tcW w:w="613" w:type="pct"/>
                  <w:vAlign w:val="center"/>
                </w:tcPr>
                <w:p>
                  <w:pPr>
                    <w:widowControl/>
                    <w:jc w:val="center"/>
                    <w:rPr>
                      <w:rFonts w:cs="Times New Roman"/>
                      <w:bCs/>
                      <w:color w:val="auto"/>
                      <w:kern w:val="0"/>
                      <w:szCs w:val="21"/>
                    </w:rPr>
                  </w:pPr>
                  <w:r>
                    <w:rPr>
                      <w:rFonts w:hint="eastAsia" w:cs="Times New Roman"/>
                      <w:bCs/>
                      <w:color w:val="auto"/>
                      <w:kern w:val="0"/>
                      <w:szCs w:val="21"/>
                    </w:rPr>
                    <w:t>1</w:t>
                  </w:r>
                </w:p>
              </w:tc>
              <w:tc>
                <w:tcPr>
                  <w:tcW w:w="752" w:type="pct"/>
                  <w:vAlign w:val="center"/>
                </w:tcPr>
                <w:p>
                  <w:pPr>
                    <w:widowControl/>
                    <w:jc w:val="center"/>
                    <w:rPr>
                      <w:rFonts w:cs="Times New Roman"/>
                      <w:bCs/>
                      <w:color w:val="auto"/>
                      <w:kern w:val="0"/>
                      <w:szCs w:val="21"/>
                    </w:rPr>
                  </w:pPr>
                  <w:r>
                    <w:rPr>
                      <w:rFonts w:hint="eastAsia" w:cs="Times New Roman"/>
                      <w:bCs/>
                      <w:color w:val="auto"/>
                      <w:kern w:val="0"/>
                      <w:szCs w:val="21"/>
                    </w:rPr>
                    <w:t>3</w:t>
                  </w:r>
                  <w:r>
                    <w:rPr>
                      <w:rFonts w:cs="Times New Roman"/>
                      <w:bCs/>
                      <w:color w:val="auto"/>
                      <w:kern w:val="0"/>
                      <w:szCs w:val="21"/>
                    </w:rPr>
                    <w:t>04材质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7" w:type="pct"/>
                  <w:vAlign w:val="center"/>
                </w:tcPr>
                <w:p>
                  <w:pPr>
                    <w:widowControl/>
                    <w:jc w:val="center"/>
                    <w:rPr>
                      <w:color w:val="auto"/>
                      <w:szCs w:val="21"/>
                    </w:rPr>
                  </w:pPr>
                  <w:r>
                    <w:rPr>
                      <w:rFonts w:hint="eastAsia"/>
                      <w:color w:val="auto"/>
                      <w:szCs w:val="21"/>
                    </w:rPr>
                    <w:t>2</w:t>
                  </w:r>
                </w:p>
              </w:tc>
              <w:tc>
                <w:tcPr>
                  <w:tcW w:w="937" w:type="pct"/>
                  <w:shd w:val="clear" w:color="auto" w:fill="auto"/>
                  <w:vAlign w:val="center"/>
                </w:tcPr>
                <w:p>
                  <w:pPr>
                    <w:widowControl/>
                    <w:jc w:val="center"/>
                    <w:rPr>
                      <w:color w:val="auto"/>
                      <w:szCs w:val="21"/>
                    </w:rPr>
                  </w:pPr>
                  <w:r>
                    <w:rPr>
                      <w:color w:val="auto"/>
                      <w:szCs w:val="21"/>
                    </w:rPr>
                    <w:t>提升泵</w:t>
                  </w:r>
                </w:p>
              </w:tc>
              <w:tc>
                <w:tcPr>
                  <w:tcW w:w="1717" w:type="pct"/>
                  <w:shd w:val="clear" w:color="auto" w:fill="auto"/>
                  <w:vAlign w:val="center"/>
                </w:tcPr>
                <w:p>
                  <w:pPr>
                    <w:jc w:val="center"/>
                    <w:rPr>
                      <w:rFonts w:cstheme="minorHAnsi"/>
                      <w:color w:val="auto"/>
                      <w:szCs w:val="21"/>
                    </w:rPr>
                  </w:pPr>
                  <w:r>
                    <w:rPr>
                      <w:rFonts w:hint="eastAsia" w:cstheme="minorHAnsi"/>
                      <w:color w:val="auto"/>
                      <w:szCs w:val="21"/>
                    </w:rPr>
                    <w:t>1</w:t>
                  </w:r>
                  <w:r>
                    <w:rPr>
                      <w:rFonts w:cstheme="minorHAnsi"/>
                      <w:color w:val="auto"/>
                      <w:szCs w:val="21"/>
                    </w:rPr>
                    <w:t>10m</w:t>
                  </w:r>
                  <w:r>
                    <w:rPr>
                      <w:rFonts w:cstheme="minorHAnsi"/>
                      <w:color w:val="auto"/>
                      <w:szCs w:val="21"/>
                      <w:vertAlign w:val="superscript"/>
                    </w:rPr>
                    <w:t>3</w:t>
                  </w:r>
                  <w:r>
                    <w:rPr>
                      <w:rFonts w:cstheme="minorHAnsi"/>
                      <w:color w:val="auto"/>
                      <w:szCs w:val="21"/>
                    </w:rPr>
                    <w:t>/h，</w:t>
                  </w:r>
                  <w:r>
                    <w:rPr>
                      <w:rFonts w:hint="eastAsia" w:cstheme="minorHAnsi"/>
                      <w:color w:val="auto"/>
                      <w:szCs w:val="21"/>
                    </w:rPr>
                    <w:t>1</w:t>
                  </w:r>
                  <w:r>
                    <w:rPr>
                      <w:rFonts w:cstheme="minorHAnsi"/>
                      <w:color w:val="auto"/>
                      <w:szCs w:val="21"/>
                    </w:rPr>
                    <w:t>1kW</w:t>
                  </w:r>
                </w:p>
              </w:tc>
              <w:tc>
                <w:tcPr>
                  <w:tcW w:w="613" w:type="pct"/>
                  <w:vAlign w:val="center"/>
                </w:tcPr>
                <w:p>
                  <w:pPr>
                    <w:widowControl/>
                    <w:jc w:val="center"/>
                    <w:rPr>
                      <w:rFonts w:cs="Times New Roman"/>
                      <w:bCs/>
                      <w:color w:val="auto"/>
                      <w:kern w:val="0"/>
                      <w:szCs w:val="21"/>
                    </w:rPr>
                  </w:pPr>
                  <w:r>
                    <w:rPr>
                      <w:rFonts w:cs="Times New Roman"/>
                      <w:bCs/>
                      <w:color w:val="auto"/>
                      <w:kern w:val="0"/>
                      <w:szCs w:val="21"/>
                    </w:rPr>
                    <w:t>台</w:t>
                  </w:r>
                </w:p>
              </w:tc>
              <w:tc>
                <w:tcPr>
                  <w:tcW w:w="613" w:type="pct"/>
                  <w:vAlign w:val="center"/>
                </w:tcPr>
                <w:p>
                  <w:pPr>
                    <w:widowControl/>
                    <w:jc w:val="center"/>
                    <w:rPr>
                      <w:rFonts w:cs="Times New Roman"/>
                      <w:bCs/>
                      <w:color w:val="auto"/>
                      <w:kern w:val="0"/>
                      <w:szCs w:val="21"/>
                    </w:rPr>
                  </w:pPr>
                  <w:r>
                    <w:rPr>
                      <w:rFonts w:hint="eastAsia" w:cs="Times New Roman"/>
                      <w:bCs/>
                      <w:color w:val="auto"/>
                      <w:kern w:val="0"/>
                      <w:szCs w:val="21"/>
                    </w:rPr>
                    <w:t>3</w:t>
                  </w:r>
                </w:p>
              </w:tc>
              <w:tc>
                <w:tcPr>
                  <w:tcW w:w="752" w:type="pct"/>
                  <w:vAlign w:val="center"/>
                </w:tcPr>
                <w:p>
                  <w:pPr>
                    <w:widowControl/>
                    <w:jc w:val="center"/>
                    <w:rPr>
                      <w:rFonts w:cs="Times New Roman"/>
                      <w:bCs/>
                      <w:color w:val="auto"/>
                      <w:kern w:val="0"/>
                      <w:szCs w:val="21"/>
                    </w:rPr>
                  </w:pPr>
                  <w:r>
                    <w:rPr>
                      <w:rFonts w:cs="Times New Roman"/>
                      <w:bCs/>
                      <w:color w:val="auto"/>
                      <w:kern w:val="0"/>
                      <w:szCs w:val="21"/>
                    </w:rPr>
                    <w:t>二用一备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7" w:type="pct"/>
                  <w:vAlign w:val="center"/>
                </w:tcPr>
                <w:p>
                  <w:pPr>
                    <w:widowControl/>
                    <w:jc w:val="center"/>
                    <w:rPr>
                      <w:color w:val="auto"/>
                      <w:szCs w:val="21"/>
                    </w:rPr>
                  </w:pPr>
                  <w:r>
                    <w:rPr>
                      <w:rFonts w:hint="eastAsia"/>
                      <w:color w:val="auto"/>
                      <w:szCs w:val="21"/>
                    </w:rPr>
                    <w:t>3</w:t>
                  </w:r>
                </w:p>
              </w:tc>
              <w:tc>
                <w:tcPr>
                  <w:tcW w:w="937" w:type="pct"/>
                  <w:shd w:val="clear" w:color="auto" w:fill="auto"/>
                  <w:vAlign w:val="center"/>
                </w:tcPr>
                <w:p>
                  <w:pPr>
                    <w:widowControl/>
                    <w:jc w:val="center"/>
                    <w:rPr>
                      <w:color w:val="auto"/>
                      <w:szCs w:val="21"/>
                    </w:rPr>
                  </w:pPr>
                  <w:r>
                    <w:rPr>
                      <w:color w:val="auto"/>
                      <w:szCs w:val="21"/>
                    </w:rPr>
                    <w:t>气水分离器</w:t>
                  </w:r>
                </w:p>
              </w:tc>
              <w:tc>
                <w:tcPr>
                  <w:tcW w:w="1717" w:type="pct"/>
                  <w:shd w:val="clear" w:color="auto" w:fill="auto"/>
                  <w:vAlign w:val="center"/>
                </w:tcPr>
                <w:p>
                  <w:pPr>
                    <w:jc w:val="center"/>
                    <w:rPr>
                      <w:rFonts w:cstheme="minorHAnsi"/>
                      <w:color w:val="auto"/>
                      <w:szCs w:val="21"/>
                    </w:rPr>
                  </w:pPr>
                  <w:r>
                    <w:rPr>
                      <w:rFonts w:cstheme="minorHAnsi"/>
                      <w:color w:val="auto"/>
                      <w:szCs w:val="21"/>
                    </w:rPr>
                    <w:t>V=1m</w:t>
                  </w:r>
                  <w:r>
                    <w:rPr>
                      <w:rFonts w:cstheme="minorHAnsi"/>
                      <w:color w:val="auto"/>
                      <w:szCs w:val="21"/>
                      <w:vertAlign w:val="superscript"/>
                    </w:rPr>
                    <w:t>3</w:t>
                  </w:r>
                  <w:r>
                    <w:rPr>
                      <w:rFonts w:cs="Times New Roman"/>
                      <w:color w:val="auto"/>
                      <w:szCs w:val="21"/>
                    </w:rPr>
                    <w:t>，</w:t>
                  </w:r>
                  <w:r>
                    <w:rPr>
                      <w:rFonts w:hint="eastAsia" w:cs="Times New Roman"/>
                      <w:color w:val="auto"/>
                      <w:szCs w:val="21"/>
                    </w:rPr>
                    <w:t>1</w:t>
                  </w:r>
                  <w:r>
                    <w:rPr>
                      <w:rFonts w:cs="Times New Roman"/>
                      <w:color w:val="auto"/>
                      <w:szCs w:val="21"/>
                    </w:rPr>
                    <w:t>000*100*1000</w:t>
                  </w:r>
                </w:p>
              </w:tc>
              <w:tc>
                <w:tcPr>
                  <w:tcW w:w="613" w:type="pct"/>
                  <w:vAlign w:val="center"/>
                </w:tcPr>
                <w:p>
                  <w:pPr>
                    <w:widowControl/>
                    <w:jc w:val="center"/>
                    <w:rPr>
                      <w:rFonts w:cs="Times New Roman"/>
                      <w:bCs/>
                      <w:color w:val="auto"/>
                      <w:kern w:val="0"/>
                      <w:szCs w:val="21"/>
                    </w:rPr>
                  </w:pPr>
                  <w:r>
                    <w:rPr>
                      <w:rFonts w:cs="Times New Roman"/>
                      <w:bCs/>
                      <w:color w:val="auto"/>
                      <w:kern w:val="0"/>
                      <w:szCs w:val="21"/>
                    </w:rPr>
                    <w:t>台</w:t>
                  </w:r>
                </w:p>
              </w:tc>
              <w:tc>
                <w:tcPr>
                  <w:tcW w:w="613" w:type="pct"/>
                  <w:vAlign w:val="center"/>
                </w:tcPr>
                <w:p>
                  <w:pPr>
                    <w:widowControl/>
                    <w:jc w:val="center"/>
                    <w:rPr>
                      <w:rFonts w:cs="Times New Roman"/>
                      <w:bCs/>
                      <w:color w:val="auto"/>
                      <w:kern w:val="0"/>
                      <w:szCs w:val="21"/>
                    </w:rPr>
                  </w:pPr>
                  <w:r>
                    <w:rPr>
                      <w:rFonts w:hint="eastAsia" w:cs="Times New Roman"/>
                      <w:bCs/>
                      <w:color w:val="auto"/>
                      <w:kern w:val="0"/>
                      <w:szCs w:val="21"/>
                    </w:rPr>
                    <w:t>4</w:t>
                  </w:r>
                </w:p>
              </w:tc>
              <w:tc>
                <w:tcPr>
                  <w:tcW w:w="752" w:type="pct"/>
                  <w:vAlign w:val="center"/>
                </w:tcPr>
                <w:p>
                  <w:pPr>
                    <w:widowControl/>
                    <w:jc w:val="center"/>
                    <w:rPr>
                      <w:rFonts w:cs="Times New Roman"/>
                      <w:bCs/>
                      <w:color w:val="auto"/>
                      <w:kern w:val="0"/>
                      <w:szCs w:val="21"/>
                    </w:rPr>
                  </w:pPr>
                  <w:r>
                    <w:rPr>
                      <w:rFonts w:cs="Times New Roman"/>
                      <w:bCs/>
                      <w:color w:val="auto"/>
                      <w:kern w:val="0"/>
                      <w:szCs w:val="21"/>
                    </w:rPr>
                    <w:t>碳钢防腐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7" w:type="pct"/>
                  <w:vAlign w:val="center"/>
                </w:tcPr>
                <w:p>
                  <w:pPr>
                    <w:widowControl/>
                    <w:jc w:val="center"/>
                    <w:rPr>
                      <w:color w:val="auto"/>
                      <w:szCs w:val="21"/>
                    </w:rPr>
                  </w:pPr>
                  <w:r>
                    <w:rPr>
                      <w:rFonts w:hint="eastAsia"/>
                      <w:color w:val="auto"/>
                      <w:szCs w:val="21"/>
                    </w:rPr>
                    <w:t>4</w:t>
                  </w:r>
                </w:p>
              </w:tc>
              <w:tc>
                <w:tcPr>
                  <w:tcW w:w="937" w:type="pct"/>
                  <w:shd w:val="clear" w:color="auto" w:fill="auto"/>
                  <w:vAlign w:val="center"/>
                </w:tcPr>
                <w:p>
                  <w:pPr>
                    <w:widowControl/>
                    <w:jc w:val="center"/>
                    <w:rPr>
                      <w:color w:val="auto"/>
                      <w:szCs w:val="21"/>
                    </w:rPr>
                  </w:pPr>
                  <w:r>
                    <w:rPr>
                      <w:color w:val="auto"/>
                      <w:szCs w:val="21"/>
                    </w:rPr>
                    <w:t>混凝沉淀过滤一体化设备</w:t>
                  </w:r>
                </w:p>
              </w:tc>
              <w:tc>
                <w:tcPr>
                  <w:tcW w:w="1717" w:type="pct"/>
                  <w:shd w:val="clear" w:color="auto" w:fill="auto"/>
                  <w:vAlign w:val="center"/>
                </w:tcPr>
                <w:p>
                  <w:pPr>
                    <w:jc w:val="center"/>
                    <w:rPr>
                      <w:rFonts w:cstheme="minorHAnsi"/>
                      <w:color w:val="auto"/>
                      <w:szCs w:val="21"/>
                    </w:rPr>
                  </w:pPr>
                  <w:r>
                    <w:rPr>
                      <w:rFonts w:hint="eastAsia" w:cstheme="minorHAnsi"/>
                      <w:color w:val="auto"/>
                      <w:szCs w:val="21"/>
                    </w:rPr>
                    <w:t>Q=6</w:t>
                  </w:r>
                  <w:r>
                    <w:rPr>
                      <w:rFonts w:cstheme="minorHAnsi"/>
                      <w:color w:val="auto"/>
                      <w:szCs w:val="21"/>
                    </w:rPr>
                    <w:t>0m</w:t>
                  </w:r>
                  <w:r>
                    <w:rPr>
                      <w:rFonts w:cstheme="minorHAnsi"/>
                      <w:color w:val="auto"/>
                      <w:szCs w:val="21"/>
                      <w:vertAlign w:val="superscript"/>
                    </w:rPr>
                    <w:t>3</w:t>
                  </w:r>
                  <w:r>
                    <w:rPr>
                      <w:rFonts w:cstheme="minorHAnsi"/>
                      <w:color w:val="auto"/>
                      <w:szCs w:val="21"/>
                    </w:rPr>
                    <w:t>/h</w:t>
                  </w:r>
                  <w:r>
                    <w:rPr>
                      <w:rFonts w:cs="Times New Roman"/>
                      <w:color w:val="auto"/>
                      <w:szCs w:val="21"/>
                    </w:rPr>
                    <w:t>，4800*5000*4600</w:t>
                  </w:r>
                </w:p>
              </w:tc>
              <w:tc>
                <w:tcPr>
                  <w:tcW w:w="613" w:type="pct"/>
                  <w:vAlign w:val="center"/>
                </w:tcPr>
                <w:p>
                  <w:pPr>
                    <w:widowControl/>
                    <w:jc w:val="center"/>
                    <w:rPr>
                      <w:rFonts w:cs="Times New Roman"/>
                      <w:bCs/>
                      <w:color w:val="auto"/>
                      <w:kern w:val="0"/>
                      <w:szCs w:val="21"/>
                    </w:rPr>
                  </w:pPr>
                  <w:r>
                    <w:rPr>
                      <w:rFonts w:cs="Times New Roman"/>
                      <w:bCs/>
                      <w:color w:val="auto"/>
                      <w:kern w:val="0"/>
                      <w:szCs w:val="21"/>
                    </w:rPr>
                    <w:t>台</w:t>
                  </w:r>
                </w:p>
              </w:tc>
              <w:tc>
                <w:tcPr>
                  <w:tcW w:w="613" w:type="pct"/>
                  <w:vAlign w:val="center"/>
                </w:tcPr>
                <w:p>
                  <w:pPr>
                    <w:widowControl/>
                    <w:jc w:val="center"/>
                    <w:rPr>
                      <w:rFonts w:cs="Times New Roman"/>
                      <w:bCs/>
                      <w:color w:val="auto"/>
                      <w:kern w:val="0"/>
                      <w:szCs w:val="21"/>
                    </w:rPr>
                  </w:pPr>
                  <w:r>
                    <w:rPr>
                      <w:rFonts w:hint="eastAsia" w:cs="Times New Roman"/>
                      <w:bCs/>
                      <w:color w:val="auto"/>
                      <w:kern w:val="0"/>
                      <w:szCs w:val="21"/>
                    </w:rPr>
                    <w:t>4</w:t>
                  </w:r>
                </w:p>
              </w:tc>
              <w:tc>
                <w:tcPr>
                  <w:tcW w:w="752" w:type="pct"/>
                  <w:vAlign w:val="center"/>
                </w:tcPr>
                <w:p>
                  <w:pPr>
                    <w:widowControl/>
                    <w:jc w:val="center"/>
                    <w:rPr>
                      <w:rFonts w:cs="Times New Roman"/>
                      <w:bCs/>
                      <w:color w:val="auto"/>
                      <w:kern w:val="0"/>
                      <w:szCs w:val="21"/>
                    </w:rPr>
                  </w:pPr>
                  <w:r>
                    <w:rPr>
                      <w:rFonts w:cs="Times New Roman"/>
                      <w:bCs/>
                      <w:color w:val="auto"/>
                      <w:kern w:val="0"/>
                      <w:szCs w:val="21"/>
                    </w:rPr>
                    <w:t>碳钢防腐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7" w:type="pct"/>
                  <w:vAlign w:val="center"/>
                </w:tcPr>
                <w:p>
                  <w:pPr>
                    <w:widowControl/>
                    <w:jc w:val="center"/>
                    <w:rPr>
                      <w:color w:val="auto"/>
                      <w:szCs w:val="21"/>
                    </w:rPr>
                  </w:pPr>
                  <w:r>
                    <w:rPr>
                      <w:rFonts w:hint="eastAsia"/>
                      <w:color w:val="auto"/>
                      <w:szCs w:val="21"/>
                    </w:rPr>
                    <w:t>5</w:t>
                  </w:r>
                </w:p>
              </w:tc>
              <w:tc>
                <w:tcPr>
                  <w:tcW w:w="937" w:type="pct"/>
                  <w:shd w:val="clear" w:color="auto" w:fill="auto"/>
                  <w:vAlign w:val="center"/>
                </w:tcPr>
                <w:p>
                  <w:pPr>
                    <w:widowControl/>
                    <w:jc w:val="center"/>
                    <w:rPr>
                      <w:color w:val="auto"/>
                      <w:szCs w:val="21"/>
                    </w:rPr>
                  </w:pPr>
                  <w:r>
                    <w:rPr>
                      <w:color w:val="auto"/>
                      <w:szCs w:val="21"/>
                    </w:rPr>
                    <w:t>中间水箱</w:t>
                  </w:r>
                </w:p>
              </w:tc>
              <w:tc>
                <w:tcPr>
                  <w:tcW w:w="1717" w:type="pct"/>
                  <w:shd w:val="clear" w:color="auto" w:fill="auto"/>
                  <w:vAlign w:val="center"/>
                </w:tcPr>
                <w:p>
                  <w:pPr>
                    <w:jc w:val="center"/>
                    <w:rPr>
                      <w:rFonts w:cstheme="minorHAnsi"/>
                      <w:color w:val="auto"/>
                      <w:szCs w:val="21"/>
                    </w:rPr>
                  </w:pPr>
                  <w:r>
                    <w:rPr>
                      <w:rFonts w:cstheme="minorHAnsi"/>
                      <w:color w:val="auto"/>
                      <w:szCs w:val="21"/>
                    </w:rPr>
                    <w:t>V=100m</w:t>
                  </w:r>
                  <w:r>
                    <w:rPr>
                      <w:rFonts w:cstheme="minorHAnsi"/>
                      <w:color w:val="auto"/>
                      <w:szCs w:val="21"/>
                      <w:vertAlign w:val="superscript"/>
                    </w:rPr>
                    <w:t>3</w:t>
                  </w:r>
                  <w:r>
                    <w:rPr>
                      <w:rFonts w:cs="Times New Roman"/>
                      <w:color w:val="auto"/>
                      <w:szCs w:val="21"/>
                    </w:rPr>
                    <w:t>，</w:t>
                  </w:r>
                  <w:r>
                    <w:rPr>
                      <w:rFonts w:hint="eastAsia" w:cs="Times New Roman"/>
                      <w:color w:val="auto"/>
                      <w:szCs w:val="21"/>
                    </w:rPr>
                    <w:t>1</w:t>
                  </w:r>
                  <w:r>
                    <w:rPr>
                      <w:rFonts w:cs="Times New Roman"/>
                      <w:color w:val="auto"/>
                      <w:szCs w:val="21"/>
                    </w:rPr>
                    <w:t>0000*5000*2000</w:t>
                  </w:r>
                </w:p>
              </w:tc>
              <w:tc>
                <w:tcPr>
                  <w:tcW w:w="613" w:type="pct"/>
                  <w:vAlign w:val="center"/>
                </w:tcPr>
                <w:p>
                  <w:pPr>
                    <w:widowControl/>
                    <w:jc w:val="center"/>
                    <w:rPr>
                      <w:rFonts w:cs="Times New Roman"/>
                      <w:bCs/>
                      <w:color w:val="auto"/>
                      <w:kern w:val="0"/>
                      <w:szCs w:val="21"/>
                    </w:rPr>
                  </w:pPr>
                  <w:r>
                    <w:rPr>
                      <w:rFonts w:cs="Times New Roman"/>
                      <w:bCs/>
                      <w:color w:val="auto"/>
                      <w:kern w:val="0"/>
                      <w:szCs w:val="21"/>
                    </w:rPr>
                    <w:t>台</w:t>
                  </w:r>
                </w:p>
              </w:tc>
              <w:tc>
                <w:tcPr>
                  <w:tcW w:w="613" w:type="pct"/>
                  <w:vAlign w:val="center"/>
                </w:tcPr>
                <w:p>
                  <w:pPr>
                    <w:widowControl/>
                    <w:jc w:val="center"/>
                    <w:rPr>
                      <w:rFonts w:cs="Times New Roman"/>
                      <w:bCs/>
                      <w:color w:val="auto"/>
                      <w:kern w:val="0"/>
                      <w:szCs w:val="21"/>
                    </w:rPr>
                  </w:pPr>
                  <w:r>
                    <w:rPr>
                      <w:rFonts w:hint="eastAsia" w:cs="Times New Roman"/>
                      <w:bCs/>
                      <w:color w:val="auto"/>
                      <w:kern w:val="0"/>
                      <w:szCs w:val="21"/>
                    </w:rPr>
                    <w:t>1</w:t>
                  </w:r>
                </w:p>
              </w:tc>
              <w:tc>
                <w:tcPr>
                  <w:tcW w:w="752" w:type="pct"/>
                  <w:vAlign w:val="center"/>
                </w:tcPr>
                <w:p>
                  <w:pPr>
                    <w:widowControl/>
                    <w:jc w:val="center"/>
                    <w:rPr>
                      <w:rFonts w:cs="Times New Roman"/>
                      <w:bCs/>
                      <w:color w:val="auto"/>
                      <w:kern w:val="0"/>
                      <w:szCs w:val="21"/>
                    </w:rPr>
                  </w:pPr>
                  <w:r>
                    <w:rPr>
                      <w:rFonts w:hint="eastAsia" w:cs="Times New Roman"/>
                      <w:bCs/>
                      <w:color w:val="auto"/>
                      <w:kern w:val="0"/>
                      <w:szCs w:val="21"/>
                    </w:rPr>
                    <w:t>3</w:t>
                  </w:r>
                  <w:r>
                    <w:rPr>
                      <w:rFonts w:cs="Times New Roman"/>
                      <w:bCs/>
                      <w:color w:val="auto"/>
                      <w:kern w:val="0"/>
                      <w:szCs w:val="21"/>
                    </w:rPr>
                    <w:t>04材质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7" w:type="pct"/>
                  <w:vAlign w:val="center"/>
                </w:tcPr>
                <w:p>
                  <w:pPr>
                    <w:widowControl/>
                    <w:jc w:val="center"/>
                    <w:rPr>
                      <w:color w:val="auto"/>
                      <w:szCs w:val="21"/>
                    </w:rPr>
                  </w:pPr>
                  <w:r>
                    <w:rPr>
                      <w:rFonts w:hint="eastAsia"/>
                      <w:color w:val="auto"/>
                      <w:szCs w:val="21"/>
                    </w:rPr>
                    <w:t>6</w:t>
                  </w:r>
                </w:p>
              </w:tc>
              <w:tc>
                <w:tcPr>
                  <w:tcW w:w="937" w:type="pct"/>
                  <w:shd w:val="clear" w:color="auto" w:fill="auto"/>
                  <w:vAlign w:val="center"/>
                </w:tcPr>
                <w:p>
                  <w:pPr>
                    <w:widowControl/>
                    <w:jc w:val="center"/>
                    <w:rPr>
                      <w:color w:val="auto"/>
                      <w:szCs w:val="21"/>
                    </w:rPr>
                  </w:pPr>
                  <w:r>
                    <w:rPr>
                      <w:color w:val="auto"/>
                      <w:szCs w:val="21"/>
                    </w:rPr>
                    <w:t>中间提升泵</w:t>
                  </w:r>
                </w:p>
              </w:tc>
              <w:tc>
                <w:tcPr>
                  <w:tcW w:w="1717" w:type="pct"/>
                  <w:shd w:val="clear" w:color="auto" w:fill="auto"/>
                  <w:vAlign w:val="center"/>
                </w:tcPr>
                <w:p>
                  <w:pPr>
                    <w:jc w:val="center"/>
                    <w:rPr>
                      <w:rFonts w:cstheme="minorHAnsi"/>
                      <w:color w:val="auto"/>
                      <w:szCs w:val="21"/>
                    </w:rPr>
                  </w:pPr>
                  <w:r>
                    <w:rPr>
                      <w:rFonts w:hint="eastAsia" w:cstheme="minorHAnsi"/>
                      <w:color w:val="auto"/>
                      <w:szCs w:val="21"/>
                    </w:rPr>
                    <w:t>1</w:t>
                  </w:r>
                  <w:r>
                    <w:rPr>
                      <w:rFonts w:cstheme="minorHAnsi"/>
                      <w:color w:val="auto"/>
                      <w:szCs w:val="21"/>
                    </w:rPr>
                    <w:t>10m</w:t>
                  </w:r>
                  <w:r>
                    <w:rPr>
                      <w:rFonts w:cstheme="minorHAnsi"/>
                      <w:color w:val="auto"/>
                      <w:szCs w:val="21"/>
                      <w:vertAlign w:val="superscript"/>
                    </w:rPr>
                    <w:t>3</w:t>
                  </w:r>
                  <w:r>
                    <w:rPr>
                      <w:rFonts w:cstheme="minorHAnsi"/>
                      <w:color w:val="auto"/>
                      <w:szCs w:val="21"/>
                    </w:rPr>
                    <w:t>/h，18.5kW</w:t>
                  </w:r>
                </w:p>
              </w:tc>
              <w:tc>
                <w:tcPr>
                  <w:tcW w:w="613" w:type="pct"/>
                  <w:vAlign w:val="center"/>
                </w:tcPr>
                <w:p>
                  <w:pPr>
                    <w:widowControl/>
                    <w:jc w:val="center"/>
                    <w:rPr>
                      <w:rFonts w:cs="Times New Roman"/>
                      <w:bCs/>
                      <w:color w:val="auto"/>
                      <w:kern w:val="0"/>
                      <w:szCs w:val="21"/>
                    </w:rPr>
                  </w:pPr>
                  <w:r>
                    <w:rPr>
                      <w:rFonts w:cs="Times New Roman"/>
                      <w:bCs/>
                      <w:color w:val="auto"/>
                      <w:kern w:val="0"/>
                      <w:szCs w:val="21"/>
                    </w:rPr>
                    <w:t>台</w:t>
                  </w:r>
                </w:p>
              </w:tc>
              <w:tc>
                <w:tcPr>
                  <w:tcW w:w="613" w:type="pct"/>
                  <w:vAlign w:val="center"/>
                </w:tcPr>
                <w:p>
                  <w:pPr>
                    <w:widowControl/>
                    <w:jc w:val="center"/>
                    <w:rPr>
                      <w:rFonts w:cs="Times New Roman"/>
                      <w:bCs/>
                      <w:color w:val="auto"/>
                      <w:kern w:val="0"/>
                      <w:szCs w:val="21"/>
                    </w:rPr>
                  </w:pPr>
                  <w:r>
                    <w:rPr>
                      <w:rFonts w:hint="eastAsia" w:cs="Times New Roman"/>
                      <w:bCs/>
                      <w:color w:val="auto"/>
                      <w:kern w:val="0"/>
                      <w:szCs w:val="21"/>
                    </w:rPr>
                    <w:t>3</w:t>
                  </w:r>
                </w:p>
              </w:tc>
              <w:tc>
                <w:tcPr>
                  <w:tcW w:w="752" w:type="pct"/>
                  <w:vAlign w:val="center"/>
                </w:tcPr>
                <w:p>
                  <w:pPr>
                    <w:widowControl/>
                    <w:jc w:val="center"/>
                    <w:rPr>
                      <w:rFonts w:cs="Times New Roman"/>
                      <w:bCs/>
                      <w:color w:val="auto"/>
                      <w:kern w:val="0"/>
                      <w:szCs w:val="21"/>
                    </w:rPr>
                  </w:pPr>
                  <w:r>
                    <w:rPr>
                      <w:rFonts w:cs="Times New Roman"/>
                      <w:bCs/>
                      <w:color w:val="auto"/>
                      <w:kern w:val="0"/>
                      <w:szCs w:val="21"/>
                    </w:rPr>
                    <w:t>二用一备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7" w:type="pct"/>
                  <w:vAlign w:val="center"/>
                </w:tcPr>
                <w:p>
                  <w:pPr>
                    <w:widowControl/>
                    <w:jc w:val="center"/>
                    <w:rPr>
                      <w:color w:val="auto"/>
                      <w:szCs w:val="21"/>
                    </w:rPr>
                  </w:pPr>
                  <w:r>
                    <w:rPr>
                      <w:rFonts w:hint="eastAsia"/>
                      <w:color w:val="auto"/>
                      <w:szCs w:val="21"/>
                    </w:rPr>
                    <w:t>7</w:t>
                  </w:r>
                </w:p>
              </w:tc>
              <w:tc>
                <w:tcPr>
                  <w:tcW w:w="937" w:type="pct"/>
                  <w:shd w:val="clear" w:color="auto" w:fill="auto"/>
                  <w:vAlign w:val="center"/>
                </w:tcPr>
                <w:p>
                  <w:pPr>
                    <w:widowControl/>
                    <w:jc w:val="center"/>
                    <w:rPr>
                      <w:color w:val="auto"/>
                      <w:szCs w:val="21"/>
                    </w:rPr>
                  </w:pPr>
                  <w:r>
                    <w:rPr>
                      <w:color w:val="auto"/>
                      <w:szCs w:val="21"/>
                    </w:rPr>
                    <w:t>活性炭过滤罐</w:t>
                  </w:r>
                </w:p>
              </w:tc>
              <w:tc>
                <w:tcPr>
                  <w:tcW w:w="1717" w:type="pct"/>
                  <w:shd w:val="clear" w:color="auto" w:fill="auto"/>
                  <w:vAlign w:val="center"/>
                </w:tcPr>
                <w:p>
                  <w:pPr>
                    <w:jc w:val="center"/>
                    <w:rPr>
                      <w:rFonts w:cstheme="minorHAnsi"/>
                      <w:color w:val="auto"/>
                      <w:szCs w:val="21"/>
                    </w:rPr>
                  </w:pPr>
                  <w:r>
                    <w:rPr>
                      <w:rFonts w:cstheme="minorHAnsi"/>
                      <w:color w:val="auto"/>
                      <w:szCs w:val="21"/>
                    </w:rPr>
                    <w:t>Q=60m</w:t>
                  </w:r>
                  <w:r>
                    <w:rPr>
                      <w:rFonts w:cstheme="minorHAnsi"/>
                      <w:color w:val="auto"/>
                      <w:szCs w:val="21"/>
                      <w:vertAlign w:val="superscript"/>
                    </w:rPr>
                    <w:t>3</w:t>
                  </w:r>
                  <w:r>
                    <w:rPr>
                      <w:rFonts w:cstheme="minorHAnsi"/>
                      <w:color w:val="auto"/>
                      <w:szCs w:val="21"/>
                    </w:rPr>
                    <w:t>/h</w:t>
                  </w:r>
                </w:p>
              </w:tc>
              <w:tc>
                <w:tcPr>
                  <w:tcW w:w="613" w:type="pct"/>
                  <w:vAlign w:val="center"/>
                </w:tcPr>
                <w:p>
                  <w:pPr>
                    <w:widowControl/>
                    <w:jc w:val="center"/>
                    <w:rPr>
                      <w:rFonts w:cs="Times New Roman"/>
                      <w:bCs/>
                      <w:color w:val="auto"/>
                      <w:kern w:val="0"/>
                      <w:szCs w:val="21"/>
                    </w:rPr>
                  </w:pPr>
                  <w:r>
                    <w:rPr>
                      <w:rFonts w:cs="Times New Roman"/>
                      <w:bCs/>
                      <w:color w:val="auto"/>
                      <w:kern w:val="0"/>
                      <w:szCs w:val="21"/>
                    </w:rPr>
                    <w:t>台</w:t>
                  </w:r>
                </w:p>
              </w:tc>
              <w:tc>
                <w:tcPr>
                  <w:tcW w:w="613" w:type="pct"/>
                  <w:vAlign w:val="center"/>
                </w:tcPr>
                <w:p>
                  <w:pPr>
                    <w:widowControl/>
                    <w:jc w:val="center"/>
                    <w:rPr>
                      <w:rFonts w:cs="Times New Roman"/>
                      <w:bCs/>
                      <w:color w:val="auto"/>
                      <w:kern w:val="0"/>
                      <w:szCs w:val="21"/>
                    </w:rPr>
                  </w:pPr>
                  <w:r>
                    <w:rPr>
                      <w:rFonts w:hint="eastAsia" w:cs="Times New Roman"/>
                      <w:bCs/>
                      <w:color w:val="auto"/>
                      <w:kern w:val="0"/>
                      <w:szCs w:val="21"/>
                    </w:rPr>
                    <w:t>4</w:t>
                  </w:r>
                </w:p>
              </w:tc>
              <w:tc>
                <w:tcPr>
                  <w:tcW w:w="752" w:type="pct"/>
                  <w:vAlign w:val="center"/>
                </w:tcPr>
                <w:p>
                  <w:pPr>
                    <w:widowControl/>
                    <w:jc w:val="center"/>
                    <w:rPr>
                      <w:rFonts w:cs="Times New Roman"/>
                      <w:bCs/>
                      <w:color w:val="auto"/>
                      <w:kern w:val="0"/>
                      <w:szCs w:val="21"/>
                    </w:rPr>
                  </w:pPr>
                  <w:r>
                    <w:rPr>
                      <w:rFonts w:cs="Times New Roman"/>
                      <w:bCs/>
                      <w:color w:val="auto"/>
                      <w:kern w:val="0"/>
                      <w:szCs w:val="21"/>
                    </w:rPr>
                    <w:t>碳钢防腐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7" w:type="pct"/>
                  <w:vAlign w:val="center"/>
                </w:tcPr>
                <w:p>
                  <w:pPr>
                    <w:widowControl/>
                    <w:jc w:val="center"/>
                    <w:rPr>
                      <w:color w:val="auto"/>
                      <w:szCs w:val="21"/>
                    </w:rPr>
                  </w:pPr>
                  <w:r>
                    <w:rPr>
                      <w:rFonts w:hint="eastAsia"/>
                      <w:color w:val="auto"/>
                      <w:szCs w:val="21"/>
                    </w:rPr>
                    <w:t>8</w:t>
                  </w:r>
                </w:p>
              </w:tc>
              <w:tc>
                <w:tcPr>
                  <w:tcW w:w="937" w:type="pct"/>
                  <w:shd w:val="clear" w:color="auto" w:fill="auto"/>
                  <w:vAlign w:val="center"/>
                </w:tcPr>
                <w:p>
                  <w:pPr>
                    <w:widowControl/>
                    <w:jc w:val="center"/>
                    <w:rPr>
                      <w:color w:val="auto"/>
                      <w:szCs w:val="21"/>
                    </w:rPr>
                  </w:pPr>
                  <w:r>
                    <w:rPr>
                      <w:color w:val="auto"/>
                      <w:szCs w:val="21"/>
                    </w:rPr>
                    <w:t>产水箱</w:t>
                  </w:r>
                </w:p>
              </w:tc>
              <w:tc>
                <w:tcPr>
                  <w:tcW w:w="1717" w:type="pct"/>
                  <w:shd w:val="clear" w:color="auto" w:fill="auto"/>
                  <w:vAlign w:val="center"/>
                </w:tcPr>
                <w:p>
                  <w:pPr>
                    <w:jc w:val="center"/>
                    <w:rPr>
                      <w:rFonts w:cstheme="minorHAnsi"/>
                      <w:color w:val="auto"/>
                      <w:szCs w:val="21"/>
                    </w:rPr>
                  </w:pPr>
                  <w:r>
                    <w:rPr>
                      <w:rFonts w:cs="Times New Roman"/>
                      <w:color w:val="auto"/>
                      <w:szCs w:val="21"/>
                    </w:rPr>
                    <w:t>V=200m</w:t>
                  </w:r>
                  <w:r>
                    <w:rPr>
                      <w:rFonts w:cs="Times New Roman"/>
                      <w:color w:val="auto"/>
                      <w:szCs w:val="21"/>
                      <w:vertAlign w:val="superscript"/>
                    </w:rPr>
                    <w:t>3</w:t>
                  </w:r>
                  <w:r>
                    <w:rPr>
                      <w:rFonts w:cs="Times New Roman"/>
                      <w:color w:val="auto"/>
                      <w:szCs w:val="21"/>
                    </w:rPr>
                    <w:t>，</w:t>
                  </w:r>
                  <w:r>
                    <w:rPr>
                      <w:rFonts w:hint="eastAsia" w:cs="Times New Roman"/>
                      <w:color w:val="auto"/>
                      <w:szCs w:val="21"/>
                    </w:rPr>
                    <w:t>1</w:t>
                  </w:r>
                  <w:r>
                    <w:rPr>
                      <w:rFonts w:cs="Times New Roman"/>
                      <w:color w:val="auto"/>
                      <w:szCs w:val="21"/>
                    </w:rPr>
                    <w:t>0000*5000*4000</w:t>
                  </w:r>
                </w:p>
              </w:tc>
              <w:tc>
                <w:tcPr>
                  <w:tcW w:w="613" w:type="pct"/>
                  <w:vAlign w:val="center"/>
                </w:tcPr>
                <w:p>
                  <w:pPr>
                    <w:widowControl/>
                    <w:jc w:val="center"/>
                    <w:rPr>
                      <w:rFonts w:cs="Times New Roman"/>
                      <w:bCs/>
                      <w:color w:val="auto"/>
                      <w:kern w:val="0"/>
                      <w:szCs w:val="21"/>
                    </w:rPr>
                  </w:pPr>
                  <w:r>
                    <w:rPr>
                      <w:rFonts w:cs="Times New Roman"/>
                      <w:bCs/>
                      <w:color w:val="auto"/>
                      <w:kern w:val="0"/>
                      <w:szCs w:val="21"/>
                    </w:rPr>
                    <w:t>台</w:t>
                  </w:r>
                </w:p>
              </w:tc>
              <w:tc>
                <w:tcPr>
                  <w:tcW w:w="613" w:type="pct"/>
                  <w:vAlign w:val="center"/>
                </w:tcPr>
                <w:p>
                  <w:pPr>
                    <w:widowControl/>
                    <w:jc w:val="center"/>
                    <w:rPr>
                      <w:rFonts w:cs="Times New Roman"/>
                      <w:bCs/>
                      <w:color w:val="auto"/>
                      <w:kern w:val="0"/>
                      <w:szCs w:val="21"/>
                    </w:rPr>
                  </w:pPr>
                  <w:r>
                    <w:rPr>
                      <w:rFonts w:hint="eastAsia" w:cs="Times New Roman"/>
                      <w:bCs/>
                      <w:color w:val="auto"/>
                      <w:kern w:val="0"/>
                      <w:szCs w:val="21"/>
                    </w:rPr>
                    <w:t>1</w:t>
                  </w:r>
                </w:p>
              </w:tc>
              <w:tc>
                <w:tcPr>
                  <w:tcW w:w="752" w:type="pct"/>
                  <w:vAlign w:val="center"/>
                </w:tcPr>
                <w:p>
                  <w:pPr>
                    <w:widowControl/>
                    <w:jc w:val="center"/>
                    <w:rPr>
                      <w:rFonts w:cs="Times New Roman"/>
                      <w:bCs/>
                      <w:color w:val="auto"/>
                      <w:kern w:val="0"/>
                      <w:szCs w:val="21"/>
                    </w:rPr>
                  </w:pPr>
                  <w:r>
                    <w:rPr>
                      <w:rFonts w:hint="eastAsia" w:cs="Times New Roman"/>
                      <w:bCs/>
                      <w:color w:val="auto"/>
                      <w:kern w:val="0"/>
                      <w:szCs w:val="21"/>
                    </w:rPr>
                    <w:t>3</w:t>
                  </w:r>
                  <w:r>
                    <w:rPr>
                      <w:rFonts w:cs="Times New Roman"/>
                      <w:bCs/>
                      <w:color w:val="auto"/>
                      <w:kern w:val="0"/>
                      <w:szCs w:val="21"/>
                    </w:rPr>
                    <w:t>04材质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7" w:type="pct"/>
                  <w:vAlign w:val="center"/>
                </w:tcPr>
                <w:p>
                  <w:pPr>
                    <w:widowControl/>
                    <w:jc w:val="center"/>
                    <w:rPr>
                      <w:color w:val="auto"/>
                      <w:szCs w:val="21"/>
                    </w:rPr>
                  </w:pPr>
                  <w:r>
                    <w:rPr>
                      <w:rFonts w:hint="eastAsia"/>
                      <w:color w:val="auto"/>
                      <w:szCs w:val="21"/>
                    </w:rPr>
                    <w:t>9</w:t>
                  </w:r>
                </w:p>
              </w:tc>
              <w:tc>
                <w:tcPr>
                  <w:tcW w:w="937" w:type="pct"/>
                  <w:shd w:val="clear" w:color="auto" w:fill="auto"/>
                  <w:vAlign w:val="center"/>
                </w:tcPr>
                <w:p>
                  <w:pPr>
                    <w:widowControl/>
                    <w:jc w:val="center"/>
                    <w:rPr>
                      <w:color w:val="auto"/>
                      <w:szCs w:val="21"/>
                    </w:rPr>
                  </w:pPr>
                  <w:r>
                    <w:rPr>
                      <w:color w:val="auto"/>
                      <w:szCs w:val="21"/>
                    </w:rPr>
                    <w:t>变频供水设备</w:t>
                  </w:r>
                </w:p>
              </w:tc>
              <w:tc>
                <w:tcPr>
                  <w:tcW w:w="1717" w:type="pct"/>
                  <w:shd w:val="clear" w:color="auto" w:fill="auto"/>
                  <w:vAlign w:val="center"/>
                </w:tcPr>
                <w:p>
                  <w:pPr>
                    <w:jc w:val="center"/>
                    <w:rPr>
                      <w:rFonts w:cstheme="minorHAnsi"/>
                      <w:color w:val="auto"/>
                      <w:szCs w:val="21"/>
                    </w:rPr>
                  </w:pPr>
                  <w:r>
                    <w:rPr>
                      <w:rFonts w:hint="eastAsia" w:cstheme="minorHAnsi"/>
                      <w:color w:val="auto"/>
                      <w:szCs w:val="21"/>
                    </w:rPr>
                    <w:t>7</w:t>
                  </w:r>
                  <w:r>
                    <w:rPr>
                      <w:rFonts w:cstheme="minorHAnsi"/>
                      <w:color w:val="auto"/>
                      <w:szCs w:val="21"/>
                    </w:rPr>
                    <w:t>0~250m</w:t>
                  </w:r>
                  <w:r>
                    <w:rPr>
                      <w:rFonts w:cstheme="minorHAnsi"/>
                      <w:color w:val="auto"/>
                      <w:szCs w:val="21"/>
                      <w:vertAlign w:val="superscript"/>
                    </w:rPr>
                    <w:t>3</w:t>
                  </w:r>
                  <w:r>
                    <w:rPr>
                      <w:rFonts w:cstheme="minorHAnsi"/>
                      <w:color w:val="auto"/>
                      <w:szCs w:val="21"/>
                    </w:rPr>
                    <w:t>/h</w:t>
                  </w:r>
                </w:p>
              </w:tc>
              <w:tc>
                <w:tcPr>
                  <w:tcW w:w="613" w:type="pct"/>
                  <w:vAlign w:val="center"/>
                </w:tcPr>
                <w:p>
                  <w:pPr>
                    <w:widowControl/>
                    <w:jc w:val="center"/>
                    <w:rPr>
                      <w:rFonts w:cs="Times New Roman"/>
                      <w:bCs/>
                      <w:color w:val="auto"/>
                      <w:kern w:val="0"/>
                      <w:szCs w:val="21"/>
                    </w:rPr>
                  </w:pPr>
                  <w:r>
                    <w:rPr>
                      <w:rFonts w:cs="Times New Roman"/>
                      <w:bCs/>
                      <w:color w:val="auto"/>
                      <w:kern w:val="0"/>
                      <w:szCs w:val="21"/>
                    </w:rPr>
                    <w:t>套</w:t>
                  </w:r>
                </w:p>
              </w:tc>
              <w:tc>
                <w:tcPr>
                  <w:tcW w:w="613" w:type="pct"/>
                  <w:vAlign w:val="center"/>
                </w:tcPr>
                <w:p>
                  <w:pPr>
                    <w:widowControl/>
                    <w:jc w:val="center"/>
                    <w:rPr>
                      <w:rFonts w:cs="Times New Roman"/>
                      <w:bCs/>
                      <w:color w:val="auto"/>
                      <w:kern w:val="0"/>
                      <w:szCs w:val="21"/>
                    </w:rPr>
                  </w:pPr>
                  <w:r>
                    <w:rPr>
                      <w:rFonts w:hint="eastAsia" w:cs="Times New Roman"/>
                      <w:bCs/>
                      <w:color w:val="auto"/>
                      <w:kern w:val="0"/>
                      <w:szCs w:val="21"/>
                    </w:rPr>
                    <w:t>1</w:t>
                  </w:r>
                </w:p>
              </w:tc>
              <w:tc>
                <w:tcPr>
                  <w:tcW w:w="752" w:type="pct"/>
                  <w:vAlign w:val="center"/>
                </w:tcPr>
                <w:p>
                  <w:pPr>
                    <w:widowControl/>
                    <w:jc w:val="center"/>
                    <w:rPr>
                      <w:rFonts w:cs="Times New Roman"/>
                      <w:bCs/>
                      <w:color w:val="auto"/>
                      <w:kern w:val="0"/>
                      <w:szCs w:val="21"/>
                    </w:rPr>
                  </w:pPr>
                  <w:r>
                    <w:rPr>
                      <w:rFonts w:cs="Times New Roman"/>
                      <w:bCs/>
                      <w:color w:val="auto"/>
                      <w:kern w:val="0"/>
                      <w:szCs w:val="21"/>
                    </w:rPr>
                    <w:t>单套设备含</w:t>
                  </w:r>
                  <w:r>
                    <w:rPr>
                      <w:rFonts w:hint="eastAsia" w:cs="Times New Roman"/>
                      <w:bCs/>
                      <w:color w:val="auto"/>
                      <w:kern w:val="0"/>
                      <w:szCs w:val="21"/>
                    </w:rPr>
                    <w:t>3台泵（二用一备）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7" w:type="pct"/>
                  <w:vAlign w:val="center"/>
                </w:tcPr>
                <w:p>
                  <w:pPr>
                    <w:widowControl/>
                    <w:jc w:val="center"/>
                    <w:rPr>
                      <w:color w:val="auto"/>
                      <w:szCs w:val="21"/>
                    </w:rPr>
                  </w:pPr>
                  <w:r>
                    <w:rPr>
                      <w:rFonts w:hint="eastAsia"/>
                      <w:color w:val="auto"/>
                      <w:szCs w:val="21"/>
                    </w:rPr>
                    <w:t>1</w:t>
                  </w:r>
                  <w:r>
                    <w:rPr>
                      <w:color w:val="auto"/>
                      <w:szCs w:val="21"/>
                    </w:rPr>
                    <w:t>0</w:t>
                  </w:r>
                </w:p>
              </w:tc>
              <w:tc>
                <w:tcPr>
                  <w:tcW w:w="937" w:type="pct"/>
                  <w:shd w:val="clear" w:color="auto" w:fill="auto"/>
                  <w:vAlign w:val="center"/>
                </w:tcPr>
                <w:p>
                  <w:pPr>
                    <w:widowControl/>
                    <w:jc w:val="center"/>
                    <w:rPr>
                      <w:color w:val="auto"/>
                      <w:szCs w:val="21"/>
                    </w:rPr>
                  </w:pPr>
                  <w:r>
                    <w:rPr>
                      <w:color w:val="auto"/>
                      <w:szCs w:val="21"/>
                    </w:rPr>
                    <w:t>活性炭过滤反洗水泵</w:t>
                  </w:r>
                </w:p>
              </w:tc>
              <w:tc>
                <w:tcPr>
                  <w:tcW w:w="1717" w:type="pct"/>
                  <w:shd w:val="clear" w:color="auto" w:fill="auto"/>
                  <w:vAlign w:val="center"/>
                </w:tcPr>
                <w:p>
                  <w:pPr>
                    <w:jc w:val="center"/>
                    <w:rPr>
                      <w:rFonts w:cstheme="minorHAnsi"/>
                      <w:color w:val="auto"/>
                      <w:szCs w:val="21"/>
                    </w:rPr>
                  </w:pPr>
                  <w:r>
                    <w:rPr>
                      <w:rFonts w:cstheme="minorHAnsi"/>
                      <w:color w:val="auto"/>
                      <w:szCs w:val="21"/>
                    </w:rPr>
                    <w:t>220m</w:t>
                  </w:r>
                  <w:r>
                    <w:rPr>
                      <w:rFonts w:cstheme="minorHAnsi"/>
                      <w:color w:val="auto"/>
                      <w:szCs w:val="21"/>
                      <w:vertAlign w:val="superscript"/>
                    </w:rPr>
                    <w:t>3</w:t>
                  </w:r>
                  <w:r>
                    <w:rPr>
                      <w:rFonts w:cstheme="minorHAnsi"/>
                      <w:color w:val="auto"/>
                      <w:szCs w:val="21"/>
                    </w:rPr>
                    <w:t>/h，18.5kW</w:t>
                  </w:r>
                </w:p>
              </w:tc>
              <w:tc>
                <w:tcPr>
                  <w:tcW w:w="613" w:type="pct"/>
                  <w:vAlign w:val="center"/>
                </w:tcPr>
                <w:p>
                  <w:pPr>
                    <w:widowControl/>
                    <w:jc w:val="center"/>
                    <w:rPr>
                      <w:rFonts w:cs="Times New Roman"/>
                      <w:bCs/>
                      <w:color w:val="auto"/>
                      <w:kern w:val="0"/>
                      <w:szCs w:val="21"/>
                    </w:rPr>
                  </w:pPr>
                  <w:r>
                    <w:rPr>
                      <w:rFonts w:cs="Times New Roman"/>
                      <w:bCs/>
                      <w:color w:val="auto"/>
                      <w:kern w:val="0"/>
                      <w:szCs w:val="21"/>
                    </w:rPr>
                    <w:t>台</w:t>
                  </w:r>
                </w:p>
              </w:tc>
              <w:tc>
                <w:tcPr>
                  <w:tcW w:w="613" w:type="pct"/>
                  <w:vAlign w:val="center"/>
                </w:tcPr>
                <w:p>
                  <w:pPr>
                    <w:widowControl/>
                    <w:jc w:val="center"/>
                    <w:rPr>
                      <w:rFonts w:cs="Times New Roman"/>
                      <w:bCs/>
                      <w:color w:val="auto"/>
                      <w:kern w:val="0"/>
                      <w:szCs w:val="21"/>
                    </w:rPr>
                  </w:pPr>
                  <w:r>
                    <w:rPr>
                      <w:rFonts w:cs="Times New Roman"/>
                      <w:bCs/>
                      <w:color w:val="auto"/>
                      <w:kern w:val="0"/>
                      <w:szCs w:val="21"/>
                    </w:rPr>
                    <w:t>2</w:t>
                  </w:r>
                </w:p>
              </w:tc>
              <w:tc>
                <w:tcPr>
                  <w:tcW w:w="752" w:type="pct"/>
                  <w:vAlign w:val="center"/>
                </w:tcPr>
                <w:p>
                  <w:pPr>
                    <w:widowControl/>
                    <w:jc w:val="center"/>
                    <w:rPr>
                      <w:rFonts w:cs="Times New Roman"/>
                      <w:bCs/>
                      <w:color w:val="auto"/>
                      <w:kern w:val="0"/>
                      <w:szCs w:val="21"/>
                    </w:rPr>
                  </w:pPr>
                  <w:r>
                    <w:rPr>
                      <w:rFonts w:hint="eastAsia" w:cs="Times New Roman"/>
                      <w:bCs/>
                      <w:color w:val="auto"/>
                      <w:kern w:val="0"/>
                      <w:szCs w:val="21"/>
                    </w:rPr>
                    <w:t>一</w:t>
                  </w:r>
                  <w:r>
                    <w:rPr>
                      <w:rFonts w:cs="Times New Roman"/>
                      <w:bCs/>
                      <w:color w:val="auto"/>
                      <w:kern w:val="0"/>
                      <w:szCs w:val="21"/>
                    </w:rPr>
                    <w:t>用一备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7" w:type="pct"/>
                  <w:vAlign w:val="center"/>
                </w:tcPr>
                <w:p>
                  <w:pPr>
                    <w:widowControl/>
                    <w:jc w:val="center"/>
                    <w:rPr>
                      <w:color w:val="auto"/>
                      <w:szCs w:val="21"/>
                    </w:rPr>
                  </w:pPr>
                  <w:r>
                    <w:rPr>
                      <w:rFonts w:hint="eastAsia"/>
                      <w:color w:val="auto"/>
                      <w:szCs w:val="21"/>
                    </w:rPr>
                    <w:t>1</w:t>
                  </w:r>
                  <w:r>
                    <w:rPr>
                      <w:color w:val="auto"/>
                      <w:szCs w:val="21"/>
                    </w:rPr>
                    <w:t>1</w:t>
                  </w:r>
                </w:p>
              </w:tc>
              <w:tc>
                <w:tcPr>
                  <w:tcW w:w="937" w:type="pct"/>
                  <w:shd w:val="clear" w:color="auto" w:fill="auto"/>
                  <w:vAlign w:val="center"/>
                </w:tcPr>
                <w:p>
                  <w:pPr>
                    <w:widowControl/>
                    <w:jc w:val="center"/>
                    <w:rPr>
                      <w:color w:val="auto"/>
                      <w:szCs w:val="21"/>
                    </w:rPr>
                  </w:pPr>
                  <w:r>
                    <w:rPr>
                      <w:color w:val="auto"/>
                      <w:szCs w:val="21"/>
                    </w:rPr>
                    <w:t>PAC加药装置</w:t>
                  </w:r>
                </w:p>
              </w:tc>
              <w:tc>
                <w:tcPr>
                  <w:tcW w:w="1717" w:type="pct"/>
                  <w:shd w:val="clear" w:color="auto" w:fill="auto"/>
                  <w:vAlign w:val="center"/>
                </w:tcPr>
                <w:p>
                  <w:pPr>
                    <w:jc w:val="center"/>
                    <w:rPr>
                      <w:rFonts w:cstheme="minorHAnsi"/>
                      <w:color w:val="auto"/>
                      <w:szCs w:val="21"/>
                    </w:rPr>
                  </w:pPr>
                  <w:r>
                    <w:rPr>
                      <w:rFonts w:cstheme="minorHAnsi"/>
                      <w:color w:val="auto"/>
                      <w:szCs w:val="21"/>
                    </w:rPr>
                    <w:t>JYW50，Q=50L/h</w:t>
                  </w:r>
                </w:p>
              </w:tc>
              <w:tc>
                <w:tcPr>
                  <w:tcW w:w="613" w:type="pct"/>
                  <w:vAlign w:val="center"/>
                </w:tcPr>
                <w:p>
                  <w:pPr>
                    <w:widowControl/>
                    <w:jc w:val="center"/>
                    <w:rPr>
                      <w:rFonts w:cs="Times New Roman"/>
                      <w:bCs/>
                      <w:color w:val="auto"/>
                      <w:kern w:val="0"/>
                      <w:szCs w:val="21"/>
                    </w:rPr>
                  </w:pPr>
                  <w:r>
                    <w:rPr>
                      <w:rFonts w:cs="Times New Roman"/>
                      <w:bCs/>
                      <w:color w:val="auto"/>
                      <w:kern w:val="0"/>
                      <w:szCs w:val="21"/>
                    </w:rPr>
                    <w:t>套</w:t>
                  </w:r>
                </w:p>
              </w:tc>
              <w:tc>
                <w:tcPr>
                  <w:tcW w:w="613" w:type="pct"/>
                  <w:vAlign w:val="center"/>
                </w:tcPr>
                <w:p>
                  <w:pPr>
                    <w:widowControl/>
                    <w:jc w:val="center"/>
                    <w:rPr>
                      <w:rFonts w:cs="Times New Roman"/>
                      <w:bCs/>
                      <w:color w:val="auto"/>
                      <w:kern w:val="0"/>
                      <w:szCs w:val="21"/>
                    </w:rPr>
                  </w:pPr>
                  <w:r>
                    <w:rPr>
                      <w:rFonts w:hint="eastAsia" w:cs="Times New Roman"/>
                      <w:bCs/>
                      <w:color w:val="auto"/>
                      <w:kern w:val="0"/>
                      <w:szCs w:val="21"/>
                    </w:rPr>
                    <w:t>1</w:t>
                  </w:r>
                </w:p>
              </w:tc>
              <w:tc>
                <w:tcPr>
                  <w:tcW w:w="752" w:type="pct"/>
                  <w:vAlign w:val="center"/>
                </w:tcPr>
                <w:p>
                  <w:pPr>
                    <w:widowControl/>
                    <w:jc w:val="center"/>
                    <w:rPr>
                      <w:rFonts w:cs="Times New Roman"/>
                      <w:bCs/>
                      <w:color w:val="auto"/>
                      <w:kern w:val="0"/>
                      <w:szCs w:val="21"/>
                    </w:rPr>
                  </w:pPr>
                  <w:r>
                    <w:rPr>
                      <w:rFonts w:hint="eastAsia" w:cs="Times New Roman"/>
                      <w:bCs/>
                      <w:color w:val="auto"/>
                      <w:kern w:val="0"/>
                      <w:szCs w:val="21"/>
                    </w:rPr>
                    <w:t>一箱二泵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7" w:type="pct"/>
                  <w:vAlign w:val="center"/>
                </w:tcPr>
                <w:p>
                  <w:pPr>
                    <w:widowControl/>
                    <w:jc w:val="center"/>
                    <w:rPr>
                      <w:color w:val="auto"/>
                      <w:szCs w:val="21"/>
                    </w:rPr>
                  </w:pPr>
                  <w:r>
                    <w:rPr>
                      <w:rFonts w:hint="eastAsia"/>
                      <w:color w:val="auto"/>
                      <w:szCs w:val="21"/>
                    </w:rPr>
                    <w:t>1</w:t>
                  </w:r>
                  <w:r>
                    <w:rPr>
                      <w:color w:val="auto"/>
                      <w:szCs w:val="21"/>
                    </w:rPr>
                    <w:t>2</w:t>
                  </w:r>
                </w:p>
              </w:tc>
              <w:tc>
                <w:tcPr>
                  <w:tcW w:w="937" w:type="pct"/>
                  <w:shd w:val="clear" w:color="auto" w:fill="auto"/>
                  <w:vAlign w:val="center"/>
                </w:tcPr>
                <w:p>
                  <w:pPr>
                    <w:widowControl/>
                    <w:jc w:val="center"/>
                    <w:rPr>
                      <w:color w:val="auto"/>
                      <w:szCs w:val="21"/>
                    </w:rPr>
                  </w:pPr>
                  <w:r>
                    <w:rPr>
                      <w:color w:val="auto"/>
                      <w:szCs w:val="21"/>
                    </w:rPr>
                    <w:t>次氯酸钠加药装置</w:t>
                  </w:r>
                </w:p>
              </w:tc>
              <w:tc>
                <w:tcPr>
                  <w:tcW w:w="1717" w:type="pct"/>
                  <w:shd w:val="clear" w:color="auto" w:fill="auto"/>
                  <w:vAlign w:val="center"/>
                </w:tcPr>
                <w:p>
                  <w:pPr>
                    <w:jc w:val="center"/>
                    <w:rPr>
                      <w:rFonts w:cstheme="minorHAnsi"/>
                      <w:color w:val="auto"/>
                      <w:szCs w:val="21"/>
                    </w:rPr>
                  </w:pPr>
                  <w:r>
                    <w:rPr>
                      <w:rFonts w:cstheme="minorHAnsi"/>
                      <w:color w:val="auto"/>
                      <w:szCs w:val="21"/>
                    </w:rPr>
                    <w:t>JYW25，Q=25L/h</w:t>
                  </w:r>
                </w:p>
              </w:tc>
              <w:tc>
                <w:tcPr>
                  <w:tcW w:w="613" w:type="pct"/>
                  <w:vAlign w:val="center"/>
                </w:tcPr>
                <w:p>
                  <w:pPr>
                    <w:widowControl/>
                    <w:jc w:val="center"/>
                    <w:rPr>
                      <w:rFonts w:cs="Times New Roman"/>
                      <w:bCs/>
                      <w:color w:val="auto"/>
                      <w:kern w:val="0"/>
                      <w:szCs w:val="21"/>
                    </w:rPr>
                  </w:pPr>
                  <w:r>
                    <w:rPr>
                      <w:rFonts w:cs="Times New Roman"/>
                      <w:bCs/>
                      <w:color w:val="auto"/>
                      <w:kern w:val="0"/>
                      <w:szCs w:val="21"/>
                    </w:rPr>
                    <w:t>套</w:t>
                  </w:r>
                </w:p>
              </w:tc>
              <w:tc>
                <w:tcPr>
                  <w:tcW w:w="613" w:type="pct"/>
                  <w:vAlign w:val="center"/>
                </w:tcPr>
                <w:p>
                  <w:pPr>
                    <w:widowControl/>
                    <w:jc w:val="center"/>
                    <w:rPr>
                      <w:color w:val="auto"/>
                      <w:szCs w:val="21"/>
                    </w:rPr>
                  </w:pPr>
                  <w:r>
                    <w:rPr>
                      <w:rFonts w:hint="eastAsia" w:cs="Times New Roman"/>
                      <w:bCs/>
                      <w:color w:val="auto"/>
                      <w:kern w:val="0"/>
                      <w:szCs w:val="21"/>
                    </w:rPr>
                    <w:t>1</w:t>
                  </w:r>
                </w:p>
              </w:tc>
              <w:tc>
                <w:tcPr>
                  <w:tcW w:w="752" w:type="pct"/>
                  <w:vAlign w:val="center"/>
                </w:tcPr>
                <w:p>
                  <w:pPr>
                    <w:widowControl/>
                    <w:jc w:val="center"/>
                    <w:rPr>
                      <w:color w:val="auto"/>
                      <w:szCs w:val="21"/>
                    </w:rPr>
                  </w:pPr>
                  <w:r>
                    <w:rPr>
                      <w:rFonts w:hint="eastAsia" w:cs="Times New Roman"/>
                      <w:bCs/>
                      <w:color w:val="auto"/>
                      <w:kern w:val="0"/>
                      <w:szCs w:val="21"/>
                    </w:rPr>
                    <w:t>一箱二泵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7" w:type="pct"/>
                  <w:vAlign w:val="center"/>
                </w:tcPr>
                <w:p>
                  <w:pPr>
                    <w:widowControl/>
                    <w:jc w:val="center"/>
                    <w:rPr>
                      <w:color w:val="auto"/>
                      <w:szCs w:val="21"/>
                    </w:rPr>
                  </w:pPr>
                  <w:r>
                    <w:rPr>
                      <w:rFonts w:hint="eastAsia"/>
                      <w:color w:val="auto"/>
                      <w:szCs w:val="21"/>
                    </w:rPr>
                    <w:t>1</w:t>
                  </w:r>
                  <w:r>
                    <w:rPr>
                      <w:color w:val="auto"/>
                      <w:szCs w:val="21"/>
                    </w:rPr>
                    <w:t>3</w:t>
                  </w:r>
                </w:p>
              </w:tc>
              <w:tc>
                <w:tcPr>
                  <w:tcW w:w="937" w:type="pct"/>
                  <w:shd w:val="clear" w:color="auto" w:fill="auto"/>
                  <w:vAlign w:val="center"/>
                </w:tcPr>
                <w:p>
                  <w:pPr>
                    <w:widowControl/>
                    <w:jc w:val="center"/>
                    <w:rPr>
                      <w:color w:val="auto"/>
                      <w:szCs w:val="21"/>
                    </w:rPr>
                  </w:pPr>
                  <w:r>
                    <w:rPr>
                      <w:color w:val="auto"/>
                      <w:szCs w:val="21"/>
                    </w:rPr>
                    <w:t>废水池</w:t>
                  </w:r>
                </w:p>
              </w:tc>
              <w:tc>
                <w:tcPr>
                  <w:tcW w:w="1717" w:type="pct"/>
                  <w:shd w:val="clear" w:color="auto" w:fill="auto"/>
                  <w:vAlign w:val="center"/>
                </w:tcPr>
                <w:p>
                  <w:pPr>
                    <w:widowControl/>
                    <w:jc w:val="center"/>
                    <w:rPr>
                      <w:rFonts w:cstheme="minorHAnsi"/>
                      <w:color w:val="auto"/>
                      <w:szCs w:val="21"/>
                    </w:rPr>
                  </w:pPr>
                  <w:r>
                    <w:rPr>
                      <w:rFonts w:cs="Times New Roman"/>
                      <w:color w:val="auto"/>
                      <w:szCs w:val="21"/>
                    </w:rPr>
                    <w:t>V=180m</w:t>
                  </w:r>
                  <w:r>
                    <w:rPr>
                      <w:rFonts w:cs="Times New Roman"/>
                      <w:color w:val="auto"/>
                      <w:szCs w:val="21"/>
                      <w:vertAlign w:val="superscript"/>
                    </w:rPr>
                    <w:t>3</w:t>
                  </w:r>
                  <w:r>
                    <w:rPr>
                      <w:rFonts w:cs="Times New Roman"/>
                      <w:color w:val="auto"/>
                      <w:szCs w:val="21"/>
                    </w:rPr>
                    <w:t>，8000*5000*4500</w:t>
                  </w:r>
                </w:p>
              </w:tc>
              <w:tc>
                <w:tcPr>
                  <w:tcW w:w="613" w:type="pct"/>
                  <w:vAlign w:val="center"/>
                </w:tcPr>
                <w:p>
                  <w:pPr>
                    <w:widowControl/>
                    <w:jc w:val="center"/>
                    <w:rPr>
                      <w:rFonts w:cs="Times New Roman"/>
                      <w:bCs/>
                      <w:color w:val="auto"/>
                      <w:kern w:val="0"/>
                      <w:szCs w:val="21"/>
                    </w:rPr>
                  </w:pPr>
                  <w:r>
                    <w:rPr>
                      <w:rFonts w:cs="Times New Roman"/>
                      <w:bCs/>
                      <w:color w:val="auto"/>
                      <w:kern w:val="0"/>
                      <w:szCs w:val="21"/>
                    </w:rPr>
                    <w:t>座</w:t>
                  </w:r>
                </w:p>
              </w:tc>
              <w:tc>
                <w:tcPr>
                  <w:tcW w:w="613" w:type="pct"/>
                  <w:vAlign w:val="center"/>
                </w:tcPr>
                <w:p>
                  <w:pPr>
                    <w:widowControl/>
                    <w:jc w:val="center"/>
                    <w:rPr>
                      <w:rFonts w:cs="Times New Roman"/>
                      <w:bCs/>
                      <w:color w:val="auto"/>
                      <w:kern w:val="0"/>
                      <w:szCs w:val="21"/>
                    </w:rPr>
                  </w:pPr>
                  <w:r>
                    <w:rPr>
                      <w:rFonts w:hint="eastAsia" w:cs="Times New Roman"/>
                      <w:bCs/>
                      <w:color w:val="auto"/>
                      <w:kern w:val="0"/>
                      <w:szCs w:val="21"/>
                    </w:rPr>
                    <w:t>1</w:t>
                  </w:r>
                </w:p>
              </w:tc>
              <w:tc>
                <w:tcPr>
                  <w:tcW w:w="752" w:type="pct"/>
                  <w:vAlign w:val="center"/>
                </w:tcPr>
                <w:p>
                  <w:pPr>
                    <w:widowControl/>
                    <w:jc w:val="center"/>
                    <w:rPr>
                      <w:rFonts w:cs="Times New Roman"/>
                      <w:bCs/>
                      <w:color w:val="auto"/>
                      <w:kern w:val="0"/>
                      <w:szCs w:val="21"/>
                    </w:rPr>
                  </w:pPr>
                  <w:r>
                    <w:rPr>
                      <w:rFonts w:cs="Times New Roman"/>
                      <w:bCs/>
                      <w:color w:val="auto"/>
                      <w:kern w:val="0"/>
                      <w:szCs w:val="21"/>
                    </w:rPr>
                    <w:t>钢筋砼结构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7" w:type="pct"/>
                  <w:vAlign w:val="center"/>
                </w:tcPr>
                <w:p>
                  <w:pPr>
                    <w:widowControl/>
                    <w:jc w:val="center"/>
                    <w:rPr>
                      <w:color w:val="auto"/>
                      <w:szCs w:val="21"/>
                    </w:rPr>
                  </w:pPr>
                  <w:r>
                    <w:rPr>
                      <w:rFonts w:hint="eastAsia"/>
                      <w:color w:val="auto"/>
                      <w:szCs w:val="21"/>
                    </w:rPr>
                    <w:t>1</w:t>
                  </w:r>
                  <w:r>
                    <w:rPr>
                      <w:color w:val="auto"/>
                      <w:szCs w:val="21"/>
                    </w:rPr>
                    <w:t>4</w:t>
                  </w:r>
                </w:p>
              </w:tc>
              <w:tc>
                <w:tcPr>
                  <w:tcW w:w="937" w:type="pct"/>
                  <w:shd w:val="clear" w:color="auto" w:fill="auto"/>
                  <w:vAlign w:val="center"/>
                </w:tcPr>
                <w:p>
                  <w:pPr>
                    <w:widowControl/>
                    <w:jc w:val="center"/>
                    <w:rPr>
                      <w:color w:val="auto"/>
                      <w:szCs w:val="21"/>
                    </w:rPr>
                  </w:pPr>
                  <w:r>
                    <w:rPr>
                      <w:rFonts w:hint="eastAsia"/>
                      <w:color w:val="auto"/>
                      <w:szCs w:val="21"/>
                    </w:rPr>
                    <w:t>叠螺浓缩脱水一体机</w:t>
                  </w:r>
                </w:p>
              </w:tc>
              <w:tc>
                <w:tcPr>
                  <w:tcW w:w="1717" w:type="pct"/>
                  <w:shd w:val="clear" w:color="auto" w:fill="auto"/>
                  <w:vAlign w:val="center"/>
                </w:tcPr>
                <w:p>
                  <w:pPr>
                    <w:widowControl/>
                    <w:jc w:val="center"/>
                    <w:rPr>
                      <w:rFonts w:cs="Times New Roman"/>
                      <w:color w:val="auto"/>
                      <w:szCs w:val="21"/>
                    </w:rPr>
                  </w:pPr>
                  <w:r>
                    <w:rPr>
                      <w:rFonts w:hint="eastAsia" w:cs="Times New Roman"/>
                      <w:color w:val="auto"/>
                      <w:szCs w:val="21"/>
                    </w:rPr>
                    <w:t>/</w:t>
                  </w:r>
                </w:p>
              </w:tc>
              <w:tc>
                <w:tcPr>
                  <w:tcW w:w="613" w:type="pct"/>
                  <w:vAlign w:val="center"/>
                </w:tcPr>
                <w:p>
                  <w:pPr>
                    <w:widowControl/>
                    <w:jc w:val="center"/>
                    <w:rPr>
                      <w:rFonts w:cs="Times New Roman"/>
                      <w:bCs/>
                      <w:color w:val="auto"/>
                      <w:kern w:val="0"/>
                      <w:szCs w:val="21"/>
                    </w:rPr>
                  </w:pPr>
                  <w:r>
                    <w:rPr>
                      <w:rFonts w:cs="Times New Roman"/>
                      <w:bCs/>
                      <w:color w:val="auto"/>
                      <w:kern w:val="0"/>
                      <w:szCs w:val="21"/>
                    </w:rPr>
                    <w:t>台</w:t>
                  </w:r>
                </w:p>
              </w:tc>
              <w:tc>
                <w:tcPr>
                  <w:tcW w:w="613" w:type="pct"/>
                  <w:vAlign w:val="center"/>
                </w:tcPr>
                <w:p>
                  <w:pPr>
                    <w:widowControl/>
                    <w:jc w:val="center"/>
                    <w:rPr>
                      <w:rFonts w:cs="Times New Roman"/>
                      <w:bCs/>
                      <w:color w:val="auto"/>
                      <w:kern w:val="0"/>
                      <w:szCs w:val="21"/>
                    </w:rPr>
                  </w:pPr>
                  <w:r>
                    <w:rPr>
                      <w:rFonts w:hint="eastAsia" w:cs="Times New Roman"/>
                      <w:bCs/>
                      <w:color w:val="auto"/>
                      <w:kern w:val="0"/>
                      <w:szCs w:val="21"/>
                    </w:rPr>
                    <w:t>2</w:t>
                  </w:r>
                </w:p>
              </w:tc>
              <w:tc>
                <w:tcPr>
                  <w:tcW w:w="752" w:type="pct"/>
                  <w:vAlign w:val="center"/>
                </w:tcPr>
                <w:p>
                  <w:pPr>
                    <w:widowControl/>
                    <w:jc w:val="center"/>
                    <w:rPr>
                      <w:rFonts w:cs="Times New Roman"/>
                      <w:bCs/>
                      <w:color w:val="auto"/>
                      <w:kern w:val="0"/>
                      <w:szCs w:val="21"/>
                    </w:rPr>
                  </w:pPr>
                  <w:r>
                    <w:rPr>
                      <w:rFonts w:hint="eastAsia" w:cs="Times New Roman"/>
                      <w:bCs/>
                      <w:color w:val="auto"/>
                      <w:kern w:val="0"/>
                      <w:szCs w:val="21"/>
                    </w:rPr>
                    <w:t>/</w:t>
                  </w:r>
                </w:p>
              </w:tc>
            </w:tr>
          </w:tbl>
          <w:p>
            <w:pPr>
              <w:spacing w:line="360" w:lineRule="auto"/>
              <w:ind w:firstLine="482" w:firstLineChars="200"/>
              <w:rPr>
                <w:rFonts w:cs="Times New Roman"/>
                <w:b/>
                <w:color w:val="auto"/>
                <w:sz w:val="24"/>
                <w:szCs w:val="24"/>
              </w:rPr>
            </w:pPr>
            <w:r>
              <w:rPr>
                <w:rFonts w:cs="Times New Roman"/>
                <w:b/>
                <w:color w:val="auto"/>
                <w:sz w:val="24"/>
                <w:szCs w:val="24"/>
              </w:rPr>
              <w:t>7</w:t>
            </w:r>
            <w:r>
              <w:rPr>
                <w:rFonts w:hint="eastAsia" w:cs="Times New Roman"/>
                <w:b/>
                <w:color w:val="auto"/>
                <w:sz w:val="24"/>
                <w:szCs w:val="24"/>
              </w:rPr>
              <w:t>、</w:t>
            </w:r>
            <w:r>
              <w:rPr>
                <w:rFonts w:cs="Times New Roman"/>
                <w:b/>
                <w:color w:val="auto"/>
                <w:sz w:val="24"/>
                <w:szCs w:val="24"/>
              </w:rPr>
              <w:t>主要</w:t>
            </w:r>
            <w:r>
              <w:rPr>
                <w:rFonts w:hint="eastAsia" w:cs="Times New Roman"/>
                <w:b/>
                <w:color w:val="auto"/>
                <w:sz w:val="24"/>
                <w:szCs w:val="24"/>
              </w:rPr>
              <w:t>原辅材料</w:t>
            </w:r>
            <w:r>
              <w:rPr>
                <w:rFonts w:cs="Times New Roman"/>
                <w:b/>
                <w:color w:val="auto"/>
                <w:sz w:val="24"/>
                <w:szCs w:val="24"/>
              </w:rPr>
              <w:t>及</w:t>
            </w:r>
            <w:r>
              <w:rPr>
                <w:rFonts w:hint="eastAsia" w:cs="Times New Roman"/>
                <w:b/>
                <w:color w:val="auto"/>
                <w:sz w:val="24"/>
                <w:szCs w:val="24"/>
              </w:rPr>
              <w:t>能耗</w:t>
            </w:r>
          </w:p>
          <w:p>
            <w:pPr>
              <w:spacing w:line="360" w:lineRule="auto"/>
              <w:ind w:firstLine="480" w:firstLineChars="200"/>
              <w:rPr>
                <w:color w:val="auto"/>
                <w:kern w:val="24"/>
                <w:sz w:val="24"/>
                <w:szCs w:val="24"/>
              </w:rPr>
            </w:pPr>
            <w:r>
              <w:rPr>
                <w:rFonts w:hint="eastAsia"/>
                <w:color w:val="auto"/>
                <w:kern w:val="24"/>
                <w:sz w:val="24"/>
                <w:szCs w:val="24"/>
              </w:rPr>
              <w:t>本项目主要原辅材料及能耗见表</w:t>
            </w:r>
            <w:r>
              <w:rPr>
                <w:color w:val="auto"/>
                <w:kern w:val="24"/>
                <w:sz w:val="24"/>
                <w:szCs w:val="24"/>
              </w:rPr>
              <w:t>2</w:t>
            </w:r>
            <w:r>
              <w:rPr>
                <w:rFonts w:hint="eastAsia"/>
                <w:color w:val="auto"/>
                <w:kern w:val="24"/>
                <w:sz w:val="24"/>
                <w:szCs w:val="24"/>
              </w:rPr>
              <w:t>-</w:t>
            </w:r>
            <w:r>
              <w:rPr>
                <w:color w:val="auto"/>
                <w:kern w:val="24"/>
                <w:sz w:val="24"/>
                <w:szCs w:val="24"/>
              </w:rPr>
              <w:t>5</w:t>
            </w:r>
            <w:r>
              <w:rPr>
                <w:rFonts w:hint="eastAsia"/>
                <w:color w:val="auto"/>
                <w:kern w:val="24"/>
                <w:sz w:val="24"/>
                <w:szCs w:val="24"/>
              </w:rPr>
              <w:t>。</w:t>
            </w:r>
          </w:p>
          <w:p>
            <w:pPr>
              <w:spacing w:line="360" w:lineRule="auto"/>
              <w:jc w:val="center"/>
              <w:rPr>
                <w:rFonts w:eastAsia="黑体" w:cs="Times New Roman"/>
                <w:color w:val="auto"/>
                <w:szCs w:val="21"/>
              </w:rPr>
            </w:pPr>
            <w:r>
              <w:rPr>
                <w:rFonts w:hint="eastAsia" w:ascii="黑体" w:hAnsi="黑体" w:eastAsia="黑体"/>
                <w:color w:val="auto"/>
                <w:szCs w:val="21"/>
              </w:rPr>
              <w:t>表</w:t>
            </w:r>
            <w:r>
              <w:rPr>
                <w:rFonts w:eastAsia="黑体" w:cs="Times New Roman"/>
                <w:color w:val="auto"/>
                <w:szCs w:val="21"/>
              </w:rPr>
              <w:t>2</w:t>
            </w:r>
            <w:r>
              <w:rPr>
                <w:rFonts w:hint="eastAsia" w:eastAsia="黑体" w:cs="Times New Roman"/>
                <w:color w:val="auto"/>
                <w:szCs w:val="21"/>
              </w:rPr>
              <w:t>-</w:t>
            </w:r>
            <w:r>
              <w:rPr>
                <w:rFonts w:eastAsia="黑体" w:cs="Times New Roman"/>
                <w:color w:val="auto"/>
                <w:szCs w:val="21"/>
              </w:rPr>
              <w:t xml:space="preserve">5  </w:t>
            </w:r>
            <w:r>
              <w:rPr>
                <w:rFonts w:hint="eastAsia" w:eastAsia="黑体" w:cs="Times New Roman"/>
                <w:color w:val="auto"/>
                <w:szCs w:val="21"/>
              </w:rPr>
              <w:t>主要原辅材料及</w:t>
            </w:r>
            <w:r>
              <w:rPr>
                <w:rFonts w:eastAsia="黑体" w:cs="Times New Roman"/>
                <w:color w:val="auto"/>
                <w:szCs w:val="21"/>
              </w:rPr>
              <w:t>能耗</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386"/>
              <w:gridCol w:w="1446"/>
              <w:gridCol w:w="851"/>
              <w:gridCol w:w="1134"/>
              <w:gridCol w:w="993"/>
              <w:gridCol w:w="1163"/>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488" w:type="pct"/>
                  <w:vAlign w:val="center"/>
                </w:tcPr>
                <w:p>
                  <w:pPr>
                    <w:jc w:val="center"/>
                    <w:rPr>
                      <w:rFonts w:cstheme="minorHAnsi"/>
                      <w:color w:val="auto"/>
                      <w:szCs w:val="21"/>
                    </w:rPr>
                  </w:pPr>
                  <w:r>
                    <w:rPr>
                      <w:rFonts w:cstheme="minorHAnsi"/>
                      <w:color w:val="auto"/>
                      <w:szCs w:val="21"/>
                    </w:rPr>
                    <w:t>类型</w:t>
                  </w:r>
                </w:p>
              </w:tc>
              <w:tc>
                <w:tcPr>
                  <w:tcW w:w="800" w:type="pct"/>
                  <w:vAlign w:val="center"/>
                </w:tcPr>
                <w:p>
                  <w:pPr>
                    <w:jc w:val="center"/>
                    <w:rPr>
                      <w:rFonts w:cstheme="minorHAnsi"/>
                      <w:color w:val="auto"/>
                      <w:szCs w:val="21"/>
                    </w:rPr>
                  </w:pPr>
                  <w:r>
                    <w:rPr>
                      <w:rFonts w:cstheme="minorHAnsi"/>
                      <w:color w:val="auto"/>
                      <w:szCs w:val="21"/>
                    </w:rPr>
                    <w:t>名称</w:t>
                  </w:r>
                </w:p>
              </w:tc>
              <w:tc>
                <w:tcPr>
                  <w:tcW w:w="834" w:type="pct"/>
                  <w:vAlign w:val="center"/>
                </w:tcPr>
                <w:p>
                  <w:pPr>
                    <w:jc w:val="center"/>
                    <w:rPr>
                      <w:rFonts w:cstheme="minorHAnsi"/>
                      <w:color w:val="auto"/>
                      <w:szCs w:val="21"/>
                    </w:rPr>
                  </w:pPr>
                  <w:r>
                    <w:rPr>
                      <w:rFonts w:hint="eastAsia" w:cstheme="minorHAnsi"/>
                      <w:color w:val="auto"/>
                      <w:szCs w:val="21"/>
                    </w:rPr>
                    <w:t>成分</w:t>
                  </w:r>
                </w:p>
              </w:tc>
              <w:tc>
                <w:tcPr>
                  <w:tcW w:w="491" w:type="pct"/>
                  <w:vAlign w:val="center"/>
                </w:tcPr>
                <w:p>
                  <w:pPr>
                    <w:jc w:val="center"/>
                    <w:rPr>
                      <w:rFonts w:cstheme="minorHAnsi"/>
                      <w:color w:val="auto"/>
                      <w:szCs w:val="21"/>
                    </w:rPr>
                  </w:pPr>
                  <w:r>
                    <w:rPr>
                      <w:rFonts w:cstheme="minorHAnsi"/>
                      <w:color w:val="auto"/>
                      <w:szCs w:val="21"/>
                    </w:rPr>
                    <w:t>单位</w:t>
                  </w:r>
                </w:p>
              </w:tc>
              <w:tc>
                <w:tcPr>
                  <w:tcW w:w="654" w:type="pct"/>
                  <w:vAlign w:val="center"/>
                </w:tcPr>
                <w:p>
                  <w:pPr>
                    <w:jc w:val="center"/>
                    <w:rPr>
                      <w:rFonts w:cstheme="minorHAnsi"/>
                      <w:color w:val="auto"/>
                      <w:szCs w:val="21"/>
                    </w:rPr>
                  </w:pPr>
                  <w:r>
                    <w:rPr>
                      <w:rFonts w:cstheme="minorHAnsi"/>
                      <w:color w:val="auto"/>
                      <w:szCs w:val="21"/>
                    </w:rPr>
                    <w:t>年用量</w:t>
                  </w:r>
                </w:p>
              </w:tc>
              <w:tc>
                <w:tcPr>
                  <w:tcW w:w="573" w:type="pct"/>
                  <w:vAlign w:val="center"/>
                </w:tcPr>
                <w:p>
                  <w:pPr>
                    <w:jc w:val="center"/>
                    <w:rPr>
                      <w:rFonts w:cstheme="minorHAnsi"/>
                      <w:color w:val="auto"/>
                      <w:szCs w:val="21"/>
                    </w:rPr>
                  </w:pPr>
                  <w:r>
                    <w:rPr>
                      <w:rFonts w:cstheme="minorHAnsi"/>
                      <w:color w:val="auto"/>
                      <w:szCs w:val="21"/>
                    </w:rPr>
                    <w:t>存储量</w:t>
                  </w:r>
                </w:p>
              </w:tc>
              <w:tc>
                <w:tcPr>
                  <w:tcW w:w="671" w:type="pct"/>
                  <w:vAlign w:val="center"/>
                </w:tcPr>
                <w:p>
                  <w:pPr>
                    <w:jc w:val="center"/>
                    <w:rPr>
                      <w:rFonts w:cstheme="minorHAnsi"/>
                      <w:color w:val="auto"/>
                      <w:szCs w:val="21"/>
                    </w:rPr>
                  </w:pPr>
                  <w:r>
                    <w:rPr>
                      <w:rFonts w:cstheme="minorHAnsi"/>
                      <w:color w:val="auto"/>
                      <w:szCs w:val="21"/>
                    </w:rPr>
                    <w:t>存储方式</w:t>
                  </w:r>
                </w:p>
              </w:tc>
              <w:tc>
                <w:tcPr>
                  <w:tcW w:w="489" w:type="pct"/>
                  <w:vAlign w:val="center"/>
                </w:tcPr>
                <w:p>
                  <w:pPr>
                    <w:jc w:val="center"/>
                    <w:rPr>
                      <w:rFonts w:cstheme="minorHAnsi"/>
                      <w:color w:val="auto"/>
                      <w:szCs w:val="21"/>
                    </w:rPr>
                  </w:pPr>
                  <w:r>
                    <w:rPr>
                      <w:rFonts w:cstheme="minorHAnsi"/>
                      <w:color w:val="auto"/>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88" w:type="pct"/>
                  <w:vMerge w:val="restart"/>
                  <w:vAlign w:val="center"/>
                </w:tcPr>
                <w:p>
                  <w:pPr>
                    <w:jc w:val="center"/>
                    <w:rPr>
                      <w:rFonts w:cstheme="minorHAnsi"/>
                      <w:color w:val="auto"/>
                      <w:szCs w:val="21"/>
                    </w:rPr>
                  </w:pPr>
                  <w:r>
                    <w:rPr>
                      <w:rFonts w:cstheme="minorHAnsi"/>
                      <w:color w:val="auto"/>
                      <w:szCs w:val="21"/>
                    </w:rPr>
                    <w:t>主</w:t>
                  </w:r>
                </w:p>
                <w:p>
                  <w:pPr>
                    <w:jc w:val="center"/>
                    <w:rPr>
                      <w:rFonts w:cstheme="minorHAnsi"/>
                      <w:color w:val="auto"/>
                      <w:szCs w:val="21"/>
                    </w:rPr>
                  </w:pPr>
                  <w:r>
                    <w:rPr>
                      <w:rFonts w:hint="eastAsia" w:cstheme="minorHAnsi"/>
                      <w:color w:val="auto"/>
                      <w:szCs w:val="21"/>
                    </w:rPr>
                    <w:t>（</w:t>
                  </w:r>
                  <w:r>
                    <w:rPr>
                      <w:rFonts w:cstheme="minorHAnsi"/>
                      <w:color w:val="auto"/>
                      <w:szCs w:val="21"/>
                    </w:rPr>
                    <w:t>辅</w:t>
                  </w:r>
                  <w:r>
                    <w:rPr>
                      <w:rFonts w:hint="eastAsia" w:cstheme="minorHAnsi"/>
                      <w:color w:val="auto"/>
                      <w:szCs w:val="21"/>
                    </w:rPr>
                    <w:t>）</w:t>
                  </w:r>
                </w:p>
                <w:p>
                  <w:pPr>
                    <w:jc w:val="center"/>
                    <w:rPr>
                      <w:rFonts w:cstheme="minorHAnsi"/>
                      <w:color w:val="auto"/>
                      <w:szCs w:val="21"/>
                    </w:rPr>
                  </w:pPr>
                  <w:r>
                    <w:rPr>
                      <w:rFonts w:cstheme="minorHAnsi"/>
                      <w:color w:val="auto"/>
                      <w:szCs w:val="21"/>
                    </w:rPr>
                    <w:t>料</w:t>
                  </w:r>
                </w:p>
              </w:tc>
              <w:tc>
                <w:tcPr>
                  <w:tcW w:w="800" w:type="pct"/>
                  <w:vAlign w:val="center"/>
                </w:tcPr>
                <w:p>
                  <w:pPr>
                    <w:jc w:val="center"/>
                    <w:rPr>
                      <w:rFonts w:cstheme="minorHAnsi"/>
                      <w:color w:val="auto"/>
                      <w:szCs w:val="21"/>
                    </w:rPr>
                  </w:pPr>
                  <w:r>
                    <w:rPr>
                      <w:rFonts w:hint="eastAsia" w:cstheme="minorHAnsi"/>
                      <w:color w:val="auto"/>
                      <w:szCs w:val="21"/>
                    </w:rPr>
                    <w:t>原水</w:t>
                  </w:r>
                </w:p>
              </w:tc>
              <w:tc>
                <w:tcPr>
                  <w:tcW w:w="834" w:type="pct"/>
                  <w:vAlign w:val="center"/>
                </w:tcPr>
                <w:p>
                  <w:pPr>
                    <w:jc w:val="center"/>
                    <w:rPr>
                      <w:rFonts w:cstheme="minorHAnsi"/>
                      <w:color w:val="auto"/>
                      <w:szCs w:val="21"/>
                    </w:rPr>
                  </w:pPr>
                  <w:r>
                    <w:rPr>
                      <w:rFonts w:cstheme="minorHAnsi"/>
                      <w:color w:val="auto"/>
                      <w:szCs w:val="21"/>
                    </w:rPr>
                    <w:t>水</w:t>
                  </w:r>
                </w:p>
              </w:tc>
              <w:tc>
                <w:tcPr>
                  <w:tcW w:w="491" w:type="pct"/>
                  <w:vAlign w:val="center"/>
                </w:tcPr>
                <w:p>
                  <w:pPr>
                    <w:jc w:val="center"/>
                    <w:rPr>
                      <w:rFonts w:cstheme="minorHAnsi"/>
                      <w:color w:val="auto"/>
                      <w:szCs w:val="21"/>
                    </w:rPr>
                  </w:pPr>
                  <w:r>
                    <w:rPr>
                      <w:rFonts w:cstheme="minorHAnsi"/>
                      <w:color w:val="auto"/>
                      <w:szCs w:val="21"/>
                    </w:rPr>
                    <w:t>t</w:t>
                  </w:r>
                </w:p>
              </w:tc>
              <w:tc>
                <w:tcPr>
                  <w:tcW w:w="654" w:type="pct"/>
                  <w:vAlign w:val="center"/>
                </w:tcPr>
                <w:p>
                  <w:pPr>
                    <w:jc w:val="center"/>
                    <w:rPr>
                      <w:rFonts w:cstheme="minorHAnsi"/>
                      <w:color w:val="auto"/>
                      <w:szCs w:val="21"/>
                    </w:rPr>
                  </w:pPr>
                  <w:r>
                    <w:rPr>
                      <w:rFonts w:cstheme="minorHAnsi"/>
                      <w:color w:val="auto"/>
                      <w:szCs w:val="21"/>
                    </w:rPr>
                    <w:t>733650</w:t>
                  </w:r>
                </w:p>
              </w:tc>
              <w:tc>
                <w:tcPr>
                  <w:tcW w:w="573" w:type="pct"/>
                  <w:vAlign w:val="center"/>
                </w:tcPr>
                <w:p>
                  <w:pPr>
                    <w:jc w:val="center"/>
                    <w:rPr>
                      <w:rFonts w:cstheme="minorHAnsi"/>
                      <w:color w:val="auto"/>
                      <w:szCs w:val="21"/>
                    </w:rPr>
                  </w:pPr>
                  <w:r>
                    <w:rPr>
                      <w:rFonts w:cstheme="minorHAnsi"/>
                      <w:color w:val="auto"/>
                      <w:szCs w:val="21"/>
                    </w:rPr>
                    <w:t>200</w:t>
                  </w:r>
                </w:p>
              </w:tc>
              <w:tc>
                <w:tcPr>
                  <w:tcW w:w="671" w:type="pct"/>
                  <w:vAlign w:val="center"/>
                </w:tcPr>
                <w:p>
                  <w:pPr>
                    <w:jc w:val="center"/>
                    <w:rPr>
                      <w:rFonts w:cstheme="minorHAnsi"/>
                      <w:color w:val="auto"/>
                      <w:szCs w:val="21"/>
                    </w:rPr>
                  </w:pPr>
                  <w:r>
                    <w:rPr>
                      <w:rFonts w:cstheme="minorHAnsi"/>
                      <w:color w:val="auto"/>
                      <w:szCs w:val="21"/>
                    </w:rPr>
                    <w:t>原水箱</w:t>
                  </w:r>
                </w:p>
              </w:tc>
              <w:tc>
                <w:tcPr>
                  <w:tcW w:w="489" w:type="pct"/>
                  <w:vAlign w:val="center"/>
                </w:tcPr>
                <w:p>
                  <w:pPr>
                    <w:jc w:val="center"/>
                    <w:rPr>
                      <w:rFonts w:hint="eastAsia" w:eastAsia="宋体" w:cstheme="minorHAnsi"/>
                      <w:color w:val="auto"/>
                      <w:szCs w:val="21"/>
                      <w:lang w:eastAsia="zh-CN"/>
                    </w:rPr>
                  </w:pPr>
                  <w:r>
                    <w:rPr>
                      <w:rFonts w:hint="eastAsia" w:cstheme="minorHAnsi"/>
                      <w:color w:val="auto"/>
                      <w:szCs w:val="21"/>
                      <w:lang w:eastAsia="zh-CN"/>
                    </w:rPr>
                    <w:t>后河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88" w:type="pct"/>
                  <w:vMerge w:val="continue"/>
                  <w:vAlign w:val="center"/>
                </w:tcPr>
                <w:p>
                  <w:pPr>
                    <w:jc w:val="center"/>
                    <w:rPr>
                      <w:rFonts w:cstheme="minorHAnsi"/>
                      <w:color w:val="auto"/>
                      <w:szCs w:val="21"/>
                    </w:rPr>
                  </w:pPr>
                </w:p>
              </w:tc>
              <w:tc>
                <w:tcPr>
                  <w:tcW w:w="800" w:type="pct"/>
                  <w:vAlign w:val="center"/>
                </w:tcPr>
                <w:p>
                  <w:pPr>
                    <w:jc w:val="center"/>
                    <w:rPr>
                      <w:rFonts w:cstheme="minorHAnsi"/>
                      <w:color w:val="auto"/>
                      <w:szCs w:val="21"/>
                    </w:rPr>
                  </w:pPr>
                  <w:r>
                    <w:rPr>
                      <w:rFonts w:hint="eastAsia" w:cstheme="minorHAnsi"/>
                      <w:color w:val="auto"/>
                      <w:szCs w:val="21"/>
                    </w:rPr>
                    <w:t>PAC</w:t>
                  </w:r>
                </w:p>
              </w:tc>
              <w:tc>
                <w:tcPr>
                  <w:tcW w:w="834" w:type="pct"/>
                  <w:vAlign w:val="center"/>
                </w:tcPr>
                <w:p>
                  <w:pPr>
                    <w:jc w:val="center"/>
                    <w:rPr>
                      <w:rFonts w:cstheme="minorHAnsi"/>
                      <w:color w:val="auto"/>
                      <w:szCs w:val="21"/>
                    </w:rPr>
                  </w:pPr>
                  <w:r>
                    <w:rPr>
                      <w:rFonts w:hint="eastAsia" w:cstheme="minorHAnsi"/>
                      <w:color w:val="auto"/>
                      <w:szCs w:val="21"/>
                    </w:rPr>
                    <w:t>聚合氯化铝</w:t>
                  </w:r>
                </w:p>
              </w:tc>
              <w:tc>
                <w:tcPr>
                  <w:tcW w:w="491" w:type="pct"/>
                  <w:vAlign w:val="center"/>
                </w:tcPr>
                <w:p>
                  <w:pPr>
                    <w:jc w:val="center"/>
                    <w:rPr>
                      <w:rFonts w:cstheme="minorHAnsi"/>
                      <w:color w:val="auto"/>
                      <w:szCs w:val="21"/>
                    </w:rPr>
                  </w:pPr>
                  <w:r>
                    <w:rPr>
                      <w:rFonts w:hint="eastAsia" w:cstheme="minorHAnsi"/>
                      <w:color w:val="auto"/>
                      <w:szCs w:val="21"/>
                    </w:rPr>
                    <w:t>t</w:t>
                  </w:r>
                </w:p>
              </w:tc>
              <w:tc>
                <w:tcPr>
                  <w:tcW w:w="654" w:type="pct"/>
                  <w:vAlign w:val="center"/>
                </w:tcPr>
                <w:p>
                  <w:pPr>
                    <w:jc w:val="center"/>
                    <w:rPr>
                      <w:rFonts w:cstheme="minorHAnsi"/>
                      <w:color w:val="auto"/>
                      <w:szCs w:val="21"/>
                    </w:rPr>
                  </w:pPr>
                  <w:r>
                    <w:rPr>
                      <w:rFonts w:cstheme="minorHAnsi"/>
                      <w:color w:val="auto"/>
                      <w:szCs w:val="21"/>
                    </w:rPr>
                    <w:t>36.54</w:t>
                  </w:r>
                </w:p>
              </w:tc>
              <w:tc>
                <w:tcPr>
                  <w:tcW w:w="573" w:type="pct"/>
                  <w:vAlign w:val="center"/>
                </w:tcPr>
                <w:p>
                  <w:pPr>
                    <w:jc w:val="center"/>
                    <w:rPr>
                      <w:rFonts w:cstheme="minorHAnsi"/>
                      <w:color w:val="auto"/>
                      <w:szCs w:val="21"/>
                    </w:rPr>
                  </w:pPr>
                  <w:r>
                    <w:rPr>
                      <w:rFonts w:cstheme="minorHAnsi"/>
                      <w:color w:val="auto"/>
                      <w:szCs w:val="21"/>
                    </w:rPr>
                    <w:t>1.75</w:t>
                  </w:r>
                </w:p>
              </w:tc>
              <w:tc>
                <w:tcPr>
                  <w:tcW w:w="671" w:type="pct"/>
                  <w:vAlign w:val="center"/>
                </w:tcPr>
                <w:p>
                  <w:pPr>
                    <w:jc w:val="center"/>
                    <w:rPr>
                      <w:rFonts w:cstheme="minorHAnsi"/>
                      <w:color w:val="auto"/>
                      <w:szCs w:val="21"/>
                    </w:rPr>
                  </w:pPr>
                  <w:r>
                    <w:rPr>
                      <w:rFonts w:hint="eastAsia" w:cstheme="minorHAnsi"/>
                      <w:color w:val="auto"/>
                      <w:szCs w:val="21"/>
                    </w:rPr>
                    <w:t>储药箱</w:t>
                  </w:r>
                </w:p>
              </w:tc>
              <w:tc>
                <w:tcPr>
                  <w:tcW w:w="489" w:type="pct"/>
                  <w:vAlign w:val="center"/>
                </w:tcPr>
                <w:p>
                  <w:pPr>
                    <w:jc w:val="center"/>
                    <w:rPr>
                      <w:rFonts w:cstheme="minorHAnsi"/>
                      <w:color w:val="auto"/>
                      <w:szCs w:val="21"/>
                    </w:rPr>
                  </w:pPr>
                  <w:r>
                    <w:rPr>
                      <w:rFonts w:cstheme="minorHAnsi"/>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88" w:type="pct"/>
                  <w:vMerge w:val="continue"/>
                  <w:vAlign w:val="center"/>
                </w:tcPr>
                <w:p>
                  <w:pPr>
                    <w:jc w:val="center"/>
                    <w:rPr>
                      <w:rFonts w:cstheme="minorHAnsi"/>
                      <w:color w:val="auto"/>
                      <w:szCs w:val="21"/>
                    </w:rPr>
                  </w:pPr>
                </w:p>
              </w:tc>
              <w:tc>
                <w:tcPr>
                  <w:tcW w:w="800" w:type="pct"/>
                  <w:vAlign w:val="center"/>
                </w:tcPr>
                <w:p>
                  <w:pPr>
                    <w:jc w:val="center"/>
                    <w:rPr>
                      <w:rFonts w:cstheme="minorHAnsi"/>
                      <w:color w:val="auto"/>
                      <w:szCs w:val="21"/>
                    </w:rPr>
                  </w:pPr>
                  <w:r>
                    <w:rPr>
                      <w:rFonts w:hint="eastAsia" w:cstheme="minorHAnsi"/>
                      <w:color w:val="auto"/>
                      <w:szCs w:val="21"/>
                    </w:rPr>
                    <w:t>PAM</w:t>
                  </w:r>
                </w:p>
              </w:tc>
              <w:tc>
                <w:tcPr>
                  <w:tcW w:w="834" w:type="pct"/>
                  <w:vAlign w:val="center"/>
                </w:tcPr>
                <w:p>
                  <w:pPr>
                    <w:jc w:val="center"/>
                    <w:rPr>
                      <w:rFonts w:cstheme="minorHAnsi"/>
                      <w:color w:val="auto"/>
                      <w:szCs w:val="21"/>
                    </w:rPr>
                  </w:pPr>
                  <w:r>
                    <w:rPr>
                      <w:rFonts w:hint="eastAsia" w:cstheme="minorHAnsi"/>
                      <w:color w:val="auto"/>
                      <w:szCs w:val="21"/>
                    </w:rPr>
                    <w:t>聚丙烯酰胺</w:t>
                  </w:r>
                </w:p>
              </w:tc>
              <w:tc>
                <w:tcPr>
                  <w:tcW w:w="491" w:type="pct"/>
                  <w:vAlign w:val="center"/>
                </w:tcPr>
                <w:p>
                  <w:pPr>
                    <w:jc w:val="center"/>
                    <w:rPr>
                      <w:rFonts w:cstheme="minorHAnsi"/>
                      <w:color w:val="auto"/>
                      <w:szCs w:val="21"/>
                    </w:rPr>
                  </w:pPr>
                  <w:r>
                    <w:rPr>
                      <w:rFonts w:hint="eastAsia" w:cstheme="minorHAnsi"/>
                      <w:color w:val="auto"/>
                      <w:szCs w:val="21"/>
                    </w:rPr>
                    <w:t>t</w:t>
                  </w:r>
                </w:p>
              </w:tc>
              <w:tc>
                <w:tcPr>
                  <w:tcW w:w="654" w:type="pct"/>
                  <w:vAlign w:val="center"/>
                </w:tcPr>
                <w:p>
                  <w:pPr>
                    <w:jc w:val="center"/>
                    <w:rPr>
                      <w:rFonts w:cstheme="minorHAnsi"/>
                      <w:color w:val="auto"/>
                      <w:szCs w:val="21"/>
                    </w:rPr>
                  </w:pPr>
                  <w:r>
                    <w:rPr>
                      <w:rFonts w:cstheme="minorHAnsi"/>
                      <w:color w:val="auto"/>
                      <w:szCs w:val="21"/>
                    </w:rPr>
                    <w:t>0.05</w:t>
                  </w:r>
                </w:p>
              </w:tc>
              <w:tc>
                <w:tcPr>
                  <w:tcW w:w="573" w:type="pct"/>
                  <w:vAlign w:val="center"/>
                </w:tcPr>
                <w:p>
                  <w:pPr>
                    <w:jc w:val="center"/>
                    <w:rPr>
                      <w:rFonts w:cstheme="minorHAnsi"/>
                      <w:color w:val="auto"/>
                      <w:szCs w:val="21"/>
                    </w:rPr>
                  </w:pPr>
                  <w:r>
                    <w:rPr>
                      <w:rFonts w:cstheme="minorHAnsi"/>
                      <w:color w:val="auto"/>
                      <w:szCs w:val="21"/>
                    </w:rPr>
                    <w:t>0.025</w:t>
                  </w:r>
                </w:p>
              </w:tc>
              <w:tc>
                <w:tcPr>
                  <w:tcW w:w="671" w:type="pct"/>
                  <w:vAlign w:val="center"/>
                </w:tcPr>
                <w:p>
                  <w:pPr>
                    <w:jc w:val="center"/>
                    <w:rPr>
                      <w:rFonts w:cstheme="minorHAnsi"/>
                      <w:color w:val="auto"/>
                      <w:szCs w:val="21"/>
                    </w:rPr>
                  </w:pPr>
                  <w:r>
                    <w:rPr>
                      <w:rFonts w:hint="eastAsia" w:cstheme="minorHAnsi"/>
                      <w:color w:val="auto"/>
                      <w:szCs w:val="21"/>
                    </w:rPr>
                    <w:t>储药箱</w:t>
                  </w:r>
                </w:p>
              </w:tc>
              <w:tc>
                <w:tcPr>
                  <w:tcW w:w="489" w:type="pct"/>
                  <w:vAlign w:val="center"/>
                </w:tcPr>
                <w:p>
                  <w:pPr>
                    <w:jc w:val="center"/>
                    <w:rPr>
                      <w:rFonts w:cstheme="minorHAnsi"/>
                      <w:color w:val="auto"/>
                      <w:szCs w:val="21"/>
                    </w:rPr>
                  </w:pPr>
                  <w:r>
                    <w:rPr>
                      <w:rFonts w:cstheme="minorHAnsi"/>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88" w:type="pct"/>
                  <w:vMerge w:val="continue"/>
                  <w:vAlign w:val="center"/>
                </w:tcPr>
                <w:p>
                  <w:pPr>
                    <w:jc w:val="center"/>
                    <w:rPr>
                      <w:rFonts w:cstheme="minorHAnsi"/>
                      <w:color w:val="auto"/>
                      <w:szCs w:val="21"/>
                    </w:rPr>
                  </w:pPr>
                </w:p>
              </w:tc>
              <w:tc>
                <w:tcPr>
                  <w:tcW w:w="800" w:type="pct"/>
                  <w:vAlign w:val="center"/>
                </w:tcPr>
                <w:p>
                  <w:pPr>
                    <w:jc w:val="center"/>
                    <w:rPr>
                      <w:rFonts w:cstheme="minorHAnsi"/>
                      <w:color w:val="auto"/>
                      <w:szCs w:val="21"/>
                    </w:rPr>
                  </w:pPr>
                  <w:r>
                    <w:rPr>
                      <w:rFonts w:hint="eastAsia" w:cstheme="minorHAnsi"/>
                      <w:color w:val="auto"/>
                      <w:szCs w:val="21"/>
                    </w:rPr>
                    <w:t>次氯酸钠（8%）</w:t>
                  </w:r>
                </w:p>
              </w:tc>
              <w:tc>
                <w:tcPr>
                  <w:tcW w:w="834" w:type="pct"/>
                  <w:vAlign w:val="center"/>
                </w:tcPr>
                <w:p>
                  <w:pPr>
                    <w:rPr>
                      <w:rFonts w:cstheme="minorHAnsi"/>
                      <w:color w:val="auto"/>
                      <w:szCs w:val="21"/>
                    </w:rPr>
                  </w:pPr>
                  <w:r>
                    <w:rPr>
                      <w:rFonts w:cstheme="minorHAnsi"/>
                      <w:color w:val="auto"/>
                      <w:szCs w:val="21"/>
                    </w:rPr>
                    <w:t>次氯酸钠</w:t>
                  </w:r>
                  <w:r>
                    <w:rPr>
                      <w:rFonts w:hint="eastAsia" w:cstheme="minorHAnsi"/>
                      <w:color w:val="auto"/>
                      <w:szCs w:val="21"/>
                    </w:rPr>
                    <w:t>、水</w:t>
                  </w:r>
                </w:p>
              </w:tc>
              <w:tc>
                <w:tcPr>
                  <w:tcW w:w="491" w:type="pct"/>
                  <w:vAlign w:val="center"/>
                </w:tcPr>
                <w:p>
                  <w:pPr>
                    <w:jc w:val="center"/>
                    <w:rPr>
                      <w:rFonts w:cstheme="minorHAnsi"/>
                      <w:color w:val="auto"/>
                      <w:szCs w:val="21"/>
                    </w:rPr>
                  </w:pPr>
                  <w:r>
                    <w:rPr>
                      <w:rFonts w:hint="eastAsia" w:cstheme="minorHAnsi"/>
                      <w:color w:val="auto"/>
                      <w:szCs w:val="21"/>
                    </w:rPr>
                    <w:t>t</w:t>
                  </w:r>
                </w:p>
              </w:tc>
              <w:tc>
                <w:tcPr>
                  <w:tcW w:w="654" w:type="pct"/>
                  <w:vAlign w:val="center"/>
                </w:tcPr>
                <w:p>
                  <w:pPr>
                    <w:jc w:val="center"/>
                    <w:rPr>
                      <w:rFonts w:cstheme="minorHAnsi"/>
                      <w:color w:val="auto"/>
                      <w:szCs w:val="21"/>
                    </w:rPr>
                  </w:pPr>
                  <w:r>
                    <w:rPr>
                      <w:rFonts w:cstheme="minorHAnsi"/>
                      <w:color w:val="auto"/>
                      <w:szCs w:val="21"/>
                    </w:rPr>
                    <w:t>17.96</w:t>
                  </w:r>
                </w:p>
              </w:tc>
              <w:tc>
                <w:tcPr>
                  <w:tcW w:w="573" w:type="pct"/>
                  <w:vAlign w:val="center"/>
                </w:tcPr>
                <w:p>
                  <w:pPr>
                    <w:jc w:val="center"/>
                    <w:rPr>
                      <w:rFonts w:cstheme="minorHAnsi"/>
                      <w:color w:val="auto"/>
                      <w:szCs w:val="21"/>
                    </w:rPr>
                  </w:pPr>
                  <w:r>
                    <w:rPr>
                      <w:rFonts w:cstheme="minorHAnsi"/>
                      <w:color w:val="auto"/>
                      <w:szCs w:val="21"/>
                    </w:rPr>
                    <w:t>1</w:t>
                  </w:r>
                </w:p>
              </w:tc>
              <w:tc>
                <w:tcPr>
                  <w:tcW w:w="671" w:type="pct"/>
                  <w:vAlign w:val="center"/>
                </w:tcPr>
                <w:p>
                  <w:pPr>
                    <w:jc w:val="center"/>
                    <w:rPr>
                      <w:rFonts w:cstheme="minorHAnsi"/>
                      <w:color w:val="auto"/>
                      <w:szCs w:val="21"/>
                    </w:rPr>
                  </w:pPr>
                  <w:r>
                    <w:rPr>
                      <w:rFonts w:hint="eastAsia" w:cstheme="minorHAnsi"/>
                      <w:color w:val="auto"/>
                      <w:szCs w:val="21"/>
                    </w:rPr>
                    <w:t>储药箱</w:t>
                  </w:r>
                </w:p>
              </w:tc>
              <w:tc>
                <w:tcPr>
                  <w:tcW w:w="489" w:type="pct"/>
                  <w:vAlign w:val="center"/>
                </w:tcPr>
                <w:p>
                  <w:pPr>
                    <w:jc w:val="center"/>
                    <w:rPr>
                      <w:rFonts w:cstheme="minorHAnsi"/>
                      <w:color w:val="auto"/>
                      <w:szCs w:val="21"/>
                    </w:rPr>
                  </w:pPr>
                  <w:r>
                    <w:rPr>
                      <w:rFonts w:cstheme="minorHAnsi"/>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88" w:type="pct"/>
                  <w:vMerge w:val="continue"/>
                  <w:vAlign w:val="center"/>
                </w:tcPr>
                <w:p>
                  <w:pPr>
                    <w:jc w:val="center"/>
                    <w:rPr>
                      <w:rFonts w:cstheme="minorHAnsi"/>
                      <w:color w:val="auto"/>
                      <w:szCs w:val="21"/>
                    </w:rPr>
                  </w:pPr>
                </w:p>
              </w:tc>
              <w:tc>
                <w:tcPr>
                  <w:tcW w:w="800" w:type="pct"/>
                  <w:vAlign w:val="center"/>
                </w:tcPr>
                <w:p>
                  <w:pPr>
                    <w:jc w:val="center"/>
                    <w:rPr>
                      <w:rFonts w:cstheme="minorHAnsi"/>
                      <w:color w:val="auto"/>
                      <w:szCs w:val="21"/>
                    </w:rPr>
                  </w:pPr>
                  <w:r>
                    <w:rPr>
                      <w:rFonts w:hint="eastAsia" w:cstheme="minorHAnsi"/>
                      <w:color w:val="auto"/>
                      <w:szCs w:val="21"/>
                    </w:rPr>
                    <w:t>活性炭</w:t>
                  </w:r>
                </w:p>
              </w:tc>
              <w:tc>
                <w:tcPr>
                  <w:tcW w:w="834" w:type="pct"/>
                  <w:vAlign w:val="center"/>
                </w:tcPr>
                <w:p>
                  <w:pPr>
                    <w:jc w:val="center"/>
                    <w:rPr>
                      <w:rFonts w:cstheme="minorHAnsi"/>
                      <w:color w:val="auto"/>
                      <w:szCs w:val="21"/>
                    </w:rPr>
                  </w:pPr>
                  <w:r>
                    <w:rPr>
                      <w:rFonts w:cstheme="minorHAnsi"/>
                      <w:color w:val="auto"/>
                      <w:szCs w:val="21"/>
                    </w:rPr>
                    <w:t>活性炭</w:t>
                  </w:r>
                </w:p>
              </w:tc>
              <w:tc>
                <w:tcPr>
                  <w:tcW w:w="491" w:type="pct"/>
                  <w:vAlign w:val="center"/>
                </w:tcPr>
                <w:p>
                  <w:pPr>
                    <w:jc w:val="center"/>
                    <w:rPr>
                      <w:rFonts w:cstheme="minorHAnsi"/>
                      <w:color w:val="auto"/>
                      <w:szCs w:val="21"/>
                    </w:rPr>
                  </w:pPr>
                  <w:r>
                    <w:rPr>
                      <w:rFonts w:hint="eastAsia" w:cstheme="minorHAnsi"/>
                      <w:color w:val="auto"/>
                      <w:szCs w:val="21"/>
                    </w:rPr>
                    <w:t>t</w:t>
                  </w:r>
                </w:p>
              </w:tc>
              <w:tc>
                <w:tcPr>
                  <w:tcW w:w="654" w:type="pct"/>
                  <w:vAlign w:val="center"/>
                </w:tcPr>
                <w:p>
                  <w:pPr>
                    <w:jc w:val="center"/>
                    <w:rPr>
                      <w:rFonts w:cstheme="minorHAnsi"/>
                      <w:color w:val="auto"/>
                      <w:szCs w:val="21"/>
                    </w:rPr>
                  </w:pPr>
                  <w:r>
                    <w:rPr>
                      <w:rFonts w:hint="eastAsia" w:cstheme="minorHAnsi"/>
                      <w:color w:val="auto"/>
                      <w:szCs w:val="21"/>
                    </w:rPr>
                    <w:t>2</w:t>
                  </w:r>
                  <w:r>
                    <w:rPr>
                      <w:rFonts w:cstheme="minorHAnsi"/>
                      <w:color w:val="auto"/>
                      <w:szCs w:val="21"/>
                    </w:rPr>
                    <w:t>.34</w:t>
                  </w:r>
                </w:p>
              </w:tc>
              <w:tc>
                <w:tcPr>
                  <w:tcW w:w="573" w:type="pct"/>
                  <w:vAlign w:val="center"/>
                </w:tcPr>
                <w:p>
                  <w:pPr>
                    <w:jc w:val="center"/>
                    <w:rPr>
                      <w:rFonts w:cstheme="minorHAnsi"/>
                      <w:color w:val="auto"/>
                      <w:szCs w:val="21"/>
                    </w:rPr>
                  </w:pPr>
                  <w:r>
                    <w:rPr>
                      <w:rFonts w:hint="eastAsia" w:cstheme="minorHAnsi"/>
                      <w:color w:val="auto"/>
                      <w:szCs w:val="21"/>
                    </w:rPr>
                    <w:t>/</w:t>
                  </w:r>
                </w:p>
              </w:tc>
              <w:tc>
                <w:tcPr>
                  <w:tcW w:w="671" w:type="pct"/>
                  <w:vAlign w:val="center"/>
                </w:tcPr>
                <w:p>
                  <w:pPr>
                    <w:jc w:val="center"/>
                    <w:rPr>
                      <w:rFonts w:cstheme="minorHAnsi"/>
                      <w:color w:val="auto"/>
                      <w:szCs w:val="21"/>
                    </w:rPr>
                  </w:pPr>
                  <w:r>
                    <w:rPr>
                      <w:rFonts w:hint="eastAsia" w:cstheme="minorHAnsi"/>
                      <w:color w:val="auto"/>
                      <w:szCs w:val="21"/>
                    </w:rPr>
                    <w:t>/</w:t>
                  </w:r>
                </w:p>
              </w:tc>
              <w:tc>
                <w:tcPr>
                  <w:tcW w:w="489" w:type="pct"/>
                  <w:vAlign w:val="center"/>
                </w:tcPr>
                <w:p>
                  <w:pPr>
                    <w:jc w:val="center"/>
                    <w:rPr>
                      <w:rFonts w:cstheme="minorHAnsi"/>
                      <w:color w:val="auto"/>
                      <w:szCs w:val="21"/>
                    </w:rPr>
                  </w:pPr>
                  <w:r>
                    <w:rPr>
                      <w:rFonts w:cstheme="minorHAnsi"/>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88" w:type="pct"/>
                  <w:vAlign w:val="center"/>
                </w:tcPr>
                <w:p>
                  <w:pPr>
                    <w:jc w:val="center"/>
                    <w:rPr>
                      <w:rFonts w:cstheme="minorHAnsi"/>
                      <w:color w:val="auto"/>
                      <w:szCs w:val="21"/>
                    </w:rPr>
                  </w:pPr>
                  <w:r>
                    <w:rPr>
                      <w:rFonts w:cstheme="minorHAnsi"/>
                      <w:color w:val="auto"/>
                      <w:szCs w:val="21"/>
                    </w:rPr>
                    <w:t>能源</w:t>
                  </w:r>
                </w:p>
              </w:tc>
              <w:tc>
                <w:tcPr>
                  <w:tcW w:w="800" w:type="pct"/>
                  <w:vAlign w:val="center"/>
                </w:tcPr>
                <w:p>
                  <w:pPr>
                    <w:jc w:val="center"/>
                    <w:rPr>
                      <w:rFonts w:cstheme="minorHAnsi"/>
                      <w:color w:val="auto"/>
                      <w:kern w:val="0"/>
                      <w:szCs w:val="21"/>
                    </w:rPr>
                  </w:pPr>
                  <w:r>
                    <w:rPr>
                      <w:rFonts w:cstheme="minorHAnsi"/>
                      <w:color w:val="auto"/>
                      <w:kern w:val="0"/>
                      <w:szCs w:val="21"/>
                    </w:rPr>
                    <w:t>电</w:t>
                  </w:r>
                </w:p>
              </w:tc>
              <w:tc>
                <w:tcPr>
                  <w:tcW w:w="834" w:type="pct"/>
                  <w:vAlign w:val="center"/>
                </w:tcPr>
                <w:p>
                  <w:pPr>
                    <w:jc w:val="center"/>
                    <w:rPr>
                      <w:rFonts w:cstheme="minorHAnsi"/>
                      <w:color w:val="auto"/>
                      <w:szCs w:val="21"/>
                    </w:rPr>
                  </w:pPr>
                  <w:r>
                    <w:rPr>
                      <w:rFonts w:cstheme="minorHAnsi"/>
                      <w:color w:val="auto"/>
                      <w:szCs w:val="21"/>
                    </w:rPr>
                    <w:t>/</w:t>
                  </w:r>
                </w:p>
              </w:tc>
              <w:tc>
                <w:tcPr>
                  <w:tcW w:w="491" w:type="pct"/>
                  <w:vAlign w:val="center"/>
                </w:tcPr>
                <w:p>
                  <w:pPr>
                    <w:jc w:val="center"/>
                    <w:rPr>
                      <w:rFonts w:cstheme="minorHAnsi"/>
                      <w:color w:val="auto"/>
                      <w:szCs w:val="21"/>
                    </w:rPr>
                  </w:pPr>
                  <w:r>
                    <w:rPr>
                      <w:rFonts w:cstheme="minorHAnsi"/>
                      <w:color w:val="auto"/>
                      <w:szCs w:val="21"/>
                    </w:rPr>
                    <w:t>kw·h</w:t>
                  </w:r>
                </w:p>
              </w:tc>
              <w:tc>
                <w:tcPr>
                  <w:tcW w:w="654" w:type="pct"/>
                  <w:vAlign w:val="center"/>
                </w:tcPr>
                <w:p>
                  <w:pPr>
                    <w:jc w:val="center"/>
                    <w:rPr>
                      <w:rFonts w:cstheme="minorHAnsi"/>
                      <w:color w:val="auto"/>
                      <w:szCs w:val="21"/>
                    </w:rPr>
                  </w:pPr>
                  <w:r>
                    <w:rPr>
                      <w:rFonts w:cstheme="minorHAnsi"/>
                      <w:color w:val="auto"/>
                      <w:szCs w:val="21"/>
                    </w:rPr>
                    <w:t>20000</w:t>
                  </w:r>
                </w:p>
              </w:tc>
              <w:tc>
                <w:tcPr>
                  <w:tcW w:w="573" w:type="pct"/>
                  <w:vAlign w:val="center"/>
                </w:tcPr>
                <w:p>
                  <w:pPr>
                    <w:jc w:val="center"/>
                    <w:rPr>
                      <w:rFonts w:cstheme="minorHAnsi"/>
                      <w:color w:val="auto"/>
                      <w:szCs w:val="21"/>
                    </w:rPr>
                  </w:pPr>
                  <w:r>
                    <w:rPr>
                      <w:rFonts w:hint="eastAsia" w:cstheme="minorHAnsi"/>
                      <w:color w:val="auto"/>
                      <w:szCs w:val="21"/>
                    </w:rPr>
                    <w:t>/</w:t>
                  </w:r>
                </w:p>
              </w:tc>
              <w:tc>
                <w:tcPr>
                  <w:tcW w:w="671" w:type="pct"/>
                  <w:vAlign w:val="center"/>
                </w:tcPr>
                <w:p>
                  <w:pPr>
                    <w:jc w:val="center"/>
                    <w:rPr>
                      <w:rFonts w:cstheme="minorHAnsi"/>
                      <w:color w:val="auto"/>
                      <w:szCs w:val="21"/>
                    </w:rPr>
                  </w:pPr>
                  <w:r>
                    <w:rPr>
                      <w:rFonts w:hint="eastAsia" w:cstheme="minorHAnsi"/>
                      <w:color w:val="auto"/>
                      <w:szCs w:val="21"/>
                    </w:rPr>
                    <w:t>/</w:t>
                  </w:r>
                </w:p>
              </w:tc>
              <w:tc>
                <w:tcPr>
                  <w:tcW w:w="489" w:type="pct"/>
                  <w:vAlign w:val="center"/>
                </w:tcPr>
                <w:p>
                  <w:pPr>
                    <w:jc w:val="center"/>
                    <w:rPr>
                      <w:rFonts w:cstheme="minorHAnsi"/>
                      <w:color w:val="auto"/>
                      <w:szCs w:val="21"/>
                    </w:rPr>
                  </w:pPr>
                  <w:r>
                    <w:rPr>
                      <w:rFonts w:cstheme="minorHAnsi"/>
                      <w:color w:val="auto"/>
                      <w:szCs w:val="21"/>
                    </w:rPr>
                    <w:t>市政</w:t>
                  </w:r>
                </w:p>
              </w:tc>
            </w:tr>
          </w:tbl>
          <w:p>
            <w:pPr>
              <w:spacing w:line="360" w:lineRule="auto"/>
              <w:ind w:firstLine="482" w:firstLineChars="200"/>
              <w:rPr>
                <w:b/>
                <w:sz w:val="24"/>
                <w:szCs w:val="24"/>
              </w:rPr>
            </w:pPr>
            <w:r>
              <w:rPr>
                <w:rFonts w:hint="eastAsia"/>
                <w:b/>
                <w:sz w:val="24"/>
                <w:szCs w:val="24"/>
              </w:rPr>
              <w:t>主要原辅料特性</w:t>
            </w:r>
            <w:r>
              <w:rPr>
                <w:b/>
                <w:sz w:val="24"/>
                <w:szCs w:val="24"/>
              </w:rPr>
              <w:t>：</w:t>
            </w:r>
          </w:p>
          <w:p>
            <w:pPr>
              <w:spacing w:line="360" w:lineRule="auto"/>
              <w:ind w:firstLine="482" w:firstLineChars="200"/>
              <w:rPr>
                <w:b/>
                <w:kern w:val="24"/>
                <w:sz w:val="24"/>
                <w:szCs w:val="24"/>
              </w:rPr>
            </w:pPr>
            <w:r>
              <w:rPr>
                <w:b/>
                <w:kern w:val="24"/>
                <w:sz w:val="24"/>
                <w:szCs w:val="24"/>
              </w:rPr>
              <w:t>（</w:t>
            </w:r>
            <w:r>
              <w:rPr>
                <w:rFonts w:hint="eastAsia"/>
                <w:b/>
                <w:kern w:val="24"/>
                <w:sz w:val="24"/>
                <w:szCs w:val="24"/>
              </w:rPr>
              <w:t>1）PAC</w:t>
            </w:r>
          </w:p>
          <w:p>
            <w:pPr>
              <w:spacing w:line="360" w:lineRule="auto"/>
              <w:ind w:firstLine="480" w:firstLineChars="200"/>
              <w:rPr>
                <w:kern w:val="24"/>
                <w:sz w:val="24"/>
                <w:szCs w:val="24"/>
              </w:rPr>
            </w:pPr>
            <w:r>
              <w:rPr>
                <w:rFonts w:hint="eastAsia"/>
                <w:kern w:val="24"/>
                <w:sz w:val="24"/>
                <w:szCs w:val="24"/>
              </w:rPr>
              <w:t>聚合氯化铝（PAC）是一种无机物，一种无机高分子混凝剂。它是介于AlCl</w:t>
            </w:r>
            <w:r>
              <w:rPr>
                <w:rFonts w:hint="eastAsia"/>
                <w:kern w:val="24"/>
                <w:sz w:val="24"/>
                <w:szCs w:val="24"/>
                <w:vertAlign w:val="subscript"/>
              </w:rPr>
              <w:t>3</w:t>
            </w:r>
            <w:r>
              <w:rPr>
                <w:rFonts w:hint="eastAsia"/>
                <w:kern w:val="24"/>
                <w:sz w:val="24"/>
                <w:szCs w:val="24"/>
              </w:rPr>
              <w:t>和Al(OH)</w:t>
            </w:r>
            <w:r>
              <w:rPr>
                <w:rFonts w:hint="eastAsia"/>
                <w:kern w:val="24"/>
                <w:sz w:val="24"/>
                <w:szCs w:val="24"/>
                <w:vertAlign w:val="subscript"/>
              </w:rPr>
              <w:t>3</w:t>
            </w:r>
            <w:r>
              <w:rPr>
                <w:rFonts w:hint="eastAsia"/>
                <w:kern w:val="24"/>
                <w:sz w:val="24"/>
                <w:szCs w:val="24"/>
              </w:rPr>
              <w:t>之间的一种水溶性无机高分子聚合物，化学通式为[Al</w:t>
            </w:r>
            <w:r>
              <w:rPr>
                <w:rFonts w:hint="eastAsia"/>
                <w:kern w:val="24"/>
                <w:sz w:val="24"/>
                <w:szCs w:val="24"/>
                <w:vertAlign w:val="subscript"/>
              </w:rPr>
              <w:t>2</w:t>
            </w:r>
            <w:r>
              <w:rPr>
                <w:rFonts w:hint="eastAsia"/>
                <w:kern w:val="24"/>
                <w:sz w:val="24"/>
                <w:szCs w:val="24"/>
              </w:rPr>
              <w:t>(OH)</w:t>
            </w:r>
            <w:r>
              <w:rPr>
                <w:rFonts w:hint="eastAsia"/>
                <w:kern w:val="24"/>
                <w:sz w:val="24"/>
                <w:szCs w:val="24"/>
                <w:vertAlign w:val="subscript"/>
              </w:rPr>
              <w:t>n</w:t>
            </w:r>
            <w:r>
              <w:rPr>
                <w:rFonts w:hint="eastAsia"/>
                <w:kern w:val="24"/>
                <w:sz w:val="24"/>
                <w:szCs w:val="24"/>
              </w:rPr>
              <w:t>Cl</w:t>
            </w:r>
            <w:r>
              <w:rPr>
                <w:rFonts w:hint="eastAsia"/>
                <w:kern w:val="24"/>
                <w:sz w:val="24"/>
                <w:szCs w:val="24"/>
                <w:vertAlign w:val="subscript"/>
              </w:rPr>
              <w:t>6-n</w:t>
            </w:r>
            <w:r>
              <w:rPr>
                <w:rFonts w:hint="eastAsia"/>
                <w:kern w:val="24"/>
                <w:sz w:val="24"/>
                <w:szCs w:val="24"/>
              </w:rPr>
              <w:t>]</w:t>
            </w:r>
            <w:r>
              <w:rPr>
                <w:rFonts w:hint="eastAsia"/>
                <w:kern w:val="24"/>
                <w:sz w:val="24"/>
                <w:szCs w:val="24"/>
                <w:vertAlign w:val="subscript"/>
              </w:rPr>
              <w:t>m</w:t>
            </w:r>
            <w:r>
              <w:rPr>
                <w:rFonts w:hint="eastAsia"/>
                <w:kern w:val="24"/>
                <w:sz w:val="24"/>
                <w:szCs w:val="24"/>
              </w:rPr>
              <w:t>，其中m代表聚合程度，n表示PAC产品的中性程度，广泛用于饮用水、工业用水和污水处理领域。</w:t>
            </w:r>
          </w:p>
          <w:p>
            <w:pPr>
              <w:spacing w:line="360" w:lineRule="auto"/>
              <w:ind w:firstLine="482" w:firstLineChars="200"/>
              <w:rPr>
                <w:b/>
                <w:kern w:val="24"/>
                <w:sz w:val="24"/>
                <w:szCs w:val="24"/>
              </w:rPr>
            </w:pPr>
            <w:r>
              <w:rPr>
                <w:b/>
                <w:kern w:val="24"/>
                <w:sz w:val="24"/>
                <w:szCs w:val="24"/>
              </w:rPr>
              <w:t>（2</w:t>
            </w:r>
            <w:r>
              <w:rPr>
                <w:rFonts w:hint="eastAsia"/>
                <w:b/>
                <w:kern w:val="24"/>
                <w:sz w:val="24"/>
                <w:szCs w:val="24"/>
              </w:rPr>
              <w:t>）PA</w:t>
            </w:r>
            <w:r>
              <w:rPr>
                <w:b/>
                <w:kern w:val="24"/>
                <w:sz w:val="24"/>
                <w:szCs w:val="24"/>
              </w:rPr>
              <w:t>M</w:t>
            </w:r>
          </w:p>
          <w:p>
            <w:pPr>
              <w:spacing w:line="360" w:lineRule="auto"/>
              <w:ind w:firstLine="480" w:firstLineChars="200"/>
              <w:rPr>
                <w:kern w:val="24"/>
                <w:sz w:val="24"/>
                <w:szCs w:val="24"/>
              </w:rPr>
            </w:pPr>
            <w:r>
              <w:rPr>
                <w:rFonts w:hint="eastAsia"/>
                <w:kern w:val="24"/>
                <w:sz w:val="24"/>
                <w:szCs w:val="24"/>
              </w:rPr>
              <w:t>聚丙烯酰胺（PAM）是一种线型高分子聚合物，在常温下为坚硬的玻璃态固体，产品有胶液、胶乳和白色粉粒、半透明珠粒和薄片等。热稳定性良好。能以任意比例溶于水，水溶液为均匀透明的液体。聚丙烯酰胺在国外应用最大的领域是水处理， 国内在此领域的应用正在推广。</w:t>
            </w:r>
          </w:p>
          <w:p>
            <w:pPr>
              <w:spacing w:line="360" w:lineRule="auto"/>
              <w:ind w:firstLine="482" w:firstLineChars="200"/>
              <w:rPr>
                <w:b/>
                <w:kern w:val="24"/>
                <w:sz w:val="24"/>
                <w:szCs w:val="24"/>
              </w:rPr>
            </w:pPr>
            <w:r>
              <w:rPr>
                <w:b/>
                <w:kern w:val="24"/>
                <w:sz w:val="24"/>
                <w:szCs w:val="24"/>
              </w:rPr>
              <w:t>（3</w:t>
            </w:r>
            <w:r>
              <w:rPr>
                <w:rFonts w:hint="eastAsia"/>
                <w:b/>
                <w:kern w:val="24"/>
                <w:sz w:val="24"/>
                <w:szCs w:val="24"/>
              </w:rPr>
              <w:t>）次氯酸钠</w:t>
            </w:r>
          </w:p>
          <w:p>
            <w:pPr>
              <w:spacing w:line="360" w:lineRule="auto"/>
              <w:ind w:firstLine="480" w:firstLineChars="200"/>
              <w:rPr>
                <w:kern w:val="24"/>
                <w:sz w:val="24"/>
                <w:szCs w:val="24"/>
              </w:rPr>
            </w:pPr>
            <w:r>
              <w:rPr>
                <w:rFonts w:hint="eastAsia"/>
                <w:kern w:val="24"/>
                <w:sz w:val="24"/>
                <w:szCs w:val="24"/>
              </w:rPr>
              <w:t>次氯酸钠是一种无机化合物，化学式为NaClO，是一种次氯酸盐，是最普通的家庭洗涤中的“氯”漂白剂，在水处理中常用作净水剂、杀菌剂、消毒剂，其主要理化特性见下表。</w:t>
            </w:r>
          </w:p>
          <w:p>
            <w:pPr>
              <w:spacing w:line="360" w:lineRule="auto"/>
              <w:jc w:val="center"/>
              <w:rPr>
                <w:rFonts w:ascii="黑体" w:hAnsi="黑体" w:eastAsia="黑体"/>
                <w:szCs w:val="21"/>
              </w:rPr>
            </w:pPr>
            <w:r>
              <w:rPr>
                <w:rFonts w:hint="eastAsia" w:ascii="黑体" w:hAnsi="黑体" w:eastAsia="黑体"/>
                <w:szCs w:val="21"/>
              </w:rPr>
              <w:t>表</w:t>
            </w:r>
            <w:r>
              <w:rPr>
                <w:rFonts w:eastAsia="黑体" w:cs="Times New Roman"/>
                <w:szCs w:val="21"/>
              </w:rPr>
              <w:t>2</w:t>
            </w:r>
            <w:r>
              <w:rPr>
                <w:rFonts w:hint="eastAsia" w:eastAsia="黑体" w:cs="Times New Roman"/>
                <w:szCs w:val="21"/>
              </w:rPr>
              <w:t>-</w:t>
            </w:r>
            <w:r>
              <w:rPr>
                <w:rFonts w:eastAsia="黑体" w:cs="Times New Roman"/>
                <w:szCs w:val="21"/>
              </w:rPr>
              <w:t xml:space="preserve">6  </w:t>
            </w:r>
            <w:r>
              <w:rPr>
                <w:rFonts w:hint="eastAsia" w:eastAsia="黑体" w:cs="Times New Roman"/>
                <w:szCs w:val="21"/>
              </w:rPr>
              <w:t>次氯酸钠</w:t>
            </w:r>
            <w:r>
              <w:rPr>
                <w:rFonts w:eastAsia="黑体" w:cs="Times New Roman"/>
                <w:szCs w:val="21"/>
              </w:rPr>
              <w:t>理化性质表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1"/>
              <w:gridCol w:w="2720"/>
              <w:gridCol w:w="1354"/>
              <w:gridCol w:w="2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2" w:type="pct"/>
                  <w:vAlign w:val="center"/>
                </w:tcPr>
                <w:p>
                  <w:pPr>
                    <w:jc w:val="center"/>
                    <w:rPr>
                      <w:szCs w:val="21"/>
                    </w:rPr>
                  </w:pPr>
                  <w:r>
                    <w:rPr>
                      <w:rFonts w:hint="eastAsia"/>
                      <w:szCs w:val="21"/>
                    </w:rPr>
                    <w:t>名</w:t>
                  </w:r>
                  <w:r>
                    <w:rPr>
                      <w:szCs w:val="21"/>
                    </w:rPr>
                    <w:t>称</w:t>
                  </w:r>
                </w:p>
              </w:tc>
              <w:tc>
                <w:tcPr>
                  <w:tcW w:w="1569" w:type="pct"/>
                  <w:vAlign w:val="center"/>
                </w:tcPr>
                <w:p>
                  <w:pPr>
                    <w:jc w:val="center"/>
                    <w:rPr>
                      <w:szCs w:val="21"/>
                    </w:rPr>
                  </w:pPr>
                  <w:r>
                    <w:rPr>
                      <w:rFonts w:hint="eastAsia"/>
                      <w:szCs w:val="21"/>
                    </w:rPr>
                    <w:t>次氯酸钠</w:t>
                  </w:r>
                </w:p>
              </w:tc>
              <w:tc>
                <w:tcPr>
                  <w:tcW w:w="781" w:type="pct"/>
                  <w:vAlign w:val="center"/>
                </w:tcPr>
                <w:p>
                  <w:pPr>
                    <w:jc w:val="center"/>
                    <w:rPr>
                      <w:szCs w:val="21"/>
                    </w:rPr>
                  </w:pPr>
                  <w:r>
                    <w:rPr>
                      <w:szCs w:val="21"/>
                    </w:rPr>
                    <w:t>CAS号</w:t>
                  </w:r>
                </w:p>
              </w:tc>
              <w:tc>
                <w:tcPr>
                  <w:tcW w:w="1628" w:type="pct"/>
                  <w:vAlign w:val="center"/>
                </w:tcPr>
                <w:p>
                  <w:pPr>
                    <w:jc w:val="center"/>
                    <w:rPr>
                      <w:szCs w:val="21"/>
                    </w:rPr>
                  </w:pPr>
                  <w:r>
                    <w:rPr>
                      <w:szCs w:val="21"/>
                    </w:rPr>
                    <w:t>7681-52-9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022" w:type="pct"/>
                  <w:vAlign w:val="center"/>
                </w:tcPr>
                <w:p>
                  <w:pPr>
                    <w:jc w:val="center"/>
                    <w:rPr>
                      <w:szCs w:val="21"/>
                    </w:rPr>
                  </w:pPr>
                  <w:r>
                    <w:rPr>
                      <w:rFonts w:hint="eastAsia"/>
                      <w:szCs w:val="21"/>
                    </w:rPr>
                    <w:t>危险性</w:t>
                  </w:r>
                </w:p>
              </w:tc>
              <w:tc>
                <w:tcPr>
                  <w:tcW w:w="1569" w:type="pct"/>
                  <w:vAlign w:val="center"/>
                </w:tcPr>
                <w:p>
                  <w:pPr>
                    <w:rPr>
                      <w:szCs w:val="21"/>
                    </w:rPr>
                  </w:pPr>
                  <w:r>
                    <w:rPr>
                      <w:rFonts w:hint="eastAsia"/>
                      <w:szCs w:val="21"/>
                    </w:rPr>
                    <w:t>皮肤腐蚀/刺激（类别2）、眼睛损伤/刺激（类别1）、急性水生毒性（类别1）</w:t>
                  </w:r>
                </w:p>
              </w:tc>
              <w:tc>
                <w:tcPr>
                  <w:tcW w:w="781" w:type="pct"/>
                  <w:vAlign w:val="center"/>
                </w:tcPr>
                <w:p>
                  <w:pPr>
                    <w:jc w:val="center"/>
                    <w:rPr>
                      <w:szCs w:val="21"/>
                    </w:rPr>
                  </w:pPr>
                  <w:r>
                    <w:rPr>
                      <w:rFonts w:hint="eastAsia"/>
                      <w:szCs w:val="21"/>
                    </w:rPr>
                    <w:t>图形符号</w:t>
                  </w:r>
                </w:p>
              </w:tc>
              <w:tc>
                <w:tcPr>
                  <w:tcW w:w="1628" w:type="pct"/>
                  <w:vAlign w:val="center"/>
                </w:tcPr>
                <w:p>
                  <w:pPr>
                    <w:jc w:val="center"/>
                    <w:rPr>
                      <w:szCs w:val="21"/>
                    </w:rPr>
                  </w:pPr>
                  <w:r>
                    <w:drawing>
                      <wp:inline distT="0" distB="0" distL="0" distR="0">
                        <wp:extent cx="381000" cy="381000"/>
                        <wp:effectExtent l="0" t="0" r="0" b="0"/>
                        <wp:docPr id="231" name="图片 231" descr="https://www.chemsrc.com/img/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https://www.chemsrc.com/img/GHS0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81000" cy="381000"/>
                                </a:xfrm>
                                <a:prstGeom prst="rect">
                                  <a:avLst/>
                                </a:prstGeom>
                                <a:noFill/>
                                <a:ln>
                                  <a:noFill/>
                                </a:ln>
                              </pic:spPr>
                            </pic:pic>
                          </a:graphicData>
                        </a:graphic>
                      </wp:inline>
                    </w:drawing>
                  </w:r>
                  <w:r>
                    <w:t xml:space="preserve"> </w:t>
                  </w:r>
                  <w:r>
                    <w:drawing>
                      <wp:inline distT="0" distB="0" distL="0" distR="0">
                        <wp:extent cx="381000" cy="381000"/>
                        <wp:effectExtent l="0" t="0" r="0" b="0"/>
                        <wp:docPr id="232" name="图片 232" descr="https://www.chemsrc.com/img/GH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https://www.chemsrc.com/img/GHS0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81000" cy="381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2" w:type="pct"/>
                  <w:vAlign w:val="center"/>
                </w:tcPr>
                <w:p>
                  <w:pPr>
                    <w:jc w:val="center"/>
                    <w:rPr>
                      <w:szCs w:val="21"/>
                    </w:rPr>
                  </w:pPr>
                  <w:r>
                    <w:rPr>
                      <w:rFonts w:hint="eastAsia"/>
                      <w:szCs w:val="21"/>
                    </w:rPr>
                    <w:t>外观</w:t>
                  </w:r>
                  <w:r>
                    <w:rPr>
                      <w:szCs w:val="21"/>
                    </w:rPr>
                    <w:t>及</w:t>
                  </w:r>
                  <w:r>
                    <w:rPr>
                      <w:rFonts w:hint="eastAsia"/>
                      <w:szCs w:val="21"/>
                    </w:rPr>
                    <w:t>性状</w:t>
                  </w:r>
                </w:p>
              </w:tc>
              <w:tc>
                <w:tcPr>
                  <w:tcW w:w="3978" w:type="pct"/>
                  <w:gridSpan w:val="3"/>
                  <w:vAlign w:val="center"/>
                </w:tcPr>
                <w:p>
                  <w:pPr>
                    <w:jc w:val="center"/>
                    <w:rPr>
                      <w:szCs w:val="21"/>
                    </w:rPr>
                  </w:pPr>
                  <w:r>
                    <w:rPr>
                      <w:rFonts w:hint="eastAsia"/>
                      <w:szCs w:val="21"/>
                    </w:rPr>
                    <w:t>微黄色溶液，有似氯气的气味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2" w:type="pct"/>
                  <w:vAlign w:val="center"/>
                </w:tcPr>
                <w:p>
                  <w:pPr>
                    <w:jc w:val="center"/>
                    <w:rPr>
                      <w:szCs w:val="21"/>
                    </w:rPr>
                  </w:pPr>
                  <w:r>
                    <w:rPr>
                      <w:rFonts w:hint="eastAsia"/>
                      <w:szCs w:val="21"/>
                    </w:rPr>
                    <w:t>熔点</w:t>
                  </w:r>
                </w:p>
              </w:tc>
              <w:tc>
                <w:tcPr>
                  <w:tcW w:w="1569" w:type="pct"/>
                  <w:vAlign w:val="center"/>
                </w:tcPr>
                <w:p>
                  <w:pPr>
                    <w:jc w:val="center"/>
                    <w:rPr>
                      <w:szCs w:val="21"/>
                    </w:rPr>
                  </w:pPr>
                  <w:r>
                    <w:rPr>
                      <w:szCs w:val="21"/>
                    </w:rPr>
                    <w:t>-6℃</w:t>
                  </w:r>
                </w:p>
              </w:tc>
              <w:tc>
                <w:tcPr>
                  <w:tcW w:w="781" w:type="pct"/>
                  <w:vAlign w:val="center"/>
                </w:tcPr>
                <w:p>
                  <w:pPr>
                    <w:jc w:val="center"/>
                    <w:rPr>
                      <w:szCs w:val="21"/>
                    </w:rPr>
                  </w:pPr>
                  <w:r>
                    <w:rPr>
                      <w:szCs w:val="21"/>
                    </w:rPr>
                    <w:t>沸点</w:t>
                  </w:r>
                </w:p>
              </w:tc>
              <w:tc>
                <w:tcPr>
                  <w:tcW w:w="1628" w:type="pct"/>
                  <w:vAlign w:val="center"/>
                </w:tcPr>
                <w:p>
                  <w:pPr>
                    <w:jc w:val="center"/>
                    <w:rPr>
                      <w:szCs w:val="21"/>
                    </w:rPr>
                  </w:pPr>
                  <w:r>
                    <w:rPr>
                      <w:szCs w:val="21"/>
                    </w:rPr>
                    <w:t>102.2℃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2" w:type="pct"/>
                  <w:vAlign w:val="center"/>
                </w:tcPr>
                <w:p>
                  <w:pPr>
                    <w:jc w:val="center"/>
                    <w:rPr>
                      <w:szCs w:val="21"/>
                    </w:rPr>
                  </w:pPr>
                  <w:r>
                    <w:rPr>
                      <w:szCs w:val="21"/>
                    </w:rPr>
                    <w:t>相对密度</w:t>
                  </w:r>
                </w:p>
              </w:tc>
              <w:tc>
                <w:tcPr>
                  <w:tcW w:w="1569" w:type="pct"/>
                  <w:vAlign w:val="center"/>
                </w:tcPr>
                <w:p>
                  <w:pPr>
                    <w:jc w:val="center"/>
                    <w:rPr>
                      <w:szCs w:val="21"/>
                    </w:rPr>
                  </w:pPr>
                  <w:r>
                    <w:rPr>
                      <w:rFonts w:hint="eastAsia"/>
                      <w:szCs w:val="21"/>
                    </w:rPr>
                    <w:t>1</w:t>
                  </w:r>
                  <w:r>
                    <w:rPr>
                      <w:szCs w:val="21"/>
                    </w:rPr>
                    <w:t>.2g/mL</w:t>
                  </w:r>
                </w:p>
              </w:tc>
              <w:tc>
                <w:tcPr>
                  <w:tcW w:w="781" w:type="pct"/>
                  <w:vAlign w:val="center"/>
                </w:tcPr>
                <w:p>
                  <w:pPr>
                    <w:jc w:val="center"/>
                    <w:rPr>
                      <w:szCs w:val="21"/>
                    </w:rPr>
                  </w:pPr>
                  <w:r>
                    <w:rPr>
                      <w:szCs w:val="21"/>
                    </w:rPr>
                    <w:t>饱和蒸气压</w:t>
                  </w:r>
                </w:p>
              </w:tc>
              <w:tc>
                <w:tcPr>
                  <w:tcW w:w="1628" w:type="pct"/>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2" w:type="pct"/>
                  <w:vAlign w:val="center"/>
                </w:tcPr>
                <w:p>
                  <w:pPr>
                    <w:jc w:val="center"/>
                    <w:rPr>
                      <w:szCs w:val="21"/>
                    </w:rPr>
                  </w:pPr>
                  <w:r>
                    <w:rPr>
                      <w:rFonts w:hint="eastAsia"/>
                      <w:szCs w:val="21"/>
                    </w:rPr>
                    <w:t>溶解性</w:t>
                  </w:r>
                </w:p>
              </w:tc>
              <w:tc>
                <w:tcPr>
                  <w:tcW w:w="3978" w:type="pct"/>
                  <w:gridSpan w:val="3"/>
                  <w:vAlign w:val="center"/>
                </w:tcPr>
                <w:p>
                  <w:pPr>
                    <w:jc w:val="center"/>
                    <w:rPr>
                      <w:szCs w:val="21"/>
                    </w:rPr>
                  </w:pPr>
                  <w:r>
                    <w:rPr>
                      <w:rFonts w:hint="eastAsia"/>
                      <w:szCs w:val="21"/>
                    </w:rPr>
                    <w:t>溶于水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2" w:type="pct"/>
                  <w:vAlign w:val="center"/>
                </w:tcPr>
                <w:p>
                  <w:pPr>
                    <w:jc w:val="center"/>
                    <w:rPr>
                      <w:szCs w:val="21"/>
                    </w:rPr>
                  </w:pPr>
                  <w:r>
                    <w:rPr>
                      <w:rFonts w:hint="eastAsia"/>
                      <w:szCs w:val="21"/>
                    </w:rPr>
                    <w:t>稳定性</w:t>
                  </w:r>
                </w:p>
              </w:tc>
              <w:tc>
                <w:tcPr>
                  <w:tcW w:w="3978" w:type="pct"/>
                  <w:gridSpan w:val="3"/>
                  <w:vAlign w:val="center"/>
                </w:tcPr>
                <w:p>
                  <w:pPr>
                    <w:jc w:val="center"/>
                    <w:rPr>
                      <w:szCs w:val="21"/>
                    </w:rPr>
                  </w:pPr>
                  <w:r>
                    <w:rPr>
                      <w:rFonts w:hint="eastAsia"/>
                      <w:szCs w:val="21"/>
                    </w:rPr>
                    <w:t>不稳定，见光分解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2" w:type="pct"/>
                  <w:vAlign w:val="center"/>
                </w:tcPr>
                <w:p>
                  <w:pPr>
                    <w:jc w:val="center"/>
                    <w:rPr>
                      <w:szCs w:val="21"/>
                    </w:rPr>
                  </w:pPr>
                  <w:r>
                    <w:rPr>
                      <w:rFonts w:hint="eastAsia"/>
                      <w:szCs w:val="21"/>
                    </w:rPr>
                    <w:t>危险特性</w:t>
                  </w:r>
                </w:p>
              </w:tc>
              <w:tc>
                <w:tcPr>
                  <w:tcW w:w="3978" w:type="pct"/>
                  <w:gridSpan w:val="3"/>
                  <w:vAlign w:val="center"/>
                </w:tcPr>
                <w:p>
                  <w:pPr>
                    <w:rPr>
                      <w:szCs w:val="21"/>
                    </w:rPr>
                  </w:pPr>
                  <w:r>
                    <w:rPr>
                      <w:rFonts w:hint="eastAsia"/>
                      <w:szCs w:val="21"/>
                    </w:rPr>
                    <w:t>不燃，具腐蚀性，可致人体灼伤，具有致敏性，受高热分解产生有毒的腐蚀性烟气</w:t>
                  </w:r>
                </w:p>
              </w:tc>
            </w:tr>
          </w:tbl>
          <w:p>
            <w:pPr>
              <w:spacing w:line="360" w:lineRule="auto"/>
              <w:ind w:firstLine="482" w:firstLineChars="200"/>
              <w:rPr>
                <w:b/>
                <w:kern w:val="24"/>
                <w:sz w:val="24"/>
                <w:szCs w:val="24"/>
              </w:rPr>
            </w:pPr>
            <w:r>
              <w:rPr>
                <w:b/>
                <w:kern w:val="24"/>
                <w:sz w:val="24"/>
                <w:szCs w:val="24"/>
              </w:rPr>
              <w:t>（4</w:t>
            </w:r>
            <w:r>
              <w:rPr>
                <w:rFonts w:hint="eastAsia"/>
                <w:b/>
                <w:kern w:val="24"/>
                <w:sz w:val="24"/>
                <w:szCs w:val="24"/>
              </w:rPr>
              <w:t>）活性炭</w:t>
            </w:r>
          </w:p>
          <w:p>
            <w:pPr>
              <w:spacing w:line="360" w:lineRule="auto"/>
              <w:ind w:firstLine="480" w:firstLineChars="200"/>
              <w:rPr>
                <w:kern w:val="24"/>
                <w:sz w:val="24"/>
                <w:szCs w:val="24"/>
              </w:rPr>
            </w:pPr>
            <w:r>
              <w:rPr>
                <w:rFonts w:hint="eastAsia"/>
                <w:kern w:val="24"/>
                <w:sz w:val="24"/>
                <w:szCs w:val="24"/>
              </w:rPr>
              <w:t>活性炭以优质木屑、椰壳、煤质为原料，经系列生产工艺精加工而成。活性炭具有过滤速度快、吸附性能好、脱色除味能力强、经济耐用等优点，广泛应用于食品、自来水等行业。</w:t>
            </w:r>
          </w:p>
          <w:p>
            <w:pPr>
              <w:spacing w:line="360" w:lineRule="auto"/>
              <w:ind w:firstLine="482" w:firstLineChars="200"/>
              <w:rPr>
                <w:rFonts w:cs="Times New Roman"/>
                <w:b/>
                <w:color w:val="auto"/>
                <w:sz w:val="24"/>
                <w:szCs w:val="24"/>
              </w:rPr>
            </w:pPr>
            <w:r>
              <w:rPr>
                <w:rFonts w:cs="Times New Roman"/>
                <w:b/>
                <w:color w:val="auto"/>
                <w:sz w:val="24"/>
                <w:szCs w:val="24"/>
              </w:rPr>
              <w:t>8</w:t>
            </w:r>
            <w:r>
              <w:rPr>
                <w:rFonts w:hint="eastAsia" w:cs="Times New Roman"/>
                <w:b/>
                <w:color w:val="auto"/>
                <w:sz w:val="24"/>
                <w:szCs w:val="24"/>
              </w:rPr>
              <w:t>、水平衡</w:t>
            </w:r>
            <w:r>
              <w:rPr>
                <w:rFonts w:cs="Times New Roman"/>
                <w:b/>
                <w:color w:val="auto"/>
                <w:sz w:val="24"/>
                <w:szCs w:val="24"/>
              </w:rPr>
              <w:t>分析</w:t>
            </w:r>
          </w:p>
          <w:p>
            <w:pPr>
              <w:spacing w:line="360" w:lineRule="auto"/>
              <w:ind w:firstLine="361" w:firstLineChars="150"/>
              <w:rPr>
                <w:b/>
                <w:color w:val="auto"/>
                <w:kern w:val="24"/>
                <w:sz w:val="24"/>
                <w:szCs w:val="24"/>
              </w:rPr>
            </w:pPr>
            <w:r>
              <w:rPr>
                <w:rFonts w:hint="eastAsia"/>
                <w:b/>
                <w:color w:val="auto"/>
                <w:kern w:val="24"/>
                <w:sz w:val="24"/>
                <w:szCs w:val="24"/>
              </w:rPr>
              <w:t>（</w:t>
            </w:r>
            <w:r>
              <w:rPr>
                <w:b/>
                <w:color w:val="auto"/>
                <w:kern w:val="24"/>
                <w:sz w:val="24"/>
                <w:szCs w:val="24"/>
              </w:rPr>
              <w:t>1</w:t>
            </w:r>
            <w:r>
              <w:rPr>
                <w:rFonts w:hint="eastAsia"/>
                <w:b/>
                <w:color w:val="auto"/>
                <w:kern w:val="24"/>
                <w:sz w:val="24"/>
                <w:szCs w:val="24"/>
              </w:rPr>
              <w:t>）给水</w:t>
            </w:r>
          </w:p>
          <w:p>
            <w:pPr>
              <w:spacing w:line="360" w:lineRule="auto"/>
              <w:ind w:firstLine="480" w:firstLineChars="200"/>
              <w:rPr>
                <w:color w:val="auto"/>
                <w:kern w:val="24"/>
                <w:sz w:val="24"/>
                <w:szCs w:val="24"/>
              </w:rPr>
            </w:pPr>
            <w:r>
              <w:rPr>
                <w:rFonts w:hint="eastAsia"/>
                <w:color w:val="auto"/>
                <w:kern w:val="24"/>
                <w:sz w:val="24"/>
                <w:szCs w:val="24"/>
              </w:rPr>
              <w:t>本项目原水从</w:t>
            </w:r>
            <w:r>
              <w:rPr>
                <w:rFonts w:hint="eastAsia"/>
                <w:color w:val="auto"/>
                <w:kern w:val="24"/>
                <w:sz w:val="24"/>
                <w:szCs w:val="24"/>
                <w:lang w:eastAsia="zh-CN"/>
              </w:rPr>
              <w:t>后河</w:t>
            </w:r>
            <w:r>
              <w:rPr>
                <w:rFonts w:hint="eastAsia"/>
                <w:color w:val="auto"/>
                <w:kern w:val="24"/>
                <w:sz w:val="24"/>
                <w:szCs w:val="24"/>
              </w:rPr>
              <w:t>以东</w:t>
            </w:r>
            <w:r>
              <w:rPr>
                <w:rFonts w:hint="eastAsia"/>
                <w:color w:val="auto"/>
                <w:kern w:val="24"/>
                <w:sz w:val="24"/>
                <w:szCs w:val="24"/>
                <w:lang w:eastAsia="zh-CN"/>
              </w:rPr>
              <w:t>徐家坡水厂</w:t>
            </w:r>
            <w:r>
              <w:rPr>
                <w:rFonts w:hint="eastAsia"/>
                <w:color w:val="auto"/>
                <w:kern w:val="24"/>
                <w:sz w:val="24"/>
                <w:szCs w:val="24"/>
              </w:rPr>
              <w:t>已建</w:t>
            </w:r>
            <w:r>
              <w:rPr>
                <w:rFonts w:hint="eastAsia"/>
                <w:color w:val="auto"/>
                <w:kern w:val="24"/>
                <w:sz w:val="24"/>
                <w:szCs w:val="24"/>
                <w:lang w:eastAsia="zh-CN"/>
              </w:rPr>
              <w:t>DN700</w:t>
            </w:r>
            <w:r>
              <w:rPr>
                <w:rFonts w:hint="eastAsia"/>
                <w:color w:val="auto"/>
                <w:kern w:val="24"/>
                <w:sz w:val="24"/>
                <w:szCs w:val="24"/>
              </w:rPr>
              <w:t>原水输水管道取水，设计取水量为</w:t>
            </w:r>
            <w:r>
              <w:rPr>
                <w:color w:val="auto"/>
                <w:kern w:val="24"/>
                <w:sz w:val="24"/>
                <w:szCs w:val="24"/>
              </w:rPr>
              <w:t>20</w:t>
            </w:r>
            <w:r>
              <w:rPr>
                <w:rFonts w:hint="eastAsia"/>
                <w:color w:val="auto"/>
                <w:kern w:val="24"/>
                <w:sz w:val="24"/>
                <w:szCs w:val="24"/>
                <w:lang w:val="en-US" w:eastAsia="zh-CN"/>
              </w:rPr>
              <w:t>00</w:t>
            </w:r>
            <w:r>
              <w:rPr>
                <w:color w:val="auto"/>
                <w:kern w:val="24"/>
                <w:sz w:val="24"/>
                <w:szCs w:val="24"/>
              </w:rPr>
              <w:t>0m</w:t>
            </w:r>
            <w:r>
              <w:rPr>
                <w:color w:val="auto"/>
                <w:kern w:val="24"/>
                <w:sz w:val="24"/>
                <w:szCs w:val="24"/>
                <w:vertAlign w:val="superscript"/>
              </w:rPr>
              <w:t>3</w:t>
            </w:r>
            <w:r>
              <w:rPr>
                <w:color w:val="auto"/>
                <w:kern w:val="24"/>
                <w:sz w:val="24"/>
                <w:szCs w:val="24"/>
              </w:rPr>
              <w:t>/d</w:t>
            </w:r>
            <w:r>
              <w:rPr>
                <w:rFonts w:hint="eastAsia"/>
                <w:color w:val="auto"/>
                <w:kern w:val="24"/>
                <w:sz w:val="24"/>
                <w:szCs w:val="24"/>
              </w:rPr>
              <w:t>。</w:t>
            </w:r>
          </w:p>
          <w:p>
            <w:pPr>
              <w:spacing w:line="360" w:lineRule="auto"/>
              <w:ind w:firstLine="361" w:firstLineChars="150"/>
              <w:rPr>
                <w:b/>
                <w:color w:val="auto"/>
                <w:kern w:val="24"/>
                <w:sz w:val="24"/>
                <w:szCs w:val="24"/>
              </w:rPr>
            </w:pPr>
            <w:r>
              <w:rPr>
                <w:rFonts w:hint="eastAsia"/>
                <w:b/>
                <w:color w:val="auto"/>
                <w:kern w:val="24"/>
                <w:sz w:val="24"/>
                <w:szCs w:val="24"/>
              </w:rPr>
              <w:t>（2）排水</w:t>
            </w:r>
          </w:p>
          <w:p>
            <w:pPr>
              <w:spacing w:line="360" w:lineRule="auto"/>
              <w:ind w:firstLine="480"/>
              <w:rPr>
                <w:color w:val="auto"/>
                <w:kern w:val="24"/>
                <w:sz w:val="24"/>
                <w:szCs w:val="24"/>
              </w:rPr>
            </w:pPr>
            <w:r>
              <w:rPr>
                <w:color w:val="auto"/>
                <w:kern w:val="24"/>
                <w:sz w:val="24"/>
                <w:szCs w:val="24"/>
              </w:rPr>
              <w:t>厂区排水采用雨、污分流制，雨水经厂内雨水管排入北一线雨水管网；</w:t>
            </w:r>
            <w:r>
              <w:rPr>
                <w:rFonts w:hint="eastAsia"/>
                <w:color w:val="auto"/>
                <w:kern w:val="24"/>
                <w:sz w:val="24"/>
                <w:szCs w:val="24"/>
              </w:rPr>
              <w:t>运营期废水包括</w:t>
            </w:r>
            <w:r>
              <w:rPr>
                <w:color w:val="auto"/>
                <w:kern w:val="24"/>
                <w:sz w:val="24"/>
                <w:szCs w:val="24"/>
              </w:rPr>
              <w:t>生产废水（包括排泥废水和反冲洗废水）和生活污水，其中：</w:t>
            </w:r>
          </w:p>
          <w:p>
            <w:pPr>
              <w:spacing w:line="360" w:lineRule="auto"/>
              <w:ind w:firstLine="480"/>
              <w:rPr>
                <w:color w:val="auto"/>
                <w:kern w:val="24"/>
                <w:sz w:val="24"/>
                <w:szCs w:val="24"/>
              </w:rPr>
            </w:pPr>
            <w:r>
              <w:rPr>
                <w:color w:val="auto"/>
                <w:kern w:val="24"/>
                <w:sz w:val="24"/>
                <w:szCs w:val="24"/>
              </w:rPr>
              <w:t>生产废水产生量按</w:t>
            </w:r>
            <w:r>
              <w:rPr>
                <w:rFonts w:hint="eastAsia"/>
                <w:color w:val="auto"/>
                <w:sz w:val="24"/>
                <w:szCs w:val="24"/>
              </w:rPr>
              <w:t>《排放源统计调查产排污核算方法和系数手册》（公告2021年第24号）中“</w:t>
            </w:r>
            <w:r>
              <w:rPr>
                <w:rFonts w:hint="eastAsia"/>
                <w:i/>
                <w:color w:val="auto"/>
                <w:sz w:val="24"/>
                <w:szCs w:val="24"/>
              </w:rPr>
              <w:t>4610 自来水生产和供应行业系数手册</w:t>
            </w:r>
            <w:r>
              <w:rPr>
                <w:rFonts w:hint="eastAsia"/>
                <w:color w:val="auto"/>
                <w:sz w:val="24"/>
                <w:szCs w:val="24"/>
              </w:rPr>
              <w:t>”产污系数6</w:t>
            </w:r>
            <w:r>
              <w:rPr>
                <w:color w:val="auto"/>
                <w:sz w:val="24"/>
                <w:szCs w:val="24"/>
              </w:rPr>
              <w:t>.16×10</w:t>
            </w:r>
            <w:r>
              <w:rPr>
                <w:color w:val="auto"/>
                <w:sz w:val="24"/>
                <w:szCs w:val="24"/>
                <w:vertAlign w:val="superscript"/>
              </w:rPr>
              <w:t>-2</w:t>
            </w:r>
            <w:r>
              <w:rPr>
                <w:color w:val="auto"/>
                <w:sz w:val="24"/>
                <w:szCs w:val="24"/>
              </w:rPr>
              <w:t>t/t-产品计，</w:t>
            </w:r>
            <w:r>
              <w:rPr>
                <w:color w:val="auto"/>
                <w:kern w:val="24"/>
                <w:sz w:val="24"/>
                <w:szCs w:val="24"/>
              </w:rPr>
              <w:t>产生量约1232m</w:t>
            </w:r>
            <w:r>
              <w:rPr>
                <w:color w:val="auto"/>
                <w:kern w:val="24"/>
                <w:sz w:val="24"/>
                <w:szCs w:val="24"/>
                <w:vertAlign w:val="superscript"/>
              </w:rPr>
              <w:t>3</w:t>
            </w:r>
            <w:r>
              <w:rPr>
                <w:color w:val="auto"/>
                <w:kern w:val="24"/>
                <w:sz w:val="24"/>
                <w:szCs w:val="24"/>
              </w:rPr>
              <w:t>/d，经废水池收集</w:t>
            </w:r>
            <w:r>
              <w:rPr>
                <w:rFonts w:hint="eastAsia"/>
                <w:color w:val="auto"/>
                <w:kern w:val="24"/>
                <w:sz w:val="24"/>
                <w:szCs w:val="24"/>
              </w:rPr>
              <w:t>沉淀</w:t>
            </w:r>
            <w:r>
              <w:rPr>
                <w:color w:val="auto"/>
                <w:kern w:val="24"/>
                <w:sz w:val="24"/>
                <w:szCs w:val="24"/>
              </w:rPr>
              <w:t>后上清液（约1225</w:t>
            </w:r>
            <w:r>
              <w:rPr>
                <w:rFonts w:hint="eastAsia"/>
                <w:color w:val="auto"/>
                <w:kern w:val="24"/>
                <w:sz w:val="24"/>
                <w:szCs w:val="24"/>
                <w:lang w:val="en-US" w:eastAsia="zh-CN"/>
              </w:rPr>
              <w:t>.84</w:t>
            </w:r>
            <w:r>
              <w:rPr>
                <w:color w:val="auto"/>
                <w:kern w:val="24"/>
                <w:sz w:val="24"/>
                <w:szCs w:val="24"/>
              </w:rPr>
              <w:t>m</w:t>
            </w:r>
            <w:r>
              <w:rPr>
                <w:color w:val="auto"/>
                <w:kern w:val="24"/>
                <w:sz w:val="24"/>
                <w:szCs w:val="24"/>
                <w:vertAlign w:val="superscript"/>
              </w:rPr>
              <w:t>3</w:t>
            </w:r>
            <w:r>
              <w:rPr>
                <w:color w:val="auto"/>
                <w:kern w:val="24"/>
                <w:sz w:val="24"/>
                <w:szCs w:val="24"/>
              </w:rPr>
              <w:t>/d）回用，</w:t>
            </w:r>
            <w:r>
              <w:rPr>
                <w:rFonts w:hint="eastAsia"/>
                <w:color w:val="auto"/>
                <w:kern w:val="24"/>
                <w:sz w:val="24"/>
                <w:szCs w:val="24"/>
              </w:rPr>
              <w:t>浓缩液</w:t>
            </w:r>
            <w:r>
              <w:rPr>
                <w:color w:val="auto"/>
                <w:kern w:val="24"/>
                <w:sz w:val="24"/>
                <w:szCs w:val="24"/>
              </w:rPr>
              <w:t>经</w:t>
            </w:r>
            <w:r>
              <w:rPr>
                <w:rFonts w:hint="eastAsia"/>
                <w:color w:val="auto"/>
                <w:kern w:val="24"/>
                <w:sz w:val="24"/>
                <w:szCs w:val="24"/>
              </w:rPr>
              <w:t>脱水机房</w:t>
            </w:r>
            <w:r>
              <w:rPr>
                <w:color w:val="auto"/>
                <w:kern w:val="24"/>
                <w:sz w:val="24"/>
                <w:szCs w:val="24"/>
              </w:rPr>
              <w:t>分离后</w:t>
            </w:r>
            <w:r>
              <w:rPr>
                <w:rFonts w:hint="eastAsia"/>
                <w:color w:val="auto"/>
                <w:kern w:val="24"/>
                <w:sz w:val="24"/>
                <w:szCs w:val="24"/>
              </w:rPr>
              <w:t>污水</w:t>
            </w:r>
            <w:r>
              <w:rPr>
                <w:color w:val="auto"/>
                <w:kern w:val="24"/>
                <w:sz w:val="24"/>
                <w:szCs w:val="24"/>
              </w:rPr>
              <w:t>（约</w:t>
            </w:r>
            <w:r>
              <w:rPr>
                <w:rFonts w:hint="eastAsia"/>
                <w:color w:val="auto"/>
                <w:kern w:val="24"/>
                <w:sz w:val="24"/>
                <w:szCs w:val="24"/>
                <w:lang w:val="en-US" w:eastAsia="zh-CN"/>
              </w:rPr>
              <w:t>6.16</w:t>
            </w:r>
            <w:r>
              <w:rPr>
                <w:color w:val="auto"/>
                <w:kern w:val="24"/>
                <w:sz w:val="24"/>
                <w:szCs w:val="24"/>
              </w:rPr>
              <w:t>m</w:t>
            </w:r>
            <w:r>
              <w:rPr>
                <w:color w:val="auto"/>
                <w:kern w:val="24"/>
                <w:sz w:val="24"/>
                <w:szCs w:val="24"/>
                <w:vertAlign w:val="superscript"/>
              </w:rPr>
              <w:t>3</w:t>
            </w:r>
            <w:r>
              <w:rPr>
                <w:color w:val="auto"/>
                <w:kern w:val="24"/>
                <w:sz w:val="24"/>
                <w:szCs w:val="24"/>
              </w:rPr>
              <w:t>/d）排入市政污水管网，污泥</w:t>
            </w:r>
            <w:r>
              <w:rPr>
                <w:rFonts w:hint="eastAsia"/>
                <w:color w:val="auto"/>
                <w:sz w:val="24"/>
                <w:szCs w:val="24"/>
              </w:rPr>
              <w:t>交由环卫部门清运处理。</w:t>
            </w:r>
          </w:p>
          <w:p>
            <w:pPr>
              <w:spacing w:line="360" w:lineRule="auto"/>
              <w:ind w:firstLine="360" w:firstLineChars="150"/>
              <w:rPr>
                <w:rFonts w:hint="eastAsia"/>
                <w:color w:val="auto"/>
                <w:kern w:val="24"/>
                <w:sz w:val="24"/>
                <w:szCs w:val="24"/>
              </w:rPr>
            </w:pPr>
            <w:r>
              <w:rPr>
                <w:rFonts w:hint="eastAsia"/>
                <w:color w:val="auto"/>
                <w:kern w:val="24"/>
                <w:sz w:val="24"/>
                <w:szCs w:val="24"/>
              </w:rPr>
              <w:t>本项目劳动定员</w:t>
            </w:r>
            <w:r>
              <w:rPr>
                <w:rFonts w:hint="eastAsia"/>
                <w:color w:val="auto"/>
                <w:kern w:val="24"/>
                <w:sz w:val="24"/>
                <w:szCs w:val="24"/>
                <w:lang w:val="en-US" w:eastAsia="zh-CN"/>
              </w:rPr>
              <w:t>6</w:t>
            </w:r>
            <w:r>
              <w:rPr>
                <w:rFonts w:hint="eastAsia"/>
                <w:color w:val="auto"/>
                <w:kern w:val="24"/>
                <w:sz w:val="24"/>
                <w:szCs w:val="24"/>
              </w:rPr>
              <w:t>人，根据</w:t>
            </w:r>
            <w:r>
              <w:rPr>
                <w:rFonts w:cs="Times New Roman"/>
                <w:color w:val="auto"/>
                <w:sz w:val="24"/>
                <w:szCs w:val="24"/>
              </w:rPr>
              <w:t>《四川省用水定额》（川府函〔2021〕8号），生活用水量按</w:t>
            </w:r>
            <w:r>
              <w:rPr>
                <w:rFonts w:hint="eastAsia" w:cs="Times New Roman"/>
                <w:color w:val="auto"/>
                <w:sz w:val="24"/>
                <w:szCs w:val="24"/>
              </w:rPr>
              <w:t>1</w:t>
            </w:r>
            <w:r>
              <w:rPr>
                <w:rFonts w:cs="Times New Roman"/>
                <w:color w:val="auto"/>
                <w:sz w:val="24"/>
                <w:szCs w:val="24"/>
              </w:rPr>
              <w:t>60L/人·d计，生活污水产生系数取0.85，</w:t>
            </w:r>
            <w:r>
              <w:rPr>
                <w:color w:val="auto"/>
                <w:kern w:val="24"/>
                <w:sz w:val="24"/>
                <w:szCs w:val="24"/>
              </w:rPr>
              <w:t>则生活污水产生量</w:t>
            </w:r>
            <w:r>
              <w:rPr>
                <w:rFonts w:hint="eastAsia"/>
                <w:color w:val="auto"/>
                <w:kern w:val="24"/>
                <w:sz w:val="24"/>
                <w:szCs w:val="24"/>
              </w:rPr>
              <w:t>约</w:t>
            </w:r>
            <w:r>
              <w:rPr>
                <w:color w:val="auto"/>
                <w:kern w:val="24"/>
                <w:sz w:val="24"/>
                <w:szCs w:val="24"/>
              </w:rPr>
              <w:t>0.</w:t>
            </w:r>
            <w:r>
              <w:rPr>
                <w:rFonts w:hint="eastAsia"/>
                <w:color w:val="auto"/>
                <w:kern w:val="24"/>
                <w:sz w:val="24"/>
                <w:szCs w:val="24"/>
                <w:lang w:val="en-US" w:eastAsia="zh-CN"/>
              </w:rPr>
              <w:t>816</w:t>
            </w:r>
            <w:r>
              <w:rPr>
                <w:rFonts w:hint="eastAsia"/>
                <w:color w:val="auto"/>
                <w:kern w:val="24"/>
                <w:sz w:val="24"/>
                <w:szCs w:val="24"/>
              </w:rPr>
              <w:t>m</w:t>
            </w:r>
            <w:r>
              <w:rPr>
                <w:rFonts w:hint="eastAsia"/>
                <w:color w:val="auto"/>
                <w:kern w:val="24"/>
                <w:sz w:val="24"/>
                <w:szCs w:val="24"/>
                <w:vertAlign w:val="superscript"/>
              </w:rPr>
              <w:t>3</w:t>
            </w:r>
            <w:r>
              <w:rPr>
                <w:rFonts w:hint="eastAsia"/>
                <w:color w:val="auto"/>
                <w:kern w:val="24"/>
                <w:sz w:val="24"/>
                <w:szCs w:val="24"/>
              </w:rPr>
              <w:t>/d，经预处理池处理达到《污水综合排放标准》（GB8978-1996）三级标准（NH</w:t>
            </w:r>
            <w:r>
              <w:rPr>
                <w:rFonts w:hint="eastAsia"/>
                <w:color w:val="auto"/>
                <w:kern w:val="24"/>
                <w:sz w:val="24"/>
                <w:szCs w:val="24"/>
                <w:vertAlign w:val="subscript"/>
              </w:rPr>
              <w:t>3</w:t>
            </w:r>
            <w:r>
              <w:rPr>
                <w:rFonts w:hint="eastAsia"/>
                <w:color w:val="auto"/>
                <w:kern w:val="24"/>
                <w:sz w:val="24"/>
                <w:szCs w:val="24"/>
              </w:rPr>
              <w:t>-N、TP参照《污水排入城镇下水道水质标准》（GB/T31962-2015）表1中B级标准）后与脱水机房污水一起排入市政污水管网，</w:t>
            </w:r>
            <w:r>
              <w:rPr>
                <w:rFonts w:hint="eastAsia"/>
                <w:color w:val="auto"/>
                <w:kern w:val="24"/>
                <w:sz w:val="24"/>
                <w:szCs w:val="24"/>
                <w:lang w:val="en-US" w:eastAsia="zh-CN"/>
              </w:rPr>
              <w:t>经</w:t>
            </w:r>
            <w:r>
              <w:rPr>
                <w:rFonts w:hint="eastAsia"/>
                <w:color w:val="auto"/>
                <w:kern w:val="24"/>
                <w:sz w:val="24"/>
                <w:szCs w:val="24"/>
              </w:rPr>
              <w:t>宣汉县城市生活污水处理厂处理达到《城镇污水处理厂污染物排放标准》（GB18918-2002）一级标准的A类标准后排入州河。</w:t>
            </w:r>
          </w:p>
          <w:p>
            <w:pPr>
              <w:spacing w:line="360" w:lineRule="auto"/>
              <w:ind w:firstLine="482" w:firstLineChars="200"/>
              <w:rPr>
                <w:rFonts w:cs="Times New Roman"/>
                <w:b/>
                <w:color w:val="auto"/>
                <w:sz w:val="24"/>
                <w:szCs w:val="24"/>
              </w:rPr>
            </w:pPr>
            <w:r>
              <w:rPr>
                <w:rFonts w:cs="Times New Roman"/>
                <w:b/>
                <w:color w:val="auto"/>
                <w:sz w:val="24"/>
                <w:szCs w:val="24"/>
              </w:rPr>
              <w:t>9</w:t>
            </w:r>
            <w:r>
              <w:rPr>
                <w:rFonts w:hint="eastAsia" w:cs="Times New Roman"/>
                <w:b/>
                <w:color w:val="auto"/>
                <w:sz w:val="24"/>
                <w:szCs w:val="24"/>
              </w:rPr>
              <w:t>、劳动定员及工作制度</w:t>
            </w:r>
          </w:p>
          <w:p>
            <w:pPr>
              <w:spacing w:line="360" w:lineRule="auto"/>
              <w:ind w:firstLine="480" w:firstLineChars="200"/>
              <w:rPr>
                <w:color w:val="auto"/>
                <w:kern w:val="24"/>
                <w:sz w:val="24"/>
                <w:szCs w:val="24"/>
              </w:rPr>
            </w:pPr>
            <w:r>
              <w:rPr>
                <w:rFonts w:hint="eastAsia"/>
                <w:color w:val="auto"/>
                <w:sz w:val="24"/>
                <w:szCs w:val="24"/>
              </w:rPr>
              <w:t>本项目劳动定员</w:t>
            </w:r>
            <w:r>
              <w:rPr>
                <w:rFonts w:hint="eastAsia"/>
                <w:color w:val="auto"/>
                <w:sz w:val="24"/>
                <w:szCs w:val="24"/>
                <w:lang w:val="en-US" w:eastAsia="zh-CN"/>
              </w:rPr>
              <w:t>6</w:t>
            </w:r>
            <w:r>
              <w:rPr>
                <w:color w:val="auto"/>
                <w:sz w:val="24"/>
                <w:szCs w:val="24"/>
              </w:rPr>
              <w:t>人</w:t>
            </w:r>
            <w:r>
              <w:rPr>
                <w:rFonts w:hint="eastAsia"/>
                <w:color w:val="auto"/>
                <w:sz w:val="24"/>
                <w:szCs w:val="24"/>
              </w:rPr>
              <w:t>，全年工作</w:t>
            </w:r>
            <w:r>
              <w:rPr>
                <w:color w:val="auto"/>
                <w:sz w:val="24"/>
                <w:szCs w:val="24"/>
              </w:rPr>
              <w:t>365</w:t>
            </w:r>
            <w:r>
              <w:rPr>
                <w:rFonts w:hint="eastAsia"/>
                <w:color w:val="auto"/>
                <w:sz w:val="24"/>
                <w:szCs w:val="24"/>
              </w:rPr>
              <w:t>天，实行三班制，每班工作8小时</w:t>
            </w:r>
            <w:r>
              <w:rPr>
                <w:rFonts w:hint="eastAsia"/>
                <w:color w:val="auto"/>
                <w:kern w:val="24"/>
                <w:sz w:val="24"/>
                <w:szCs w:val="24"/>
              </w:rPr>
              <w:t>。</w:t>
            </w:r>
          </w:p>
          <w:p>
            <w:pPr>
              <w:spacing w:line="360" w:lineRule="auto"/>
              <w:ind w:firstLine="482" w:firstLineChars="200"/>
              <w:rPr>
                <w:rFonts w:cs="Times New Roman"/>
                <w:b/>
                <w:color w:val="auto"/>
                <w:sz w:val="24"/>
                <w:szCs w:val="24"/>
              </w:rPr>
            </w:pPr>
            <w:r>
              <w:rPr>
                <w:rFonts w:cs="Times New Roman"/>
                <w:b/>
                <w:color w:val="auto"/>
                <w:sz w:val="24"/>
                <w:szCs w:val="24"/>
              </w:rPr>
              <w:t>10</w:t>
            </w:r>
            <w:r>
              <w:rPr>
                <w:rFonts w:hint="eastAsia" w:cs="Times New Roman"/>
                <w:b/>
                <w:color w:val="auto"/>
                <w:sz w:val="24"/>
                <w:szCs w:val="24"/>
              </w:rPr>
              <w:t>、总平面布置及现场布置</w:t>
            </w:r>
          </w:p>
          <w:p>
            <w:pPr>
              <w:spacing w:line="360" w:lineRule="auto"/>
              <w:ind w:firstLine="482" w:firstLineChars="200"/>
              <w:rPr>
                <w:rFonts w:cs="Times New Roman"/>
                <w:b/>
                <w:color w:val="auto"/>
                <w:sz w:val="24"/>
                <w:szCs w:val="24"/>
              </w:rPr>
            </w:pPr>
            <w:r>
              <w:rPr>
                <w:rFonts w:cs="Times New Roman"/>
                <w:b/>
                <w:color w:val="auto"/>
                <w:sz w:val="24"/>
                <w:szCs w:val="24"/>
              </w:rPr>
              <w:t>（</w:t>
            </w:r>
            <w:r>
              <w:rPr>
                <w:rFonts w:hint="eastAsia" w:cs="Times New Roman"/>
                <w:b/>
                <w:color w:val="auto"/>
                <w:sz w:val="24"/>
                <w:szCs w:val="24"/>
              </w:rPr>
              <w:t>1）厂区总平面布置</w:t>
            </w:r>
          </w:p>
          <w:p>
            <w:pPr>
              <w:spacing w:line="360" w:lineRule="auto"/>
              <w:ind w:firstLine="480" w:firstLineChars="200"/>
              <w:rPr>
                <w:rFonts w:cs="Times New Roman"/>
                <w:color w:val="auto"/>
                <w:sz w:val="24"/>
                <w:szCs w:val="24"/>
              </w:rPr>
            </w:pPr>
            <w:r>
              <w:rPr>
                <w:rFonts w:hint="eastAsia" w:cs="Times New Roman"/>
                <w:color w:val="auto"/>
                <w:sz w:val="24"/>
                <w:szCs w:val="24"/>
              </w:rPr>
              <w:t>本项目厂区呈不规则</w:t>
            </w:r>
            <w:r>
              <w:rPr>
                <w:rFonts w:hint="eastAsia" w:cs="Times New Roman"/>
                <w:color w:val="auto"/>
                <w:sz w:val="24"/>
                <w:szCs w:val="24"/>
                <w:lang w:val="en-US" w:eastAsia="zh-CN"/>
              </w:rPr>
              <w:t>图形</w:t>
            </w:r>
            <w:r>
              <w:rPr>
                <w:rFonts w:cs="Times New Roman"/>
                <w:color w:val="auto"/>
                <w:sz w:val="24"/>
                <w:szCs w:val="24"/>
              </w:rPr>
              <w:t>，厂区生产区和辅助区分开布置，功能区划明确。生产区布置在厂区</w:t>
            </w:r>
            <w:r>
              <w:rPr>
                <w:rFonts w:hint="eastAsia" w:cs="Times New Roman"/>
                <w:color w:val="auto"/>
                <w:sz w:val="24"/>
                <w:szCs w:val="24"/>
                <w:lang w:val="en-US" w:eastAsia="zh-CN"/>
              </w:rPr>
              <w:t>北</w:t>
            </w:r>
            <w:r>
              <w:rPr>
                <w:rFonts w:cs="Times New Roman"/>
                <w:color w:val="auto"/>
                <w:sz w:val="24"/>
                <w:szCs w:val="24"/>
              </w:rPr>
              <w:t>侧，</w:t>
            </w:r>
            <w:r>
              <w:rPr>
                <w:rFonts w:hint="eastAsia" w:cs="Times New Roman"/>
                <w:color w:val="auto"/>
                <w:sz w:val="24"/>
                <w:szCs w:val="24"/>
                <w:lang w:val="en-US" w:eastAsia="zh-CN"/>
              </w:rPr>
              <w:t>门卫室邻近</w:t>
            </w:r>
            <w:r>
              <w:rPr>
                <w:rFonts w:cs="Times New Roman"/>
                <w:color w:val="auto"/>
                <w:sz w:val="24"/>
                <w:szCs w:val="24"/>
              </w:rPr>
              <w:t>道路，便于原水、自来水进出厂区；工艺布局按照工艺顺畅的原则，</w:t>
            </w:r>
            <w:r>
              <w:rPr>
                <w:rFonts w:hint="eastAsia" w:cs="Times New Roman"/>
                <w:color w:val="auto"/>
                <w:sz w:val="24"/>
                <w:szCs w:val="24"/>
              </w:rPr>
              <w:t>依次布设原水箱→混凝沉淀过滤一体化设备→中间水箱→活性炭过滤器→产水箱，形成一条完整的流水线。</w:t>
            </w:r>
            <w:r>
              <w:rPr>
                <w:rFonts w:cs="Times New Roman"/>
                <w:color w:val="auto"/>
                <w:sz w:val="24"/>
                <w:szCs w:val="24"/>
              </w:rPr>
              <w:t>辅助区</w:t>
            </w:r>
            <w:r>
              <w:rPr>
                <w:rFonts w:hint="eastAsia" w:cs="Times New Roman"/>
                <w:color w:val="auto"/>
                <w:sz w:val="24"/>
                <w:szCs w:val="24"/>
              </w:rPr>
              <w:t>设置有配电间及控制室、值班室、脱水机房（含堆棚）等辅助设施，布局上充分结合工艺需求，做到就近控制、就近收集污泥；值班室设于厂区北侧，与控制室紧邻，既可以实现生活、生活分离，又可以加强生产管理。</w:t>
            </w:r>
          </w:p>
          <w:p>
            <w:pPr>
              <w:spacing w:line="360" w:lineRule="auto"/>
              <w:ind w:firstLine="480" w:firstLineChars="200"/>
              <w:rPr>
                <w:rFonts w:cs="Times New Roman"/>
                <w:color w:val="auto"/>
                <w:sz w:val="24"/>
                <w:szCs w:val="24"/>
              </w:rPr>
            </w:pPr>
            <w:r>
              <w:rPr>
                <w:rFonts w:hint="eastAsia" w:cs="Times New Roman"/>
                <w:color w:val="auto"/>
                <w:sz w:val="24"/>
                <w:szCs w:val="24"/>
              </w:rPr>
              <w:t>厂内消防通道沿各建（构）筑物形成环形消防通道（通道宽</w:t>
            </w:r>
            <w:r>
              <w:rPr>
                <w:rFonts w:cs="Times New Roman"/>
                <w:color w:val="auto"/>
                <w:sz w:val="24"/>
                <w:szCs w:val="24"/>
              </w:rPr>
              <w:t>4</w:t>
            </w:r>
            <w:r>
              <w:rPr>
                <w:rFonts w:hint="eastAsia" w:cs="Times New Roman"/>
                <w:color w:val="auto"/>
                <w:sz w:val="24"/>
                <w:szCs w:val="24"/>
              </w:rPr>
              <w:t>m），消防通道畅通，可顺利到达厂区各处。厂区设置出入口</w:t>
            </w:r>
            <w:r>
              <w:rPr>
                <w:rFonts w:cs="Times New Roman"/>
                <w:color w:val="auto"/>
                <w:sz w:val="24"/>
                <w:szCs w:val="24"/>
              </w:rPr>
              <w:t>1</w:t>
            </w:r>
            <w:r>
              <w:rPr>
                <w:rFonts w:hint="eastAsia" w:cs="Times New Roman"/>
                <w:color w:val="auto"/>
                <w:sz w:val="24"/>
                <w:szCs w:val="24"/>
              </w:rPr>
              <w:t>处，出入口与厂区道路无障碍连接。整个厂区的交通指示按照交通相关要求进行设置。</w:t>
            </w:r>
          </w:p>
          <w:p>
            <w:pPr>
              <w:spacing w:line="360" w:lineRule="auto"/>
              <w:ind w:firstLine="480" w:firstLineChars="200"/>
              <w:rPr>
                <w:color w:val="auto"/>
                <w:kern w:val="24"/>
                <w:sz w:val="24"/>
                <w:szCs w:val="24"/>
              </w:rPr>
            </w:pPr>
            <w:r>
              <w:rPr>
                <w:color w:val="auto"/>
                <w:kern w:val="24"/>
                <w:sz w:val="24"/>
                <w:szCs w:val="24"/>
              </w:rPr>
              <w:t>项目总平面布置见附图</w:t>
            </w:r>
            <w:r>
              <w:rPr>
                <w:rFonts w:hint="eastAsia"/>
                <w:color w:val="auto"/>
                <w:kern w:val="24"/>
                <w:sz w:val="24"/>
                <w:szCs w:val="24"/>
              </w:rPr>
              <w:t>。</w:t>
            </w:r>
          </w:p>
          <w:p>
            <w:pPr>
              <w:spacing w:line="360" w:lineRule="auto"/>
              <w:ind w:firstLine="482" w:firstLineChars="200"/>
              <w:rPr>
                <w:rFonts w:cs="Times New Roman"/>
                <w:b/>
                <w:sz w:val="24"/>
                <w:szCs w:val="24"/>
              </w:rPr>
            </w:pPr>
            <w:r>
              <w:rPr>
                <w:rFonts w:cs="Times New Roman"/>
                <w:b/>
                <w:sz w:val="24"/>
                <w:szCs w:val="24"/>
              </w:rPr>
              <w:t>（2</w:t>
            </w:r>
            <w:r>
              <w:rPr>
                <w:rFonts w:hint="eastAsia" w:cs="Times New Roman"/>
                <w:b/>
                <w:sz w:val="24"/>
                <w:szCs w:val="24"/>
              </w:rPr>
              <w:t>）施工平面布置</w:t>
            </w:r>
          </w:p>
          <w:p>
            <w:pPr>
              <w:spacing w:line="360" w:lineRule="auto"/>
              <w:ind w:firstLine="480" w:firstLineChars="200"/>
              <w:rPr>
                <w:color w:val="FF0000"/>
                <w:kern w:val="24"/>
                <w:sz w:val="24"/>
                <w:szCs w:val="24"/>
              </w:rPr>
            </w:pPr>
            <w:r>
              <w:rPr>
                <w:rFonts w:hint="eastAsia"/>
                <w:kern w:val="24"/>
                <w:sz w:val="24"/>
                <w:szCs w:val="24"/>
              </w:rPr>
              <w:t>本项目位于城市开发区域，路网较为完善，施工期不设取（弃）土场、施工便道等施工临时设施。项目在</w:t>
            </w:r>
            <w:r>
              <w:rPr>
                <w:rFonts w:hint="eastAsia"/>
                <w:kern w:val="24"/>
                <w:sz w:val="24"/>
                <w:szCs w:val="24"/>
                <w:lang w:eastAsia="zh-CN"/>
              </w:rPr>
              <w:t>水厂</w:t>
            </w:r>
            <w:r>
              <w:rPr>
                <w:rFonts w:hint="eastAsia"/>
                <w:kern w:val="24"/>
                <w:sz w:val="24"/>
                <w:szCs w:val="24"/>
              </w:rPr>
              <w:t>永久用地范围内设1处施工营房，占地面积约</w:t>
            </w:r>
            <w:r>
              <w:rPr>
                <w:kern w:val="24"/>
                <w:sz w:val="24"/>
                <w:szCs w:val="24"/>
              </w:rPr>
              <w:t>800m</w:t>
            </w:r>
            <w:r>
              <w:rPr>
                <w:kern w:val="24"/>
                <w:sz w:val="24"/>
                <w:szCs w:val="24"/>
                <w:vertAlign w:val="superscript"/>
              </w:rPr>
              <w:t>2</w:t>
            </w:r>
            <w:r>
              <w:rPr>
                <w:kern w:val="24"/>
                <w:sz w:val="24"/>
                <w:szCs w:val="24"/>
              </w:rPr>
              <w:t>，</w:t>
            </w:r>
            <w:r>
              <w:rPr>
                <w:rFonts w:hint="eastAsia"/>
                <w:color w:val="auto"/>
                <w:kern w:val="24"/>
                <w:sz w:val="24"/>
                <w:szCs w:val="24"/>
              </w:rPr>
              <w:t>用于</w:t>
            </w:r>
            <w:r>
              <w:rPr>
                <w:color w:val="auto"/>
                <w:kern w:val="24"/>
                <w:sz w:val="24"/>
                <w:szCs w:val="24"/>
              </w:rPr>
              <w:t>施工人员办公，不设食宿</w:t>
            </w:r>
            <w:r>
              <w:rPr>
                <w:rFonts w:hint="eastAsia"/>
                <w:color w:val="auto"/>
                <w:kern w:val="24"/>
                <w:sz w:val="24"/>
                <w:szCs w:val="24"/>
              </w:rPr>
              <w:t>；</w:t>
            </w:r>
            <w:r>
              <w:rPr>
                <w:rFonts w:hint="eastAsia"/>
                <w:color w:val="auto"/>
                <w:kern w:val="24"/>
                <w:sz w:val="24"/>
                <w:szCs w:val="24"/>
                <w:lang w:eastAsia="zh-CN"/>
              </w:rPr>
              <w:t>水厂</w:t>
            </w:r>
            <w:r>
              <w:rPr>
                <w:rFonts w:hint="eastAsia"/>
                <w:color w:val="auto"/>
                <w:kern w:val="24"/>
                <w:sz w:val="24"/>
                <w:szCs w:val="24"/>
              </w:rPr>
              <w:t>施工场地严格控制占地范围，不得超出用地红线，以减轻生态环境影响；原水输水管道设施工作业带，宽</w:t>
            </w:r>
            <w:r>
              <w:rPr>
                <w:rFonts w:hint="eastAsia"/>
                <w:color w:val="auto"/>
                <w:kern w:val="24"/>
                <w:sz w:val="24"/>
                <w:szCs w:val="24"/>
                <w:lang w:val="en-US" w:eastAsia="zh-CN"/>
              </w:rPr>
              <w:t>5</w:t>
            </w:r>
            <w:r>
              <w:rPr>
                <w:color w:val="auto"/>
                <w:kern w:val="24"/>
                <w:sz w:val="24"/>
                <w:szCs w:val="24"/>
              </w:rPr>
              <w:t>m，临时占地面积约</w:t>
            </w:r>
            <w:r>
              <w:rPr>
                <w:rFonts w:hint="eastAsia"/>
                <w:color w:val="auto"/>
                <w:kern w:val="24"/>
                <w:sz w:val="24"/>
                <w:szCs w:val="24"/>
                <w:lang w:val="en-US" w:eastAsia="zh-CN"/>
              </w:rPr>
              <w:t>8300</w:t>
            </w:r>
            <w:r>
              <w:rPr>
                <w:color w:val="auto"/>
                <w:kern w:val="24"/>
                <w:sz w:val="24"/>
                <w:szCs w:val="24"/>
              </w:rPr>
              <w:t>m</w:t>
            </w:r>
            <w:r>
              <w:rPr>
                <w:color w:val="auto"/>
                <w:kern w:val="24"/>
                <w:sz w:val="24"/>
                <w:szCs w:val="24"/>
                <w:vertAlign w:val="superscript"/>
              </w:rPr>
              <w:t>2</w:t>
            </w:r>
            <w:r>
              <w:rPr>
                <w:color w:val="auto"/>
                <w:kern w:val="24"/>
                <w:sz w:val="24"/>
                <w:szCs w:val="24"/>
              </w:rPr>
              <w:t>，占地类型为其他土地，</w:t>
            </w:r>
            <w:r>
              <w:rPr>
                <w:rFonts w:hint="eastAsia"/>
                <w:color w:val="auto"/>
                <w:kern w:val="24"/>
                <w:sz w:val="24"/>
                <w:szCs w:val="24"/>
              </w:rPr>
              <w:t>管道敷设完后立即恢复其原有地貌。</w:t>
            </w:r>
          </w:p>
          <w:p>
            <w:pPr>
              <w:spacing w:line="360" w:lineRule="auto"/>
              <w:ind w:firstLine="480" w:firstLineChars="200"/>
              <w:rPr>
                <w:kern w:val="24"/>
                <w:sz w:val="24"/>
                <w:szCs w:val="24"/>
              </w:rPr>
            </w:pPr>
            <w:r>
              <w:rPr>
                <w:rFonts w:hint="eastAsia"/>
                <w:kern w:val="24"/>
                <w:sz w:val="24"/>
                <w:szCs w:val="24"/>
              </w:rPr>
              <w:t>工程在施工布置上，遵循因地、因时制宜、有利生产、方便生活、易于管理、安全可靠、经济合理的原则，控制占地和减少开挖扰动破坏面。</w:t>
            </w:r>
          </w:p>
          <w:p>
            <w:pPr>
              <w:spacing w:line="360" w:lineRule="auto"/>
              <w:jc w:val="center"/>
              <w:rPr>
                <w:kern w:val="24"/>
                <w:sz w:val="24"/>
                <w:szCs w:val="24"/>
              </w:rPr>
            </w:pPr>
            <w:r>
              <w:rPr>
                <w:rFonts w:hint="eastAsia"/>
                <w:kern w:val="24"/>
                <w:sz w:val="24"/>
                <w:szCs w:val="24"/>
              </w:rPr>
              <w:drawing>
                <wp:inline distT="0" distB="0" distL="0" distR="0">
                  <wp:extent cx="3002915" cy="933450"/>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037705" cy="944077"/>
                          </a:xfrm>
                          <a:prstGeom prst="rect">
                            <a:avLst/>
                          </a:prstGeom>
                          <a:noFill/>
                          <a:ln>
                            <a:noFill/>
                          </a:ln>
                        </pic:spPr>
                      </pic:pic>
                    </a:graphicData>
                  </a:graphic>
                </wp:inline>
              </w:drawing>
            </w:r>
          </w:p>
          <w:p>
            <w:pPr>
              <w:spacing w:line="360" w:lineRule="auto"/>
              <w:jc w:val="center"/>
              <w:rPr>
                <w:szCs w:val="21"/>
              </w:rPr>
            </w:pPr>
            <w:r>
              <w:rPr>
                <w:rFonts w:hint="eastAsia" w:eastAsia="黑体" w:cstheme="minorHAnsi"/>
                <w:szCs w:val="21"/>
              </w:rPr>
              <w:t>图</w:t>
            </w:r>
            <w:r>
              <w:rPr>
                <w:rFonts w:eastAsia="黑体" w:cstheme="minorHAnsi"/>
                <w:szCs w:val="21"/>
              </w:rPr>
              <w:t>2</w:t>
            </w:r>
            <w:r>
              <w:rPr>
                <w:rFonts w:hint="eastAsia" w:eastAsia="黑体" w:cstheme="minorHAnsi"/>
                <w:szCs w:val="21"/>
              </w:rPr>
              <w:t>-</w:t>
            </w:r>
            <w:r>
              <w:rPr>
                <w:rFonts w:eastAsia="黑体" w:cstheme="minorHAnsi"/>
                <w:szCs w:val="21"/>
              </w:rPr>
              <w:t xml:space="preserve">7  </w:t>
            </w:r>
            <w:r>
              <w:rPr>
                <w:rFonts w:hint="eastAsia" w:eastAsia="黑体" w:cstheme="minorHAnsi"/>
                <w:szCs w:val="21"/>
              </w:rPr>
              <w:t>管网</w:t>
            </w:r>
            <w:r>
              <w:rPr>
                <w:rFonts w:eastAsia="黑体" w:cstheme="minorHAnsi"/>
                <w:szCs w:val="21"/>
              </w:rPr>
              <w:t>入廊段施工平面布置图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56" w:type="dxa"/>
            <w:vAlign w:val="center"/>
          </w:tcPr>
          <w:p>
            <w:pPr>
              <w:spacing w:line="360" w:lineRule="auto"/>
              <w:jc w:val="center"/>
              <w:rPr>
                <w:rFonts w:cs="Times New Roman"/>
                <w:sz w:val="24"/>
                <w:szCs w:val="24"/>
              </w:rPr>
            </w:pPr>
            <w:r>
              <w:rPr>
                <w:rFonts w:hint="eastAsia" w:cs="Times New Roman"/>
                <w:sz w:val="24"/>
                <w:szCs w:val="24"/>
              </w:rPr>
              <w:t>工艺流程和产排污环节</w:t>
            </w:r>
          </w:p>
        </w:tc>
        <w:tc>
          <w:tcPr>
            <w:tcW w:w="8893" w:type="dxa"/>
            <w:vAlign w:val="center"/>
          </w:tcPr>
          <w:p>
            <w:pPr>
              <w:spacing w:line="360" w:lineRule="auto"/>
              <w:ind w:firstLine="482" w:firstLineChars="200"/>
              <w:rPr>
                <w:rFonts w:cs="Times New Roman"/>
                <w:b/>
                <w:color w:val="auto"/>
                <w:sz w:val="24"/>
                <w:szCs w:val="24"/>
              </w:rPr>
            </w:pPr>
            <w:r>
              <w:rPr>
                <w:rFonts w:cs="Times New Roman"/>
                <w:b/>
                <w:color w:val="auto"/>
                <w:sz w:val="24"/>
                <w:szCs w:val="24"/>
              </w:rPr>
              <w:t>1</w:t>
            </w:r>
            <w:r>
              <w:rPr>
                <w:rFonts w:hint="eastAsia" w:cs="Times New Roman"/>
                <w:b/>
                <w:color w:val="auto"/>
                <w:sz w:val="24"/>
                <w:szCs w:val="24"/>
              </w:rPr>
              <w:t>、施工期工艺流程和产污环节</w:t>
            </w:r>
          </w:p>
          <w:p>
            <w:pPr>
              <w:spacing w:line="360" w:lineRule="auto"/>
              <w:ind w:firstLine="480"/>
              <w:rPr>
                <w:color w:val="auto"/>
                <w:sz w:val="24"/>
                <w:szCs w:val="24"/>
              </w:rPr>
            </w:pPr>
            <w:r>
              <w:rPr>
                <w:rFonts w:hint="eastAsia"/>
                <w:color w:val="auto"/>
                <w:sz w:val="24"/>
                <w:szCs w:val="24"/>
              </w:rPr>
              <w:t>施工期基础工程、主体工程、装饰工程、设备安装等建设阶段将产生噪声、扬尘、固体废物、少量污水和废气等污染物，其排放量随工期和施工强度不同而有所变化，施工期工艺流程及产污环节如下图所示。</w:t>
            </w:r>
          </w:p>
          <w:p>
            <w:pPr>
              <w:spacing w:line="360" w:lineRule="auto"/>
              <w:ind w:firstLine="480"/>
              <w:rPr>
                <w:b/>
                <w:bCs/>
                <w:color w:val="auto"/>
                <w:sz w:val="24"/>
                <w:szCs w:val="24"/>
              </w:rPr>
            </w:pPr>
            <w:r>
              <w:rPr>
                <w:rFonts w:hint="eastAsia"/>
                <w:b/>
                <w:bCs/>
                <w:color w:val="auto"/>
                <w:sz w:val="24"/>
                <w:szCs w:val="24"/>
              </w:rPr>
              <w:t>（1）输水管道施工工艺</w:t>
            </w:r>
          </w:p>
          <w:p>
            <w:pPr>
              <w:spacing w:line="360" w:lineRule="auto"/>
              <w:ind w:firstLine="480"/>
              <w:rPr>
                <w:color w:val="auto"/>
                <w:sz w:val="24"/>
                <w:szCs w:val="24"/>
              </w:rPr>
            </w:pPr>
            <w:r>
              <w:rPr>
                <w:rFonts w:hint="eastAsia"/>
                <w:color w:val="auto"/>
                <w:sz w:val="24"/>
                <w:szCs w:val="24"/>
              </w:rPr>
              <w:t>项目输水管道</w:t>
            </w:r>
            <w:r>
              <w:rPr>
                <w:rFonts w:hint="eastAsia"/>
                <w:color w:val="auto"/>
                <w:sz w:val="24"/>
                <w:szCs w:val="24"/>
                <w:lang w:val="en-US" w:eastAsia="zh-CN"/>
              </w:rPr>
              <w:t>沿现有道路敷设，</w:t>
            </w:r>
            <w:r>
              <w:rPr>
                <w:color w:val="auto"/>
                <w:sz w:val="24"/>
                <w:szCs w:val="24"/>
              </w:rPr>
              <w:t>涉及基础开挖外，</w:t>
            </w:r>
            <w:r>
              <w:rPr>
                <w:rFonts w:hint="eastAsia"/>
                <w:color w:val="auto"/>
                <w:sz w:val="24"/>
                <w:szCs w:val="24"/>
              </w:rPr>
              <w:t>其余段均不涉及基础开挖，各段施工期工艺流程如图2-</w:t>
            </w:r>
            <w:r>
              <w:rPr>
                <w:color w:val="auto"/>
                <w:sz w:val="24"/>
                <w:szCs w:val="24"/>
              </w:rPr>
              <w:t>8</w:t>
            </w:r>
            <w:r>
              <w:rPr>
                <w:rFonts w:hint="eastAsia"/>
                <w:color w:val="auto"/>
                <w:sz w:val="24"/>
                <w:szCs w:val="24"/>
              </w:rPr>
              <w:t>所示。</w:t>
            </w:r>
          </w:p>
          <w:p>
            <w:pPr>
              <w:spacing w:line="360" w:lineRule="auto"/>
              <w:jc w:val="center"/>
              <w:rPr>
                <w:color w:val="auto"/>
              </w:rPr>
            </w:pPr>
            <w:r>
              <w:rPr>
                <w:color w:val="auto"/>
              </w:rPr>
              <w:object>
                <v:shape id="_x0000_i1026" o:spt="75" type="#_x0000_t75" style="height:138pt;width:362.25pt;" o:ole="t" filled="f" o:preferrelative="t" stroked="f" coordsize="21600,21600">
                  <v:path/>
                  <v:fill on="f" focussize="0,0"/>
                  <v:stroke on="f" joinstyle="miter"/>
                  <v:imagedata r:id="rId13" o:title=""/>
                  <o:lock v:ext="edit" aspectratio="t"/>
                  <w10:wrap type="none"/>
                  <w10:anchorlock/>
                </v:shape>
                <o:OLEObject Type="Embed" ProgID="Visio.Drawing.15" ShapeID="_x0000_i1026" DrawAspect="Content" ObjectID="_1468075725" r:id="rId12">
                  <o:LockedField>false</o:LockedField>
                </o:OLEObject>
              </w:object>
            </w:r>
          </w:p>
          <w:p>
            <w:pPr>
              <w:spacing w:line="360" w:lineRule="auto"/>
              <w:jc w:val="center"/>
              <w:rPr>
                <w:rFonts w:eastAsia="黑体" w:cs="Times New Roman"/>
                <w:color w:val="auto"/>
                <w:szCs w:val="21"/>
              </w:rPr>
            </w:pPr>
            <w:r>
              <w:rPr>
                <w:rFonts w:eastAsia="黑体" w:cs="Times New Roman"/>
                <w:color w:val="auto"/>
                <w:szCs w:val="21"/>
              </w:rPr>
              <w:t>图2-8  原水输水管道（</w:t>
            </w:r>
            <w:r>
              <w:rPr>
                <w:rFonts w:hint="eastAsia" w:eastAsia="黑体" w:cs="Times New Roman"/>
                <w:color w:val="auto"/>
                <w:szCs w:val="21"/>
              </w:rPr>
              <w:t>起点入廊段）</w:t>
            </w:r>
            <w:r>
              <w:rPr>
                <w:rFonts w:eastAsia="黑体" w:cs="Times New Roman"/>
                <w:color w:val="auto"/>
                <w:szCs w:val="21"/>
              </w:rPr>
              <w:t>施工工艺及产污环节图</w:t>
            </w:r>
          </w:p>
          <w:p>
            <w:pPr>
              <w:spacing w:line="360" w:lineRule="auto"/>
              <w:jc w:val="center"/>
              <w:rPr>
                <w:rFonts w:eastAsia="黑体" w:cs="Times New Roman"/>
                <w:color w:val="auto"/>
                <w:szCs w:val="21"/>
              </w:rPr>
            </w:pPr>
          </w:p>
          <w:p>
            <w:pPr>
              <w:spacing w:line="360" w:lineRule="auto"/>
              <w:jc w:val="center"/>
              <w:rPr>
                <w:rFonts w:eastAsia="黑体" w:cs="Times New Roman"/>
                <w:color w:val="auto"/>
                <w:szCs w:val="21"/>
              </w:rPr>
            </w:pPr>
          </w:p>
          <w:p>
            <w:pPr>
              <w:spacing w:line="360" w:lineRule="auto"/>
              <w:jc w:val="center"/>
              <w:rPr>
                <w:color w:val="auto"/>
              </w:rPr>
            </w:pPr>
            <w:r>
              <w:rPr>
                <w:color w:val="auto"/>
              </w:rPr>
              <w:object>
                <v:shape id="_x0000_i1027" o:spt="75" type="#_x0000_t75" style="height:107.25pt;width:327pt;" o:ole="t" filled="f" o:preferrelative="t" stroked="f" coordsize="21600,21600">
                  <v:path/>
                  <v:fill on="f" focussize="0,0"/>
                  <v:stroke on="f" joinstyle="miter"/>
                  <v:imagedata r:id="rId15" o:title=""/>
                  <o:lock v:ext="edit" aspectratio="t"/>
                  <w10:wrap type="none"/>
                  <w10:anchorlock/>
                </v:shape>
                <o:OLEObject Type="Embed" ProgID="Visio.Drawing.15" ShapeID="_x0000_i1027" DrawAspect="Content" ObjectID="_1468075726" r:id="rId14">
                  <o:LockedField>false</o:LockedField>
                </o:OLEObject>
              </w:object>
            </w:r>
          </w:p>
          <w:p>
            <w:pPr>
              <w:spacing w:line="360" w:lineRule="auto"/>
              <w:jc w:val="center"/>
              <w:rPr>
                <w:rFonts w:eastAsia="黑体" w:cs="Times New Roman"/>
                <w:color w:val="auto"/>
                <w:szCs w:val="21"/>
              </w:rPr>
            </w:pPr>
            <w:r>
              <w:rPr>
                <w:rFonts w:eastAsia="黑体" w:cs="Times New Roman"/>
                <w:color w:val="auto"/>
                <w:szCs w:val="21"/>
              </w:rPr>
              <w:t>图2</w:t>
            </w:r>
            <w:r>
              <w:rPr>
                <w:rFonts w:hint="eastAsia" w:eastAsia="黑体" w:cs="Times New Roman"/>
                <w:color w:val="auto"/>
                <w:szCs w:val="21"/>
              </w:rPr>
              <w:t>-</w:t>
            </w:r>
            <w:r>
              <w:rPr>
                <w:rFonts w:eastAsia="黑体" w:cs="Times New Roman"/>
                <w:color w:val="auto"/>
                <w:szCs w:val="21"/>
              </w:rPr>
              <w:t>9  原水</w:t>
            </w:r>
            <w:r>
              <w:rPr>
                <w:rFonts w:hint="eastAsia" w:eastAsia="黑体" w:cs="Times New Roman"/>
                <w:color w:val="auto"/>
                <w:szCs w:val="21"/>
              </w:rPr>
              <w:t>输水管道（其余段）</w:t>
            </w:r>
            <w:r>
              <w:rPr>
                <w:rFonts w:eastAsia="黑体" w:cs="Times New Roman"/>
                <w:color w:val="auto"/>
                <w:szCs w:val="21"/>
              </w:rPr>
              <w:t>施工工艺</w:t>
            </w:r>
            <w:r>
              <w:rPr>
                <w:rFonts w:hint="eastAsia" w:eastAsia="黑体" w:cs="Times New Roman"/>
                <w:color w:val="auto"/>
                <w:szCs w:val="21"/>
              </w:rPr>
              <w:t>及</w:t>
            </w:r>
            <w:r>
              <w:rPr>
                <w:rFonts w:eastAsia="黑体" w:cs="Times New Roman"/>
                <w:color w:val="auto"/>
                <w:szCs w:val="21"/>
              </w:rPr>
              <w:t>产污环节</w:t>
            </w:r>
            <w:r>
              <w:rPr>
                <w:rFonts w:hint="eastAsia" w:eastAsia="黑体" w:cs="Times New Roman"/>
                <w:color w:val="auto"/>
                <w:szCs w:val="21"/>
              </w:rPr>
              <w:t>图</w:t>
            </w:r>
          </w:p>
          <w:p>
            <w:pPr>
              <w:spacing w:line="360" w:lineRule="auto"/>
              <w:ind w:firstLine="480"/>
              <w:rPr>
                <w:b/>
                <w:bCs/>
                <w:color w:val="auto"/>
                <w:sz w:val="24"/>
                <w:szCs w:val="24"/>
              </w:rPr>
            </w:pPr>
            <w:r>
              <w:rPr>
                <w:rFonts w:hint="eastAsia"/>
                <w:b/>
                <w:bCs/>
                <w:color w:val="auto"/>
                <w:sz w:val="24"/>
                <w:szCs w:val="24"/>
              </w:rPr>
              <w:t>主要工序简述：</w:t>
            </w:r>
          </w:p>
          <w:p>
            <w:pPr>
              <w:spacing w:line="360" w:lineRule="auto"/>
              <w:ind w:firstLine="480"/>
              <w:rPr>
                <w:b/>
                <w:bCs/>
                <w:color w:val="auto"/>
                <w:sz w:val="24"/>
                <w:szCs w:val="24"/>
              </w:rPr>
            </w:pPr>
            <w:r>
              <w:rPr>
                <w:rFonts w:hint="eastAsia"/>
                <w:b/>
                <w:bCs/>
                <w:color w:val="auto"/>
                <w:sz w:val="24"/>
                <w:szCs w:val="24"/>
              </w:rPr>
              <w:t>①地表清理</w:t>
            </w:r>
          </w:p>
          <w:p>
            <w:pPr>
              <w:spacing w:line="360" w:lineRule="auto"/>
              <w:ind w:firstLine="480"/>
              <w:rPr>
                <w:bCs/>
                <w:color w:val="auto"/>
                <w:sz w:val="24"/>
                <w:szCs w:val="24"/>
              </w:rPr>
            </w:pPr>
            <w:r>
              <w:rPr>
                <w:rFonts w:hint="eastAsia"/>
                <w:bCs/>
                <w:color w:val="auto"/>
                <w:sz w:val="24"/>
                <w:szCs w:val="24"/>
              </w:rPr>
              <w:t>项目输水管道入廊段沿线主要为杂草，工程施工前需对施工沿线植被进行清理，待施工完毕后进行恢复。</w:t>
            </w:r>
          </w:p>
          <w:p>
            <w:pPr>
              <w:spacing w:line="360" w:lineRule="auto"/>
              <w:ind w:firstLine="480"/>
              <w:rPr>
                <w:b/>
                <w:bCs/>
                <w:color w:val="auto"/>
                <w:sz w:val="24"/>
                <w:szCs w:val="24"/>
              </w:rPr>
            </w:pPr>
            <w:r>
              <w:rPr>
                <w:rFonts w:hint="eastAsia"/>
                <w:b/>
                <w:bCs/>
                <w:color w:val="auto"/>
                <w:sz w:val="24"/>
                <w:szCs w:val="24"/>
              </w:rPr>
              <w:t>②沟槽开挖</w:t>
            </w:r>
          </w:p>
          <w:p>
            <w:pPr>
              <w:spacing w:line="360" w:lineRule="auto"/>
              <w:ind w:firstLine="480"/>
              <w:rPr>
                <w:bCs/>
                <w:color w:val="auto"/>
                <w:sz w:val="24"/>
                <w:szCs w:val="24"/>
              </w:rPr>
            </w:pPr>
            <w:r>
              <w:rPr>
                <w:rFonts w:hint="eastAsia"/>
                <w:bCs/>
                <w:color w:val="auto"/>
                <w:sz w:val="24"/>
                <w:szCs w:val="24"/>
              </w:rPr>
              <w:t>管道采用开槽法施工。当土（石）方用机械开挖时，应保留0.2m应用人工清槽，不得超挖，如果超挖应进行地基处理。沟槽开挖的宽度、边坡坡度、分层开挖每层深度应根据《给水排水管道工程施工及验收规范》并结合实际清况确定。沟槽临时开挖边坡坡率、开挖宽度应根据《给水排水管道工程施工及验收规范》（GB50268-2008）有关规定执行。</w:t>
            </w:r>
          </w:p>
          <w:p>
            <w:pPr>
              <w:spacing w:line="360" w:lineRule="auto"/>
              <w:ind w:firstLine="480"/>
              <w:rPr>
                <w:b/>
                <w:bCs/>
                <w:color w:val="auto"/>
                <w:sz w:val="24"/>
                <w:szCs w:val="24"/>
              </w:rPr>
            </w:pPr>
            <w:r>
              <w:rPr>
                <w:rFonts w:hint="eastAsia"/>
                <w:b/>
                <w:bCs/>
                <w:color w:val="auto"/>
                <w:sz w:val="24"/>
                <w:szCs w:val="24"/>
              </w:rPr>
              <w:t>③管道安装</w:t>
            </w:r>
          </w:p>
          <w:p>
            <w:pPr>
              <w:spacing w:line="360" w:lineRule="auto"/>
              <w:ind w:firstLine="480"/>
              <w:rPr>
                <w:color w:val="auto"/>
                <w:sz w:val="24"/>
                <w:szCs w:val="24"/>
              </w:rPr>
            </w:pPr>
            <w:r>
              <w:rPr>
                <w:color w:val="auto"/>
                <w:sz w:val="24"/>
                <w:szCs w:val="24"/>
              </w:rPr>
              <w:t>管材进场</w:t>
            </w:r>
            <w:r>
              <w:rPr>
                <w:rFonts w:hint="eastAsia"/>
                <w:color w:val="auto"/>
                <w:sz w:val="24"/>
                <w:szCs w:val="24"/>
              </w:rPr>
              <w:t>时</w:t>
            </w:r>
            <w:r>
              <w:rPr>
                <w:color w:val="auto"/>
                <w:sz w:val="24"/>
                <w:szCs w:val="24"/>
              </w:rPr>
              <w:t>应进行检查，管材应具有物理性能检验及压力试验合格的报告，外表面应有标记、出厂合格证、管材型号等，并检查防腐层是否脱落，管道承口、插口尺寸、内外径</w:t>
            </w:r>
            <w:r>
              <w:rPr>
                <w:rFonts w:hint="eastAsia"/>
                <w:color w:val="auto"/>
                <w:sz w:val="24"/>
                <w:szCs w:val="24"/>
              </w:rPr>
              <w:t>是否</w:t>
            </w:r>
            <w:r>
              <w:rPr>
                <w:color w:val="auto"/>
                <w:sz w:val="24"/>
                <w:szCs w:val="24"/>
              </w:rPr>
              <w:t>符合要求。</w:t>
            </w:r>
          </w:p>
          <w:p>
            <w:pPr>
              <w:spacing w:line="360" w:lineRule="auto"/>
              <w:ind w:firstLine="480"/>
              <w:rPr>
                <w:color w:val="auto"/>
                <w:sz w:val="24"/>
                <w:szCs w:val="24"/>
              </w:rPr>
            </w:pPr>
            <w:r>
              <w:rPr>
                <w:color w:val="auto"/>
                <w:sz w:val="24"/>
                <w:szCs w:val="24"/>
              </w:rPr>
              <w:t>管道检查合格后开始下管安装，管道接口采用橡胶圈接口，胶圈采用耐酸碱腐蚀、耐老化的专用详见材料制成。管节对口时，应将承插口内的所有杂物予以清除，并擦洗干净，插口上套的密封圈应平顺、无扭曲。安管时应均匀滚动到位，放松外力后，回弹不得大于</w:t>
            </w:r>
            <w:r>
              <w:rPr>
                <w:rFonts w:hint="eastAsia"/>
                <w:color w:val="auto"/>
                <w:sz w:val="24"/>
                <w:szCs w:val="24"/>
              </w:rPr>
              <w:t>1</w:t>
            </w:r>
            <w:r>
              <w:rPr>
                <w:color w:val="auto"/>
                <w:sz w:val="24"/>
                <w:szCs w:val="24"/>
              </w:rPr>
              <w:t>0mm，把胶圈装入承插口槽内，并用手按压确保均匀一致卡在槽内。</w:t>
            </w:r>
          </w:p>
          <w:p>
            <w:pPr>
              <w:spacing w:line="360" w:lineRule="auto"/>
              <w:ind w:firstLine="480"/>
              <w:rPr>
                <w:b/>
                <w:bCs/>
                <w:color w:val="auto"/>
                <w:sz w:val="24"/>
                <w:szCs w:val="24"/>
              </w:rPr>
            </w:pPr>
            <w:r>
              <w:rPr>
                <w:rFonts w:hint="eastAsia"/>
                <w:b/>
                <w:bCs/>
                <w:color w:val="auto"/>
                <w:sz w:val="24"/>
                <w:szCs w:val="24"/>
              </w:rPr>
              <w:t>④管道试压</w:t>
            </w:r>
          </w:p>
          <w:p>
            <w:pPr>
              <w:spacing w:line="360" w:lineRule="auto"/>
              <w:ind w:firstLine="480"/>
              <w:rPr>
                <w:color w:val="auto"/>
                <w:sz w:val="24"/>
                <w:szCs w:val="24"/>
              </w:rPr>
            </w:pPr>
            <w:r>
              <w:rPr>
                <w:color w:val="auto"/>
                <w:sz w:val="24"/>
                <w:szCs w:val="24"/>
              </w:rPr>
              <w:t>管道安装完成后应进行管道的水压试验，试压长度一般在</w:t>
            </w:r>
            <w:r>
              <w:rPr>
                <w:rFonts w:hint="eastAsia"/>
                <w:color w:val="auto"/>
                <w:sz w:val="24"/>
                <w:szCs w:val="24"/>
              </w:rPr>
              <w:t>5</w:t>
            </w:r>
            <w:r>
              <w:rPr>
                <w:color w:val="auto"/>
                <w:sz w:val="24"/>
                <w:szCs w:val="24"/>
              </w:rPr>
              <w:t>00~100m之间，具体长度根据实际情况而定</w:t>
            </w:r>
            <w:r>
              <w:rPr>
                <w:rFonts w:hint="eastAsia"/>
                <w:color w:val="auto"/>
                <w:sz w:val="24"/>
                <w:szCs w:val="24"/>
              </w:rPr>
              <w:t>，压力试验均应符合《给水排水管道工程施工及验收规范》（GB50268-2008）。</w:t>
            </w:r>
          </w:p>
          <w:p>
            <w:pPr>
              <w:spacing w:line="360" w:lineRule="auto"/>
              <w:ind w:firstLine="480"/>
              <w:rPr>
                <w:b/>
                <w:bCs/>
                <w:color w:val="auto"/>
                <w:sz w:val="24"/>
                <w:szCs w:val="24"/>
              </w:rPr>
            </w:pPr>
            <w:r>
              <w:rPr>
                <w:rFonts w:hint="eastAsia"/>
                <w:b/>
                <w:bCs/>
                <w:color w:val="auto"/>
                <w:sz w:val="24"/>
                <w:szCs w:val="24"/>
              </w:rPr>
              <w:t>⑤管道清洗</w:t>
            </w:r>
          </w:p>
          <w:p>
            <w:pPr>
              <w:spacing w:line="360" w:lineRule="auto"/>
              <w:ind w:firstLine="480"/>
              <w:rPr>
                <w:color w:val="auto"/>
                <w:sz w:val="24"/>
                <w:szCs w:val="24"/>
              </w:rPr>
            </w:pPr>
            <w:r>
              <w:rPr>
                <w:color w:val="auto"/>
                <w:sz w:val="24"/>
                <w:szCs w:val="24"/>
              </w:rPr>
              <w:t>管道试压合格后应进行清洗</w:t>
            </w:r>
            <w:r>
              <w:rPr>
                <w:rFonts w:hint="eastAsia"/>
                <w:color w:val="auto"/>
                <w:sz w:val="24"/>
                <w:szCs w:val="24"/>
              </w:rPr>
              <w:t>。</w:t>
            </w:r>
            <w:r>
              <w:rPr>
                <w:color w:val="auto"/>
                <w:sz w:val="24"/>
                <w:szCs w:val="24"/>
              </w:rPr>
              <w:t>管道清洗前应制定清洗方案，清洗时流量不应小于设计流量，并采用自来水连续反复冲洗，直至管道内无</w:t>
            </w:r>
            <w:r>
              <w:rPr>
                <w:rFonts w:hint="eastAsia"/>
                <w:color w:val="auto"/>
                <w:sz w:val="24"/>
                <w:szCs w:val="24"/>
              </w:rPr>
              <w:t>杂物</w:t>
            </w:r>
            <w:r>
              <w:rPr>
                <w:color w:val="auto"/>
                <w:sz w:val="24"/>
                <w:szCs w:val="24"/>
              </w:rPr>
              <w:t>、水浊现象。</w:t>
            </w:r>
          </w:p>
          <w:p>
            <w:pPr>
              <w:spacing w:line="360" w:lineRule="auto"/>
              <w:ind w:firstLine="480"/>
              <w:rPr>
                <w:b/>
                <w:bCs/>
                <w:color w:val="auto"/>
                <w:sz w:val="24"/>
                <w:szCs w:val="24"/>
              </w:rPr>
            </w:pPr>
            <w:r>
              <w:rPr>
                <w:rFonts w:hint="eastAsia"/>
                <w:b/>
                <w:bCs/>
                <w:color w:val="auto"/>
                <w:sz w:val="24"/>
                <w:szCs w:val="24"/>
              </w:rPr>
              <w:t>（</w:t>
            </w:r>
            <w:r>
              <w:rPr>
                <w:b/>
                <w:bCs/>
                <w:color w:val="auto"/>
                <w:sz w:val="24"/>
                <w:szCs w:val="24"/>
              </w:rPr>
              <w:t>2</w:t>
            </w:r>
            <w:r>
              <w:rPr>
                <w:rFonts w:hint="eastAsia"/>
                <w:b/>
                <w:bCs/>
                <w:color w:val="auto"/>
                <w:sz w:val="24"/>
                <w:szCs w:val="24"/>
              </w:rPr>
              <w:t>）</w:t>
            </w:r>
            <w:r>
              <w:rPr>
                <w:rFonts w:hint="eastAsia"/>
                <w:b/>
                <w:bCs/>
                <w:color w:val="auto"/>
                <w:sz w:val="24"/>
                <w:szCs w:val="24"/>
                <w:lang w:val="en-US" w:eastAsia="zh-CN"/>
              </w:rPr>
              <w:t>水厂</w:t>
            </w:r>
            <w:r>
              <w:rPr>
                <w:rFonts w:hint="eastAsia"/>
                <w:b/>
                <w:bCs/>
                <w:color w:val="auto"/>
                <w:sz w:val="24"/>
                <w:szCs w:val="24"/>
              </w:rPr>
              <w:t>施工工艺</w:t>
            </w:r>
          </w:p>
          <w:p>
            <w:pPr>
              <w:spacing w:line="360" w:lineRule="auto"/>
              <w:ind w:firstLine="480"/>
              <w:rPr>
                <w:color w:val="auto"/>
                <w:sz w:val="24"/>
                <w:szCs w:val="24"/>
              </w:rPr>
            </w:pPr>
            <w:r>
              <w:rPr>
                <w:rFonts w:hint="eastAsia"/>
                <w:color w:val="auto"/>
                <w:sz w:val="24"/>
                <w:szCs w:val="24"/>
              </w:rPr>
              <w:t>项目</w:t>
            </w:r>
            <w:r>
              <w:rPr>
                <w:rFonts w:hint="eastAsia"/>
                <w:color w:val="auto"/>
                <w:sz w:val="24"/>
                <w:szCs w:val="24"/>
                <w:lang w:eastAsia="zh-CN"/>
              </w:rPr>
              <w:t>水厂</w:t>
            </w:r>
            <w:r>
              <w:rPr>
                <w:rFonts w:hint="eastAsia"/>
                <w:color w:val="auto"/>
                <w:sz w:val="24"/>
                <w:szCs w:val="24"/>
              </w:rPr>
              <w:t>所用原水箱、中间水箱、产水箱均为工厂定制成品，现场不涉及焊接工艺，施工期工艺流程如图2-</w:t>
            </w:r>
            <w:r>
              <w:rPr>
                <w:color w:val="auto"/>
                <w:sz w:val="24"/>
                <w:szCs w:val="24"/>
              </w:rPr>
              <w:t>10</w:t>
            </w:r>
            <w:r>
              <w:rPr>
                <w:rFonts w:hint="eastAsia"/>
                <w:color w:val="auto"/>
                <w:sz w:val="24"/>
                <w:szCs w:val="24"/>
              </w:rPr>
              <w:t>所示。</w:t>
            </w:r>
          </w:p>
          <w:p>
            <w:pPr>
              <w:spacing w:line="360" w:lineRule="auto"/>
              <w:jc w:val="center"/>
              <w:rPr>
                <w:color w:val="auto"/>
              </w:rPr>
            </w:pPr>
            <w:r>
              <w:rPr>
                <w:color w:val="auto"/>
              </w:rPr>
              <w:object>
                <v:shape id="_x0000_i1028" o:spt="75" type="#_x0000_t75" style="height:122.25pt;width:367.5pt;" o:ole="t" filled="f" o:preferrelative="t" stroked="f" coordsize="21600,21600">
                  <v:path/>
                  <v:fill on="f" focussize="0,0"/>
                  <v:stroke on="f" joinstyle="miter"/>
                  <v:imagedata r:id="rId17" o:title=""/>
                  <o:lock v:ext="edit" aspectratio="t"/>
                  <w10:wrap type="none"/>
                  <w10:anchorlock/>
                </v:shape>
                <o:OLEObject Type="Embed" ProgID="Visio.Drawing.15" ShapeID="_x0000_i1028" DrawAspect="Content" ObjectID="_1468075727" r:id="rId16">
                  <o:LockedField>false</o:LockedField>
                </o:OLEObject>
              </w:object>
            </w:r>
          </w:p>
          <w:p>
            <w:pPr>
              <w:spacing w:line="360" w:lineRule="auto"/>
              <w:jc w:val="center"/>
              <w:rPr>
                <w:rFonts w:eastAsia="黑体" w:cs="Times New Roman"/>
                <w:color w:val="auto"/>
                <w:szCs w:val="21"/>
              </w:rPr>
            </w:pPr>
            <w:r>
              <w:rPr>
                <w:rFonts w:eastAsia="黑体" w:cs="Times New Roman"/>
                <w:color w:val="auto"/>
                <w:szCs w:val="21"/>
              </w:rPr>
              <w:t>图2</w:t>
            </w:r>
            <w:r>
              <w:rPr>
                <w:rFonts w:hint="eastAsia" w:eastAsia="黑体" w:cs="Times New Roman"/>
                <w:color w:val="auto"/>
                <w:szCs w:val="21"/>
              </w:rPr>
              <w:t>-</w:t>
            </w:r>
            <w:r>
              <w:rPr>
                <w:rFonts w:eastAsia="黑体" w:cs="Times New Roman"/>
                <w:color w:val="auto"/>
                <w:szCs w:val="21"/>
              </w:rPr>
              <w:t xml:space="preserve">10  </w:t>
            </w:r>
            <w:r>
              <w:rPr>
                <w:rFonts w:hint="eastAsia" w:eastAsia="黑体" w:cs="Times New Roman"/>
                <w:color w:val="auto"/>
                <w:szCs w:val="21"/>
                <w:lang w:eastAsia="zh-CN"/>
              </w:rPr>
              <w:t>水厂</w:t>
            </w:r>
            <w:r>
              <w:rPr>
                <w:rFonts w:eastAsia="黑体" w:cs="Times New Roman"/>
                <w:color w:val="auto"/>
                <w:szCs w:val="21"/>
              </w:rPr>
              <w:t>施工工艺</w:t>
            </w:r>
            <w:r>
              <w:rPr>
                <w:rFonts w:hint="eastAsia" w:eastAsia="黑体" w:cs="Times New Roman"/>
                <w:color w:val="auto"/>
                <w:szCs w:val="21"/>
              </w:rPr>
              <w:t>及</w:t>
            </w:r>
            <w:r>
              <w:rPr>
                <w:rFonts w:eastAsia="黑体" w:cs="Times New Roman"/>
                <w:color w:val="auto"/>
                <w:szCs w:val="21"/>
              </w:rPr>
              <w:t>产污环节</w:t>
            </w:r>
            <w:r>
              <w:rPr>
                <w:rFonts w:hint="eastAsia" w:eastAsia="黑体" w:cs="Times New Roman"/>
                <w:color w:val="auto"/>
                <w:szCs w:val="21"/>
              </w:rPr>
              <w:t>图</w:t>
            </w:r>
          </w:p>
          <w:p>
            <w:pPr>
              <w:spacing w:line="360" w:lineRule="auto"/>
              <w:ind w:firstLine="480"/>
              <w:rPr>
                <w:b/>
                <w:bCs/>
                <w:color w:val="auto"/>
                <w:sz w:val="24"/>
                <w:szCs w:val="24"/>
              </w:rPr>
            </w:pPr>
            <w:r>
              <w:rPr>
                <w:rFonts w:hint="eastAsia"/>
                <w:b/>
                <w:bCs/>
                <w:color w:val="auto"/>
                <w:sz w:val="24"/>
                <w:szCs w:val="24"/>
              </w:rPr>
              <w:t>主要工序简述：</w:t>
            </w:r>
          </w:p>
          <w:p>
            <w:pPr>
              <w:spacing w:line="360" w:lineRule="auto"/>
              <w:ind w:firstLine="480"/>
              <w:rPr>
                <w:b/>
                <w:bCs/>
                <w:color w:val="auto"/>
                <w:sz w:val="24"/>
                <w:szCs w:val="24"/>
              </w:rPr>
            </w:pPr>
            <w:r>
              <w:rPr>
                <w:rFonts w:hint="eastAsia"/>
                <w:b/>
                <w:bCs/>
                <w:color w:val="auto"/>
                <w:sz w:val="24"/>
                <w:szCs w:val="24"/>
              </w:rPr>
              <w:t>①基础工程</w:t>
            </w:r>
          </w:p>
          <w:p>
            <w:pPr>
              <w:spacing w:line="360" w:lineRule="auto"/>
              <w:ind w:firstLine="480"/>
              <w:rPr>
                <w:color w:val="auto"/>
                <w:sz w:val="24"/>
                <w:szCs w:val="24"/>
              </w:rPr>
            </w:pPr>
            <w:r>
              <w:rPr>
                <w:rFonts w:hint="eastAsia"/>
                <w:color w:val="auto"/>
                <w:sz w:val="24"/>
                <w:szCs w:val="24"/>
              </w:rPr>
              <w:t>在基础开挖、地基处理（岩土工程）与基础施工时，由于挖土机、运土卡车等施工机械的运行，将产生一定的噪声；同时产生扬尘和工人生活废水；基础开挖引起原有土地利用类型的改变，会造成生态变化并引起一定程度的水土流失。</w:t>
            </w:r>
          </w:p>
          <w:p>
            <w:pPr>
              <w:spacing w:line="360" w:lineRule="auto"/>
              <w:ind w:firstLine="480"/>
              <w:rPr>
                <w:b/>
                <w:bCs/>
                <w:color w:val="auto"/>
                <w:sz w:val="24"/>
                <w:szCs w:val="24"/>
              </w:rPr>
            </w:pPr>
            <w:r>
              <w:rPr>
                <w:rFonts w:hint="eastAsia"/>
                <w:b/>
                <w:bCs/>
                <w:color w:val="auto"/>
                <w:sz w:val="24"/>
                <w:szCs w:val="24"/>
              </w:rPr>
              <w:t>②主体工程</w:t>
            </w:r>
          </w:p>
          <w:p>
            <w:pPr>
              <w:spacing w:line="360" w:lineRule="auto"/>
              <w:ind w:firstLine="480"/>
              <w:rPr>
                <w:color w:val="auto"/>
                <w:sz w:val="24"/>
                <w:szCs w:val="24"/>
              </w:rPr>
            </w:pPr>
            <w:r>
              <w:rPr>
                <w:rFonts w:hint="eastAsia"/>
                <w:color w:val="auto"/>
                <w:sz w:val="24"/>
                <w:szCs w:val="24"/>
              </w:rPr>
              <w:t>主体施工时，挖掘机、打夯机、装载汽车等运行时会产生噪声，同时产生扬尘。此外，还有一些原材料废弃料以及生产和生活污水产生。</w:t>
            </w:r>
          </w:p>
          <w:p>
            <w:pPr>
              <w:spacing w:line="360" w:lineRule="auto"/>
              <w:ind w:firstLine="480"/>
              <w:rPr>
                <w:b/>
                <w:color w:val="auto"/>
                <w:sz w:val="24"/>
                <w:szCs w:val="24"/>
              </w:rPr>
            </w:pPr>
            <w:r>
              <w:rPr>
                <w:rFonts w:hint="eastAsia"/>
                <w:b/>
                <w:color w:val="auto"/>
                <w:sz w:val="24"/>
                <w:szCs w:val="24"/>
              </w:rPr>
              <w:t>③装饰工程</w:t>
            </w:r>
          </w:p>
          <w:p>
            <w:pPr>
              <w:spacing w:line="360" w:lineRule="auto"/>
              <w:ind w:firstLine="480"/>
              <w:rPr>
                <w:color w:val="auto"/>
                <w:sz w:val="24"/>
                <w:szCs w:val="24"/>
              </w:rPr>
            </w:pPr>
            <w:r>
              <w:rPr>
                <w:rFonts w:hint="eastAsia"/>
                <w:color w:val="auto"/>
                <w:sz w:val="24"/>
                <w:szCs w:val="24"/>
              </w:rPr>
              <w:t>在对构筑物的室内外进行装修时（如表面粉刷、喷涂、裱糊等），钻机、电锤等产生噪声，涂料产生废气、废弃物料及污水。</w:t>
            </w:r>
          </w:p>
          <w:p>
            <w:pPr>
              <w:spacing w:line="360" w:lineRule="auto"/>
              <w:ind w:firstLine="480"/>
              <w:rPr>
                <w:b/>
                <w:bCs/>
                <w:color w:val="auto"/>
                <w:sz w:val="24"/>
                <w:szCs w:val="24"/>
              </w:rPr>
            </w:pPr>
            <w:r>
              <w:rPr>
                <w:rFonts w:hint="eastAsia"/>
                <w:b/>
                <w:bCs/>
                <w:color w:val="auto"/>
                <w:sz w:val="24"/>
                <w:szCs w:val="24"/>
              </w:rPr>
              <w:t>④设备安装</w:t>
            </w:r>
          </w:p>
          <w:p>
            <w:pPr>
              <w:spacing w:line="360" w:lineRule="auto"/>
              <w:ind w:firstLine="480"/>
              <w:rPr>
                <w:color w:val="auto"/>
                <w:sz w:val="24"/>
                <w:szCs w:val="24"/>
              </w:rPr>
            </w:pPr>
            <w:r>
              <w:rPr>
                <w:rFonts w:hint="eastAsia"/>
                <w:color w:val="auto"/>
                <w:sz w:val="24"/>
                <w:szCs w:val="24"/>
              </w:rPr>
              <w:t>主要包括生产设施设备的安装。</w:t>
            </w:r>
          </w:p>
          <w:p>
            <w:pPr>
              <w:spacing w:line="360" w:lineRule="auto"/>
              <w:ind w:firstLine="482" w:firstLineChars="200"/>
              <w:rPr>
                <w:rFonts w:cs="Times New Roman"/>
                <w:b/>
                <w:color w:val="auto"/>
                <w:sz w:val="24"/>
                <w:szCs w:val="24"/>
              </w:rPr>
            </w:pPr>
            <w:r>
              <w:rPr>
                <w:rFonts w:cs="Times New Roman"/>
                <w:b/>
                <w:color w:val="auto"/>
                <w:sz w:val="24"/>
                <w:szCs w:val="24"/>
              </w:rPr>
              <w:t>2</w:t>
            </w:r>
            <w:r>
              <w:rPr>
                <w:rFonts w:hint="eastAsia" w:cs="Times New Roman"/>
                <w:b/>
                <w:color w:val="auto"/>
                <w:sz w:val="24"/>
                <w:szCs w:val="24"/>
              </w:rPr>
              <w:t>、运营期工艺流程和产污环节</w:t>
            </w:r>
          </w:p>
          <w:p>
            <w:pPr>
              <w:spacing w:line="360" w:lineRule="auto"/>
              <w:ind w:firstLine="480" w:firstLineChars="200"/>
              <w:rPr>
                <w:rFonts w:cs="Times New Roman"/>
                <w:color w:val="auto"/>
                <w:sz w:val="24"/>
                <w:szCs w:val="24"/>
              </w:rPr>
            </w:pPr>
            <w:r>
              <w:rPr>
                <w:rFonts w:hint="eastAsia"/>
                <w:color w:val="auto"/>
                <w:sz w:val="24"/>
                <w:szCs w:val="24"/>
              </w:rPr>
              <w:t>本项目</w:t>
            </w:r>
            <w:r>
              <w:rPr>
                <w:rFonts w:hint="eastAsia"/>
                <w:color w:val="auto"/>
                <w:sz w:val="24"/>
                <w:szCs w:val="24"/>
              </w:rPr>
              <w:t>采用“原水+混凝沉淀过滤+活性炭过滤+次氯酸钠消毒”工艺，</w:t>
            </w:r>
            <w:r>
              <w:rPr>
                <w:color w:val="auto"/>
                <w:sz w:val="24"/>
                <w:szCs w:val="24"/>
              </w:rPr>
              <w:t>运营期</w:t>
            </w:r>
            <w:r>
              <w:rPr>
                <w:rFonts w:hint="eastAsia"/>
                <w:color w:val="auto"/>
                <w:sz w:val="24"/>
                <w:szCs w:val="24"/>
              </w:rPr>
              <w:t>工艺流程及产污环节见下图</w:t>
            </w:r>
            <w:r>
              <w:rPr>
                <w:rFonts w:hint="eastAsia" w:cs="Times New Roman"/>
                <w:color w:val="auto"/>
                <w:sz w:val="24"/>
                <w:szCs w:val="24"/>
              </w:rPr>
              <w:t>：</w:t>
            </w:r>
          </w:p>
          <w:p>
            <w:pPr>
              <w:spacing w:line="360" w:lineRule="auto"/>
              <w:ind w:firstLine="480" w:firstLineChars="200"/>
              <w:rPr>
                <w:rFonts w:cs="Times New Roman"/>
                <w:color w:val="auto"/>
                <w:sz w:val="24"/>
                <w:szCs w:val="24"/>
              </w:rPr>
            </w:pPr>
          </w:p>
          <w:p>
            <w:pPr>
              <w:spacing w:line="360" w:lineRule="auto"/>
              <w:ind w:firstLine="480" w:firstLineChars="200"/>
              <w:rPr>
                <w:rFonts w:cs="Times New Roman"/>
                <w:color w:val="auto"/>
                <w:sz w:val="24"/>
                <w:szCs w:val="24"/>
              </w:rPr>
            </w:pPr>
          </w:p>
          <w:p>
            <w:pPr>
              <w:spacing w:line="360" w:lineRule="auto"/>
              <w:ind w:firstLine="480" w:firstLineChars="200"/>
              <w:rPr>
                <w:rFonts w:cs="Times New Roman"/>
                <w:color w:val="auto"/>
                <w:sz w:val="24"/>
                <w:szCs w:val="24"/>
              </w:rPr>
            </w:pPr>
          </w:p>
          <w:p>
            <w:pPr>
              <w:spacing w:line="360" w:lineRule="auto"/>
              <w:ind w:firstLine="480" w:firstLineChars="200"/>
              <w:rPr>
                <w:color w:val="auto"/>
                <w:sz w:val="24"/>
                <w:szCs w:val="24"/>
              </w:rPr>
            </w:pPr>
          </w:p>
          <w:p>
            <w:pPr>
              <w:spacing w:line="360" w:lineRule="auto"/>
              <w:jc w:val="center"/>
              <w:rPr>
                <w:rFonts w:eastAsia="黑体" w:cs="Times New Roman"/>
                <w:color w:val="auto"/>
              </w:rPr>
            </w:pPr>
            <w:r>
              <w:rPr>
                <w:color w:val="auto"/>
              </w:rPr>
              <w:object>
                <v:shape id="_x0000_i1029" o:spt="75" type="#_x0000_t75" style="height:292.5pt;width:330pt;" o:ole="t" filled="f" o:preferrelative="t" stroked="f" coordsize="21600,21600">
                  <v:path/>
                  <v:fill on="f" focussize="0,0"/>
                  <v:stroke on="f" joinstyle="miter"/>
                  <v:imagedata r:id="rId19" o:title=""/>
                  <o:lock v:ext="edit" aspectratio="t"/>
                  <w10:wrap type="none"/>
                  <w10:anchorlock/>
                </v:shape>
                <o:OLEObject Type="Embed" ProgID="Visio.Drawing.15" ShapeID="_x0000_i1029" DrawAspect="Content" ObjectID="_1468075728" r:id="rId18">
                  <o:LockedField>false</o:LockedField>
                </o:OLEObject>
              </w:object>
            </w:r>
          </w:p>
          <w:p>
            <w:pPr>
              <w:spacing w:line="360" w:lineRule="auto"/>
              <w:jc w:val="center"/>
              <w:rPr>
                <w:rFonts w:eastAsia="黑体" w:cs="Times New Roman"/>
                <w:color w:val="auto"/>
                <w:sz w:val="24"/>
              </w:rPr>
            </w:pPr>
            <w:r>
              <w:rPr>
                <w:rFonts w:eastAsia="黑体" w:cs="Times New Roman"/>
                <w:color w:val="auto"/>
              </w:rPr>
              <w:t>图2</w:t>
            </w:r>
            <w:r>
              <w:rPr>
                <w:rFonts w:hint="eastAsia" w:eastAsia="黑体" w:cs="Times New Roman"/>
                <w:color w:val="auto"/>
              </w:rPr>
              <w:t>-</w:t>
            </w:r>
            <w:r>
              <w:rPr>
                <w:rFonts w:eastAsia="黑体" w:cs="Times New Roman"/>
                <w:color w:val="auto"/>
              </w:rPr>
              <w:t xml:space="preserve">11  </w:t>
            </w:r>
            <w:r>
              <w:rPr>
                <w:rFonts w:hint="eastAsia" w:eastAsia="黑体" w:cs="Times New Roman"/>
                <w:color w:val="auto"/>
              </w:rPr>
              <w:t>运营期工艺流程及产污环节</w:t>
            </w:r>
            <w:r>
              <w:rPr>
                <w:rFonts w:eastAsia="黑体" w:cs="Times New Roman"/>
                <w:color w:val="auto"/>
              </w:rPr>
              <w:t>图</w:t>
            </w:r>
          </w:p>
          <w:p>
            <w:pPr>
              <w:spacing w:line="360" w:lineRule="auto"/>
              <w:ind w:firstLine="482" w:firstLineChars="200"/>
              <w:rPr>
                <w:b/>
                <w:color w:val="auto"/>
                <w:sz w:val="24"/>
                <w:szCs w:val="24"/>
              </w:rPr>
            </w:pPr>
            <w:r>
              <w:rPr>
                <w:rFonts w:hint="eastAsia"/>
                <w:b/>
                <w:color w:val="auto"/>
                <w:sz w:val="24"/>
                <w:szCs w:val="24"/>
              </w:rPr>
              <w:t>主要工序</w:t>
            </w:r>
            <w:r>
              <w:rPr>
                <w:b/>
                <w:color w:val="auto"/>
                <w:sz w:val="24"/>
                <w:szCs w:val="24"/>
              </w:rPr>
              <w:t>简述：</w:t>
            </w:r>
          </w:p>
          <w:p>
            <w:pPr>
              <w:spacing w:line="360" w:lineRule="auto"/>
              <w:ind w:firstLine="480" w:firstLineChars="200"/>
              <w:rPr>
                <w:color w:val="auto"/>
                <w:sz w:val="24"/>
              </w:rPr>
            </w:pPr>
            <w:r>
              <w:rPr>
                <w:color w:val="auto"/>
                <w:sz w:val="24"/>
              </w:rPr>
              <w:t>原水通过原水输水管道进入原水箱，经提升泵进入</w:t>
            </w:r>
            <w:r>
              <w:rPr>
                <w:rFonts w:hint="eastAsia"/>
                <w:color w:val="auto"/>
                <w:sz w:val="24"/>
              </w:rPr>
              <w:t>混凝沉淀过滤一体化设备，净水设备采用“波形板水力反应”、“集泥槽式异向流波形斜板沉淀”、“双层滤料压力式滤池过滤”等新工艺，将反应、沉淀、过滤三个主要净水工艺组合成一体。原水在一体化设备之前投加PAC、PAM，PAC加药量控制在10ppm/L左右，目的是形成大的矾花，质密沉淀快，降低出水浊度。</w:t>
            </w:r>
            <w:r>
              <w:rPr>
                <w:color w:val="auto"/>
                <w:sz w:val="24"/>
              </w:rPr>
              <w:t>净水器出水</w:t>
            </w:r>
            <w:r>
              <w:rPr>
                <w:rFonts w:hint="eastAsia"/>
                <w:color w:val="auto"/>
                <w:sz w:val="24"/>
              </w:rPr>
              <w:t>流入</w:t>
            </w:r>
            <w:r>
              <w:rPr>
                <w:color w:val="auto"/>
                <w:sz w:val="24"/>
              </w:rPr>
              <w:t>中间水箱，</w:t>
            </w:r>
            <w:r>
              <w:rPr>
                <w:rFonts w:hint="eastAsia"/>
                <w:color w:val="auto"/>
                <w:sz w:val="24"/>
              </w:rPr>
              <w:t>通过中间提升泵进入活性炭过滤器，活性炭过滤器主要用于除去水中色度、有机物及胶体硅等。活性炭过滤器出水进入产水箱。产水进水箱时投加次氯酸钠，加药量控制在1ppm/L。产水从产水箱经产水提升泵输送到生产、生活用水点。</w:t>
            </w:r>
          </w:p>
          <w:p>
            <w:pPr>
              <w:spacing w:line="360" w:lineRule="auto"/>
              <w:ind w:firstLine="480" w:firstLineChars="200"/>
              <w:rPr>
                <w:rFonts w:cs="Times New Roman"/>
                <w:color w:val="auto"/>
                <w:sz w:val="24"/>
                <w:szCs w:val="24"/>
              </w:rPr>
            </w:pPr>
            <w:r>
              <w:rPr>
                <w:rFonts w:cs="Times New Roman"/>
                <w:color w:val="auto"/>
                <w:sz w:val="24"/>
                <w:szCs w:val="24"/>
              </w:rPr>
              <w:t>综上所述</w:t>
            </w:r>
            <w:r>
              <w:rPr>
                <w:rFonts w:hint="eastAsia" w:cs="Times New Roman"/>
                <w:color w:val="auto"/>
                <w:sz w:val="24"/>
                <w:szCs w:val="24"/>
              </w:rPr>
              <w:t>，根据工艺流程和原辅材料分析，运营期主要产排污环节、污染物种类见下表：</w:t>
            </w:r>
          </w:p>
          <w:p>
            <w:pPr>
              <w:spacing w:line="360" w:lineRule="auto"/>
              <w:jc w:val="center"/>
              <w:rPr>
                <w:rFonts w:eastAsia="黑体" w:cs="Times New Roman"/>
                <w:color w:val="auto"/>
                <w:szCs w:val="21"/>
              </w:rPr>
            </w:pPr>
            <w:r>
              <w:rPr>
                <w:rFonts w:eastAsia="黑体" w:cs="Times New Roman"/>
                <w:color w:val="auto"/>
                <w:szCs w:val="21"/>
              </w:rPr>
              <w:t>表2</w:t>
            </w:r>
            <w:r>
              <w:rPr>
                <w:rFonts w:hint="eastAsia" w:eastAsia="黑体" w:cs="Times New Roman"/>
                <w:color w:val="auto"/>
                <w:szCs w:val="21"/>
              </w:rPr>
              <w:t>-</w:t>
            </w:r>
            <w:r>
              <w:rPr>
                <w:rFonts w:eastAsia="黑体" w:cs="Times New Roman"/>
                <w:color w:val="auto"/>
                <w:szCs w:val="21"/>
              </w:rPr>
              <w:t>8  运营期</w:t>
            </w:r>
            <w:r>
              <w:rPr>
                <w:rFonts w:hint="eastAsia" w:eastAsia="黑体" w:cs="Times New Roman"/>
                <w:color w:val="auto"/>
                <w:szCs w:val="21"/>
              </w:rPr>
              <w:t>主要产排污环节、污染物种类表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2694"/>
              <w:gridCol w:w="2409"/>
              <w:gridCol w:w="2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487" w:type="pct"/>
                  <w:vAlign w:val="center"/>
                </w:tcPr>
                <w:p>
                  <w:pPr>
                    <w:jc w:val="center"/>
                    <w:rPr>
                      <w:color w:val="auto"/>
                      <w:szCs w:val="21"/>
                    </w:rPr>
                  </w:pPr>
                  <w:r>
                    <w:rPr>
                      <w:color w:val="auto"/>
                      <w:szCs w:val="21"/>
                    </w:rPr>
                    <w:t>类型</w:t>
                  </w:r>
                </w:p>
              </w:tc>
              <w:tc>
                <w:tcPr>
                  <w:tcW w:w="1554" w:type="pct"/>
                </w:tcPr>
                <w:p>
                  <w:pPr>
                    <w:jc w:val="center"/>
                    <w:rPr>
                      <w:color w:val="auto"/>
                      <w:szCs w:val="21"/>
                    </w:rPr>
                  </w:pPr>
                  <w:r>
                    <w:rPr>
                      <w:color w:val="auto"/>
                      <w:szCs w:val="21"/>
                    </w:rPr>
                    <w:t>产排污环节</w:t>
                  </w:r>
                </w:p>
              </w:tc>
              <w:tc>
                <w:tcPr>
                  <w:tcW w:w="1390" w:type="pct"/>
                  <w:vAlign w:val="center"/>
                </w:tcPr>
                <w:p>
                  <w:pPr>
                    <w:jc w:val="center"/>
                    <w:rPr>
                      <w:color w:val="auto"/>
                      <w:szCs w:val="21"/>
                    </w:rPr>
                  </w:pPr>
                  <w:r>
                    <w:rPr>
                      <w:color w:val="auto"/>
                      <w:szCs w:val="21"/>
                    </w:rPr>
                    <w:t>污染物类型</w:t>
                  </w:r>
                </w:p>
              </w:tc>
              <w:tc>
                <w:tcPr>
                  <w:tcW w:w="1569" w:type="pct"/>
                  <w:vAlign w:val="center"/>
                </w:tcPr>
                <w:p>
                  <w:pPr>
                    <w:jc w:val="center"/>
                    <w:rPr>
                      <w:color w:val="auto"/>
                      <w:szCs w:val="21"/>
                    </w:rPr>
                  </w:pPr>
                  <w:r>
                    <w:rPr>
                      <w:rFonts w:hint="eastAsia"/>
                      <w:color w:val="auto"/>
                      <w:szCs w:val="21"/>
                    </w:rPr>
                    <w:t>污染物种类/废物类别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487" w:type="pct"/>
                  <w:vMerge w:val="restart"/>
                  <w:vAlign w:val="center"/>
                </w:tcPr>
                <w:p>
                  <w:pPr>
                    <w:jc w:val="center"/>
                    <w:rPr>
                      <w:color w:val="auto"/>
                      <w:szCs w:val="21"/>
                    </w:rPr>
                  </w:pPr>
                  <w:r>
                    <w:rPr>
                      <w:color w:val="auto"/>
                      <w:szCs w:val="21"/>
                    </w:rPr>
                    <w:t>废水</w:t>
                  </w:r>
                </w:p>
              </w:tc>
              <w:tc>
                <w:tcPr>
                  <w:tcW w:w="1554" w:type="pct"/>
                  <w:vAlign w:val="center"/>
                </w:tcPr>
                <w:p>
                  <w:pPr>
                    <w:jc w:val="center"/>
                    <w:rPr>
                      <w:color w:val="auto"/>
                      <w:szCs w:val="21"/>
                    </w:rPr>
                  </w:pPr>
                  <w:r>
                    <w:rPr>
                      <w:rFonts w:hint="eastAsia"/>
                      <w:color w:val="auto"/>
                      <w:szCs w:val="21"/>
                    </w:rPr>
                    <w:t>混凝沉淀过滤一体化设备</w:t>
                  </w:r>
                </w:p>
              </w:tc>
              <w:tc>
                <w:tcPr>
                  <w:tcW w:w="1390" w:type="pct"/>
                  <w:vAlign w:val="center"/>
                </w:tcPr>
                <w:p>
                  <w:pPr>
                    <w:jc w:val="center"/>
                    <w:rPr>
                      <w:color w:val="auto"/>
                      <w:szCs w:val="21"/>
                    </w:rPr>
                  </w:pPr>
                  <w:r>
                    <w:rPr>
                      <w:rFonts w:hint="eastAsia"/>
                      <w:color w:val="auto"/>
                      <w:szCs w:val="21"/>
                    </w:rPr>
                    <w:t>排泥污水</w:t>
                  </w:r>
                </w:p>
              </w:tc>
              <w:tc>
                <w:tcPr>
                  <w:tcW w:w="1569" w:type="pct"/>
                  <w:vMerge w:val="restart"/>
                  <w:vAlign w:val="center"/>
                </w:tcPr>
                <w:p>
                  <w:pPr>
                    <w:jc w:val="center"/>
                    <w:rPr>
                      <w:color w:val="auto"/>
                      <w:szCs w:val="21"/>
                    </w:rPr>
                  </w:pPr>
                  <w:r>
                    <w:rPr>
                      <w:rFonts w:hint="eastAsia"/>
                      <w:color w:val="auto"/>
                      <w:szCs w:val="21"/>
                    </w:rPr>
                    <w:t>COD、BOD</w:t>
                  </w:r>
                  <w:r>
                    <w:rPr>
                      <w:rFonts w:hint="eastAsia"/>
                      <w:color w:val="auto"/>
                      <w:szCs w:val="21"/>
                      <w:vertAlign w:val="subscript"/>
                    </w:rPr>
                    <w:t>5</w:t>
                  </w:r>
                  <w:r>
                    <w:rPr>
                      <w:rFonts w:hint="eastAsia"/>
                      <w:color w:val="auto"/>
                      <w:szCs w:val="21"/>
                    </w:rPr>
                    <w:t>、SS、</w:t>
                  </w:r>
                  <w:r>
                    <w:rPr>
                      <w:rFonts w:cs="Times New Roman"/>
                      <w:color w:val="auto"/>
                      <w:szCs w:val="21"/>
                    </w:rPr>
                    <w:t>NH</w:t>
                  </w:r>
                  <w:r>
                    <w:rPr>
                      <w:rFonts w:cs="Times New Roman"/>
                      <w:color w:val="auto"/>
                      <w:szCs w:val="21"/>
                      <w:vertAlign w:val="subscript"/>
                    </w:rPr>
                    <w:t>3</w:t>
                  </w:r>
                  <w:r>
                    <w:rPr>
                      <w:rFonts w:cs="Times New Roman"/>
                      <w:color w:val="auto"/>
                      <w:szCs w:val="21"/>
                    </w:rPr>
                    <w:t>-N</w:t>
                  </w:r>
                  <w:r>
                    <w:rPr>
                      <w:rFonts w:hint="eastAsia" w:cs="Times New Roman"/>
                      <w:color w:val="auto"/>
                      <w:szCs w:val="21"/>
                    </w:rPr>
                    <w:t>、</w:t>
                  </w:r>
                  <w:r>
                    <w:rPr>
                      <w:rFonts w:cs="Times New Roman"/>
                      <w:color w:val="auto"/>
                      <w:szCs w:val="21"/>
                    </w:rPr>
                    <w:t>TP</w:t>
                  </w:r>
                  <w:r>
                    <w:rPr>
                      <w:rFonts w:hint="eastAsia"/>
                      <w:color w:val="auto"/>
                      <w:szCs w:val="21"/>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487" w:type="pct"/>
                  <w:vMerge w:val="continue"/>
                  <w:vAlign w:val="center"/>
                </w:tcPr>
                <w:p>
                  <w:pPr>
                    <w:jc w:val="center"/>
                    <w:rPr>
                      <w:color w:val="auto"/>
                      <w:szCs w:val="21"/>
                    </w:rPr>
                  </w:pPr>
                </w:p>
              </w:tc>
              <w:tc>
                <w:tcPr>
                  <w:tcW w:w="1554" w:type="pct"/>
                  <w:vAlign w:val="center"/>
                </w:tcPr>
                <w:p>
                  <w:pPr>
                    <w:jc w:val="center"/>
                    <w:rPr>
                      <w:color w:val="auto"/>
                      <w:szCs w:val="21"/>
                    </w:rPr>
                  </w:pPr>
                  <w:r>
                    <w:rPr>
                      <w:rFonts w:hint="eastAsia"/>
                      <w:color w:val="auto"/>
                      <w:szCs w:val="21"/>
                    </w:rPr>
                    <w:t>活性炭过滤器</w:t>
                  </w:r>
                </w:p>
              </w:tc>
              <w:tc>
                <w:tcPr>
                  <w:tcW w:w="1390" w:type="pct"/>
                  <w:vAlign w:val="center"/>
                </w:tcPr>
                <w:p>
                  <w:pPr>
                    <w:jc w:val="center"/>
                    <w:rPr>
                      <w:color w:val="auto"/>
                      <w:szCs w:val="21"/>
                    </w:rPr>
                  </w:pPr>
                  <w:r>
                    <w:rPr>
                      <w:rFonts w:hint="eastAsia"/>
                      <w:color w:val="auto"/>
                      <w:szCs w:val="21"/>
                    </w:rPr>
                    <w:t>反冲洗废水</w:t>
                  </w:r>
                </w:p>
              </w:tc>
              <w:tc>
                <w:tcPr>
                  <w:tcW w:w="1569" w:type="pct"/>
                  <w:vMerge w:val="continue"/>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487" w:type="pct"/>
                  <w:vMerge w:val="continue"/>
                  <w:vAlign w:val="center"/>
                </w:tcPr>
                <w:p>
                  <w:pPr>
                    <w:jc w:val="center"/>
                    <w:rPr>
                      <w:color w:val="auto"/>
                      <w:szCs w:val="21"/>
                    </w:rPr>
                  </w:pPr>
                </w:p>
              </w:tc>
              <w:tc>
                <w:tcPr>
                  <w:tcW w:w="1554" w:type="pct"/>
                  <w:vAlign w:val="center"/>
                </w:tcPr>
                <w:p>
                  <w:pPr>
                    <w:jc w:val="center"/>
                    <w:rPr>
                      <w:color w:val="auto"/>
                      <w:szCs w:val="21"/>
                    </w:rPr>
                  </w:pPr>
                  <w:r>
                    <w:rPr>
                      <w:rFonts w:hint="eastAsia"/>
                      <w:color w:val="auto"/>
                      <w:szCs w:val="21"/>
                    </w:rPr>
                    <w:t>值班人员</w:t>
                  </w:r>
                </w:p>
              </w:tc>
              <w:tc>
                <w:tcPr>
                  <w:tcW w:w="1390" w:type="pct"/>
                  <w:vAlign w:val="center"/>
                </w:tcPr>
                <w:p>
                  <w:pPr>
                    <w:jc w:val="center"/>
                    <w:rPr>
                      <w:color w:val="auto"/>
                      <w:szCs w:val="21"/>
                    </w:rPr>
                  </w:pPr>
                  <w:r>
                    <w:rPr>
                      <w:color w:val="auto"/>
                      <w:szCs w:val="21"/>
                    </w:rPr>
                    <w:t>生活污水</w:t>
                  </w:r>
                </w:p>
              </w:tc>
              <w:tc>
                <w:tcPr>
                  <w:tcW w:w="1569" w:type="pct"/>
                  <w:vMerge w:val="continue"/>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487" w:type="pct"/>
                  <w:vAlign w:val="center"/>
                </w:tcPr>
                <w:p>
                  <w:pPr>
                    <w:jc w:val="center"/>
                    <w:rPr>
                      <w:color w:val="auto"/>
                      <w:szCs w:val="21"/>
                    </w:rPr>
                  </w:pPr>
                  <w:r>
                    <w:rPr>
                      <w:color w:val="auto"/>
                      <w:szCs w:val="21"/>
                    </w:rPr>
                    <w:t>噪声</w:t>
                  </w:r>
                </w:p>
              </w:tc>
              <w:tc>
                <w:tcPr>
                  <w:tcW w:w="1554" w:type="pct"/>
                  <w:vAlign w:val="center"/>
                </w:tcPr>
                <w:p>
                  <w:pPr>
                    <w:jc w:val="center"/>
                    <w:rPr>
                      <w:color w:val="auto"/>
                      <w:szCs w:val="21"/>
                    </w:rPr>
                  </w:pPr>
                  <w:r>
                    <w:rPr>
                      <w:color w:val="auto"/>
                      <w:szCs w:val="21"/>
                    </w:rPr>
                    <w:t>生产设备</w:t>
                  </w:r>
                </w:p>
              </w:tc>
              <w:tc>
                <w:tcPr>
                  <w:tcW w:w="1390" w:type="pct"/>
                  <w:vAlign w:val="center"/>
                </w:tcPr>
                <w:p>
                  <w:pPr>
                    <w:jc w:val="center"/>
                    <w:rPr>
                      <w:color w:val="auto"/>
                      <w:szCs w:val="21"/>
                    </w:rPr>
                  </w:pPr>
                  <w:r>
                    <w:rPr>
                      <w:color w:val="auto"/>
                      <w:szCs w:val="21"/>
                    </w:rPr>
                    <w:t>设备噪声</w:t>
                  </w:r>
                </w:p>
              </w:tc>
              <w:tc>
                <w:tcPr>
                  <w:tcW w:w="1569" w:type="pct"/>
                  <w:vAlign w:val="center"/>
                </w:tcPr>
                <w:p>
                  <w:pPr>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restart"/>
                  <w:vAlign w:val="center"/>
                </w:tcPr>
                <w:p>
                  <w:pPr>
                    <w:jc w:val="center"/>
                    <w:rPr>
                      <w:color w:val="auto"/>
                      <w:szCs w:val="21"/>
                    </w:rPr>
                  </w:pPr>
                  <w:r>
                    <w:rPr>
                      <w:color w:val="auto"/>
                      <w:szCs w:val="21"/>
                    </w:rPr>
                    <w:t>固体废物</w:t>
                  </w:r>
                </w:p>
              </w:tc>
              <w:tc>
                <w:tcPr>
                  <w:tcW w:w="1554" w:type="pct"/>
                </w:tcPr>
                <w:p>
                  <w:pPr>
                    <w:jc w:val="center"/>
                    <w:rPr>
                      <w:color w:val="auto"/>
                      <w:szCs w:val="21"/>
                    </w:rPr>
                  </w:pPr>
                  <w:r>
                    <w:rPr>
                      <w:rFonts w:hint="eastAsia"/>
                      <w:color w:val="auto"/>
                      <w:szCs w:val="21"/>
                    </w:rPr>
                    <w:t>废水池、预处理池</w:t>
                  </w:r>
                </w:p>
              </w:tc>
              <w:tc>
                <w:tcPr>
                  <w:tcW w:w="1390" w:type="pct"/>
                  <w:vAlign w:val="center"/>
                </w:tcPr>
                <w:p>
                  <w:pPr>
                    <w:jc w:val="center"/>
                    <w:rPr>
                      <w:color w:val="auto"/>
                      <w:szCs w:val="21"/>
                    </w:rPr>
                  </w:pPr>
                  <w:r>
                    <w:rPr>
                      <w:rFonts w:hint="eastAsia"/>
                      <w:color w:val="auto"/>
                      <w:szCs w:val="21"/>
                    </w:rPr>
                    <w:t>污泥</w:t>
                  </w:r>
                </w:p>
              </w:tc>
              <w:tc>
                <w:tcPr>
                  <w:tcW w:w="1569" w:type="pct"/>
                  <w:vAlign w:val="center"/>
                </w:tcPr>
                <w:p>
                  <w:pPr>
                    <w:jc w:val="center"/>
                    <w:rPr>
                      <w:color w:val="auto"/>
                      <w:szCs w:val="21"/>
                    </w:rPr>
                  </w:pPr>
                  <w:r>
                    <w:rPr>
                      <w:color w:val="auto"/>
                      <w:szCs w:val="21"/>
                    </w:rPr>
                    <w:t>一般废物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continue"/>
                  <w:vAlign w:val="center"/>
                </w:tcPr>
                <w:p>
                  <w:pPr>
                    <w:jc w:val="center"/>
                    <w:rPr>
                      <w:color w:val="auto"/>
                      <w:szCs w:val="21"/>
                    </w:rPr>
                  </w:pPr>
                </w:p>
              </w:tc>
              <w:tc>
                <w:tcPr>
                  <w:tcW w:w="1554" w:type="pct"/>
                </w:tcPr>
                <w:p>
                  <w:pPr>
                    <w:jc w:val="center"/>
                    <w:rPr>
                      <w:color w:val="auto"/>
                      <w:szCs w:val="21"/>
                    </w:rPr>
                  </w:pPr>
                  <w:r>
                    <w:rPr>
                      <w:rFonts w:hint="eastAsia"/>
                      <w:color w:val="auto"/>
                      <w:szCs w:val="21"/>
                    </w:rPr>
                    <w:t>活性炭过滤器</w:t>
                  </w:r>
                </w:p>
              </w:tc>
              <w:tc>
                <w:tcPr>
                  <w:tcW w:w="1390" w:type="pct"/>
                  <w:vAlign w:val="center"/>
                </w:tcPr>
                <w:p>
                  <w:pPr>
                    <w:jc w:val="center"/>
                    <w:rPr>
                      <w:color w:val="auto"/>
                      <w:szCs w:val="21"/>
                    </w:rPr>
                  </w:pPr>
                  <w:r>
                    <w:rPr>
                      <w:rFonts w:hint="eastAsia"/>
                      <w:color w:val="auto"/>
                      <w:szCs w:val="21"/>
                    </w:rPr>
                    <w:t>废活性炭</w:t>
                  </w:r>
                </w:p>
              </w:tc>
              <w:tc>
                <w:tcPr>
                  <w:tcW w:w="1569" w:type="pct"/>
                  <w:vAlign w:val="center"/>
                </w:tcPr>
                <w:p>
                  <w:pPr>
                    <w:jc w:val="center"/>
                    <w:rPr>
                      <w:color w:val="auto"/>
                      <w:szCs w:val="21"/>
                    </w:rPr>
                  </w:pPr>
                  <w:r>
                    <w:rPr>
                      <w:color w:val="auto"/>
                      <w:szCs w:val="21"/>
                    </w:rPr>
                    <w:t>一般废物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continue"/>
                  <w:vAlign w:val="center"/>
                </w:tcPr>
                <w:p>
                  <w:pPr>
                    <w:jc w:val="center"/>
                    <w:rPr>
                      <w:color w:val="auto"/>
                      <w:szCs w:val="21"/>
                    </w:rPr>
                  </w:pPr>
                </w:p>
              </w:tc>
              <w:tc>
                <w:tcPr>
                  <w:tcW w:w="1554" w:type="pct"/>
                </w:tcPr>
                <w:p>
                  <w:pPr>
                    <w:jc w:val="center"/>
                    <w:rPr>
                      <w:color w:val="auto"/>
                      <w:szCs w:val="21"/>
                    </w:rPr>
                  </w:pPr>
                  <w:r>
                    <w:rPr>
                      <w:color w:val="auto"/>
                      <w:szCs w:val="21"/>
                    </w:rPr>
                    <w:t>生产过程</w:t>
                  </w:r>
                </w:p>
              </w:tc>
              <w:tc>
                <w:tcPr>
                  <w:tcW w:w="1390" w:type="pct"/>
                  <w:vAlign w:val="center"/>
                </w:tcPr>
                <w:p>
                  <w:pPr>
                    <w:jc w:val="center"/>
                    <w:rPr>
                      <w:color w:val="auto"/>
                      <w:szCs w:val="21"/>
                    </w:rPr>
                  </w:pPr>
                  <w:r>
                    <w:rPr>
                      <w:rFonts w:hint="eastAsia"/>
                      <w:color w:val="auto"/>
                      <w:szCs w:val="21"/>
                    </w:rPr>
                    <w:t>废包装料</w:t>
                  </w:r>
                </w:p>
              </w:tc>
              <w:tc>
                <w:tcPr>
                  <w:tcW w:w="1569" w:type="pct"/>
                  <w:vAlign w:val="center"/>
                </w:tcPr>
                <w:p>
                  <w:pPr>
                    <w:jc w:val="center"/>
                    <w:rPr>
                      <w:color w:val="auto"/>
                      <w:szCs w:val="21"/>
                    </w:rPr>
                  </w:pPr>
                  <w:r>
                    <w:rPr>
                      <w:color w:val="auto"/>
                      <w:szCs w:val="21"/>
                    </w:rPr>
                    <w:t>一般废物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continue"/>
                  <w:vAlign w:val="center"/>
                </w:tcPr>
                <w:p>
                  <w:pPr>
                    <w:jc w:val="center"/>
                    <w:rPr>
                      <w:color w:val="auto"/>
                      <w:szCs w:val="21"/>
                    </w:rPr>
                  </w:pPr>
                </w:p>
              </w:tc>
              <w:tc>
                <w:tcPr>
                  <w:tcW w:w="1554" w:type="pct"/>
                </w:tcPr>
                <w:p>
                  <w:pPr>
                    <w:jc w:val="center"/>
                    <w:rPr>
                      <w:color w:val="auto"/>
                      <w:szCs w:val="21"/>
                    </w:rPr>
                  </w:pPr>
                  <w:r>
                    <w:rPr>
                      <w:rFonts w:hint="eastAsia"/>
                      <w:color w:val="auto"/>
                      <w:szCs w:val="21"/>
                    </w:rPr>
                    <w:t>值班人员</w:t>
                  </w:r>
                </w:p>
              </w:tc>
              <w:tc>
                <w:tcPr>
                  <w:tcW w:w="1390" w:type="pct"/>
                  <w:vAlign w:val="center"/>
                </w:tcPr>
                <w:p>
                  <w:pPr>
                    <w:jc w:val="center"/>
                    <w:rPr>
                      <w:color w:val="auto"/>
                      <w:szCs w:val="21"/>
                    </w:rPr>
                  </w:pPr>
                  <w:r>
                    <w:rPr>
                      <w:rFonts w:hint="eastAsia"/>
                      <w:color w:val="auto"/>
                      <w:szCs w:val="21"/>
                    </w:rPr>
                    <w:t>生活垃圾</w:t>
                  </w:r>
                </w:p>
              </w:tc>
              <w:tc>
                <w:tcPr>
                  <w:tcW w:w="1569" w:type="pct"/>
                  <w:vAlign w:val="center"/>
                </w:tcPr>
                <w:p>
                  <w:pPr>
                    <w:jc w:val="center"/>
                    <w:rPr>
                      <w:color w:val="auto"/>
                      <w:szCs w:val="21"/>
                    </w:rPr>
                  </w:pPr>
                  <w:r>
                    <w:rPr>
                      <w:color w:val="auto"/>
                      <w:szCs w:val="21"/>
                    </w:rPr>
                    <w:t>一般废物</w:t>
                  </w:r>
                </w:p>
              </w:tc>
            </w:tr>
          </w:tbl>
          <w:p>
            <w:pPr>
              <w:spacing w:line="360" w:lineRule="auto"/>
              <w:rPr>
                <w:rFonts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4" w:hRule="atLeast"/>
          <w:jc w:val="center"/>
        </w:trPr>
        <w:tc>
          <w:tcPr>
            <w:tcW w:w="456" w:type="dxa"/>
            <w:vAlign w:val="center"/>
          </w:tcPr>
          <w:p>
            <w:pPr>
              <w:spacing w:line="360" w:lineRule="auto"/>
              <w:jc w:val="center"/>
              <w:rPr>
                <w:rFonts w:cs="Times New Roman"/>
                <w:sz w:val="24"/>
                <w:szCs w:val="24"/>
              </w:rPr>
            </w:pPr>
            <w:r>
              <w:rPr>
                <w:rFonts w:hint="eastAsia" w:cs="Times New Roman"/>
                <w:sz w:val="24"/>
                <w:szCs w:val="24"/>
              </w:rPr>
              <w:t>与项目有关的原有环境污染问题</w:t>
            </w:r>
          </w:p>
        </w:tc>
        <w:tc>
          <w:tcPr>
            <w:tcW w:w="8893" w:type="dxa"/>
            <w:vAlign w:val="center"/>
          </w:tcPr>
          <w:p>
            <w:pPr>
              <w:spacing w:line="360" w:lineRule="auto"/>
              <w:ind w:firstLine="480" w:firstLineChars="200"/>
              <w:rPr>
                <w:rFonts w:cs="Times New Roman"/>
                <w:color w:val="auto"/>
                <w:sz w:val="24"/>
                <w:szCs w:val="24"/>
              </w:rPr>
            </w:pPr>
            <w:r>
              <w:rPr>
                <w:rFonts w:hint="eastAsia" w:cs="Times New Roman"/>
                <w:color w:val="auto"/>
                <w:sz w:val="24"/>
                <w:szCs w:val="24"/>
              </w:rPr>
              <w:t>本项目为新建项目，拟建地块原为农用地和农村宅基地，根据现场调查，目前该地块房屋</w:t>
            </w:r>
            <w:r>
              <w:rPr>
                <w:rFonts w:hint="eastAsia" w:cs="Times New Roman"/>
                <w:color w:val="auto"/>
                <w:sz w:val="24"/>
                <w:szCs w:val="24"/>
                <w:lang w:val="en-US" w:eastAsia="zh-CN"/>
              </w:rPr>
              <w:t>尚未拆迁，拆迁工作由宣汉县房屋征收与补偿办公室负责，不在本项目评价范围内</w:t>
            </w:r>
            <w:r>
              <w:rPr>
                <w:rFonts w:hint="eastAsia" w:cs="Times New Roman"/>
                <w:color w:val="auto"/>
                <w:sz w:val="24"/>
                <w:szCs w:val="24"/>
              </w:rPr>
              <w:t>，</w:t>
            </w:r>
            <w:r>
              <w:rPr>
                <w:rFonts w:hint="eastAsia" w:cs="Times New Roman"/>
                <w:color w:val="auto"/>
                <w:sz w:val="24"/>
                <w:szCs w:val="24"/>
                <w:lang w:val="en-US" w:eastAsia="zh-CN"/>
              </w:rPr>
              <w:t>项目</w:t>
            </w:r>
            <w:r>
              <w:rPr>
                <w:rFonts w:hint="eastAsia" w:cs="Times New Roman"/>
                <w:color w:val="auto"/>
                <w:sz w:val="24"/>
                <w:szCs w:val="24"/>
              </w:rPr>
              <w:t>不存在遗留环境问题。</w:t>
            </w:r>
          </w:p>
        </w:tc>
      </w:tr>
    </w:tbl>
    <w:p>
      <w:pPr>
        <w:pStyle w:val="39"/>
        <w:jc w:val="center"/>
        <w:rPr>
          <w:rFonts w:ascii="黑体" w:hAnsi="黑体" w:eastAsia="黑体"/>
          <w:b w:val="0"/>
          <w:sz w:val="30"/>
          <w:szCs w:val="30"/>
        </w:rPr>
        <w:sectPr>
          <w:pgSz w:w="11906" w:h="16838"/>
          <w:pgMar w:top="1134" w:right="1134" w:bottom="1134" w:left="1418" w:header="851" w:footer="992" w:gutter="0"/>
          <w:cols w:space="720" w:num="1"/>
          <w:docGrid w:type="lines" w:linePitch="312" w:charSpace="0"/>
        </w:sectPr>
      </w:pPr>
    </w:p>
    <w:p>
      <w:pPr>
        <w:pStyle w:val="39"/>
        <w:jc w:val="center"/>
        <w:rPr>
          <w:rFonts w:ascii="黑体" w:hAnsi="黑体" w:eastAsia="黑体"/>
          <w:b w:val="0"/>
          <w:color w:val="auto"/>
          <w:sz w:val="30"/>
          <w:szCs w:val="30"/>
        </w:rPr>
      </w:pPr>
      <w:bookmarkStart w:id="2" w:name="_Toc97040275"/>
      <w:r>
        <w:rPr>
          <w:rFonts w:hint="eastAsia" w:ascii="黑体" w:hAnsi="黑体" w:eastAsia="黑体"/>
          <w:b w:val="0"/>
          <w:color w:val="auto"/>
          <w:sz w:val="30"/>
          <w:szCs w:val="30"/>
        </w:rPr>
        <w:t>三、区域环境质量现状、环境保护目标及评价标准</w:t>
      </w:r>
      <w:bookmarkEnd w:id="2"/>
    </w:p>
    <w:tbl>
      <w:tblPr>
        <w:tblStyle w:val="15"/>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56" w:type="dxa"/>
            <w:vAlign w:val="center"/>
          </w:tcPr>
          <w:p>
            <w:pPr>
              <w:spacing w:line="360" w:lineRule="auto"/>
              <w:jc w:val="center"/>
              <w:rPr>
                <w:rFonts w:cs="Times New Roman"/>
                <w:sz w:val="24"/>
                <w:szCs w:val="24"/>
              </w:rPr>
            </w:pPr>
            <w:r>
              <w:rPr>
                <w:rFonts w:hint="eastAsia" w:cs="Times New Roman"/>
                <w:sz w:val="24"/>
                <w:szCs w:val="24"/>
              </w:rPr>
              <w:t>区域环境质量现状</w:t>
            </w:r>
          </w:p>
        </w:tc>
        <w:tc>
          <w:tcPr>
            <w:tcW w:w="8893" w:type="dxa"/>
            <w:vAlign w:val="center"/>
          </w:tcPr>
          <w:p>
            <w:pPr>
              <w:spacing w:line="360" w:lineRule="auto"/>
              <w:ind w:firstLine="482" w:firstLineChars="200"/>
              <w:rPr>
                <w:rFonts w:cs="Times New Roman"/>
                <w:b/>
                <w:sz w:val="24"/>
                <w:szCs w:val="24"/>
              </w:rPr>
            </w:pPr>
            <w:r>
              <w:rPr>
                <w:rFonts w:cs="Times New Roman"/>
                <w:b/>
                <w:sz w:val="24"/>
                <w:szCs w:val="24"/>
              </w:rPr>
              <w:t>1</w:t>
            </w:r>
            <w:r>
              <w:rPr>
                <w:rFonts w:hint="eastAsia" w:cs="Times New Roman"/>
                <w:b/>
                <w:sz w:val="24"/>
                <w:szCs w:val="24"/>
              </w:rPr>
              <w:t>、大气环境质量现状</w:t>
            </w:r>
          </w:p>
          <w:p>
            <w:pPr>
              <w:spacing w:line="360" w:lineRule="auto"/>
              <w:ind w:firstLine="480" w:firstLineChars="200"/>
              <w:rPr>
                <w:rFonts w:cs="Times New Roman"/>
                <w:sz w:val="24"/>
                <w:szCs w:val="24"/>
              </w:rPr>
            </w:pPr>
            <w:r>
              <w:rPr>
                <w:rFonts w:hint="eastAsia" w:cs="Times New Roman"/>
                <w:sz w:val="24"/>
                <w:szCs w:val="24"/>
              </w:rPr>
              <w:t>本项目位于</w:t>
            </w:r>
            <w:r>
              <w:rPr>
                <w:rFonts w:hint="eastAsia" w:cs="Times New Roman"/>
                <w:sz w:val="24"/>
                <w:szCs w:val="24"/>
                <w:lang w:eastAsia="zh-CN"/>
              </w:rPr>
              <w:t>宣汉县蒲江街道</w:t>
            </w:r>
            <w:r>
              <w:rPr>
                <w:rFonts w:hint="eastAsia" w:cs="Times New Roman"/>
                <w:sz w:val="24"/>
                <w:szCs w:val="24"/>
              </w:rPr>
              <w:t>，为了解区域环境空气质量现状，根据</w:t>
            </w:r>
            <w:r>
              <w:rPr>
                <w:rFonts w:cs="Times New Roman"/>
                <w:sz w:val="24"/>
                <w:szCs w:val="24"/>
              </w:rPr>
              <w:t>《建设项目环境影响报告表编制技术指南（污染影响类）（试行）》</w:t>
            </w:r>
            <w:r>
              <w:rPr>
                <w:rFonts w:hint="eastAsia" w:cs="Times New Roman"/>
                <w:sz w:val="24"/>
                <w:szCs w:val="24"/>
              </w:rPr>
              <w:t>中“</w:t>
            </w:r>
            <w:r>
              <w:rPr>
                <w:rFonts w:hint="eastAsia" w:cs="Times New Roman"/>
                <w:i/>
                <w:sz w:val="24"/>
                <w:szCs w:val="24"/>
              </w:rPr>
              <w:t>常规污染物引用与建设项目距离近的有效数据，包括近3年的规划环境影响评价的监测数据，国家、地方空气质量监测网数据或生态环境主管部门公开发布的质量数据等</w:t>
            </w:r>
            <w:r>
              <w:rPr>
                <w:rFonts w:hint="eastAsia" w:cs="Times New Roman"/>
                <w:sz w:val="24"/>
                <w:szCs w:val="24"/>
              </w:rPr>
              <w:t>”的规定，本次环评引用</w:t>
            </w:r>
            <w:r>
              <w:rPr>
                <w:rFonts w:hint="eastAsia" w:cs="Times New Roman"/>
                <w:sz w:val="24"/>
                <w:szCs w:val="24"/>
                <w:lang w:eastAsia="zh-CN"/>
              </w:rPr>
              <w:t>达州市</w:t>
            </w:r>
            <w:r>
              <w:rPr>
                <w:rFonts w:hint="eastAsia" w:cs="Times New Roman"/>
                <w:sz w:val="24"/>
                <w:szCs w:val="24"/>
              </w:rPr>
              <w:t>生态环境局公开发布的《202</w:t>
            </w:r>
            <w:r>
              <w:rPr>
                <w:rFonts w:hint="eastAsia" w:cs="Times New Roman"/>
                <w:sz w:val="24"/>
                <w:szCs w:val="24"/>
                <w:lang w:val="en-US" w:eastAsia="zh-CN"/>
              </w:rPr>
              <w:t>1</w:t>
            </w:r>
            <w:r>
              <w:rPr>
                <w:rFonts w:hint="eastAsia" w:cs="Times New Roman"/>
                <w:sz w:val="24"/>
                <w:szCs w:val="24"/>
              </w:rPr>
              <w:t>年</w:t>
            </w:r>
            <w:r>
              <w:rPr>
                <w:rFonts w:hint="eastAsia" w:cs="Times New Roman"/>
                <w:sz w:val="24"/>
                <w:szCs w:val="24"/>
                <w:lang w:eastAsia="zh-CN"/>
              </w:rPr>
              <w:t>达州市</w:t>
            </w:r>
            <w:r>
              <w:rPr>
                <w:rFonts w:hint="eastAsia" w:cs="Times New Roman"/>
                <w:sz w:val="24"/>
                <w:szCs w:val="24"/>
              </w:rPr>
              <w:t>生态环境质量公报》中环境空气质量数据。</w:t>
            </w:r>
          </w:p>
          <w:p>
            <w:pPr>
              <w:spacing w:line="360" w:lineRule="auto"/>
              <w:ind w:firstLine="361" w:firstLineChars="150"/>
              <w:rPr>
                <w:b/>
                <w:kern w:val="24"/>
                <w:sz w:val="24"/>
                <w:szCs w:val="24"/>
              </w:rPr>
            </w:pPr>
            <w:r>
              <w:rPr>
                <w:rFonts w:hint="eastAsia"/>
                <w:b/>
                <w:kern w:val="24"/>
                <w:sz w:val="24"/>
                <w:szCs w:val="24"/>
              </w:rPr>
              <w:t>（</w:t>
            </w:r>
            <w:r>
              <w:rPr>
                <w:b/>
                <w:kern w:val="24"/>
                <w:sz w:val="24"/>
                <w:szCs w:val="24"/>
              </w:rPr>
              <w:t>1</w:t>
            </w:r>
            <w:r>
              <w:rPr>
                <w:rFonts w:hint="eastAsia"/>
                <w:b/>
                <w:kern w:val="24"/>
                <w:sz w:val="24"/>
                <w:szCs w:val="24"/>
              </w:rPr>
              <w:t>）空气质量达标区判断</w:t>
            </w:r>
          </w:p>
          <w:p>
            <w:pPr>
              <w:spacing w:line="360" w:lineRule="auto"/>
              <w:ind w:firstLine="480" w:firstLineChars="200"/>
              <w:rPr>
                <w:rFonts w:hint="eastAsia" w:cs="Times New Roman"/>
                <w:sz w:val="24"/>
                <w:szCs w:val="24"/>
              </w:rPr>
            </w:pPr>
            <w:r>
              <w:rPr>
                <w:rFonts w:hint="eastAsia" w:cs="Times New Roman"/>
                <w:sz w:val="24"/>
                <w:szCs w:val="24"/>
              </w:rPr>
              <w:t>根据达州市生态环境局于2021年6月5日公开发布的《2020年达州市生态环境状况公报》：2020年全市空气质量日均值达标率为93.3%，较上年提高2.0个百分点。市城区及各县（市）空气质量达标率为89.3%-97.5%，其中，宣汉县94.3%，万源市97.5%，开江县95.1%，渠县93.4%，大竹县90.2%，市城区89.3%。全市环境空气中主要污染物PM</w:t>
            </w:r>
            <w:r>
              <w:rPr>
                <w:rFonts w:hint="eastAsia" w:cs="Times New Roman"/>
                <w:sz w:val="24"/>
                <w:szCs w:val="24"/>
                <w:vertAlign w:val="subscript"/>
              </w:rPr>
              <w:t>10</w:t>
            </w:r>
            <w:r>
              <w:rPr>
                <w:rFonts w:hint="eastAsia" w:cs="Times New Roman"/>
                <w:sz w:val="24"/>
                <w:szCs w:val="24"/>
              </w:rPr>
              <w:t>、PM</w:t>
            </w:r>
            <w:r>
              <w:rPr>
                <w:rFonts w:hint="eastAsia" w:cs="Times New Roman"/>
                <w:sz w:val="24"/>
                <w:szCs w:val="24"/>
                <w:vertAlign w:val="subscript"/>
              </w:rPr>
              <w:t>2.5</w:t>
            </w:r>
            <w:r>
              <w:rPr>
                <w:rFonts w:hint="eastAsia" w:cs="Times New Roman"/>
                <w:sz w:val="24"/>
                <w:szCs w:val="24"/>
              </w:rPr>
              <w:t>和O</w:t>
            </w:r>
            <w:r>
              <w:rPr>
                <w:rFonts w:hint="eastAsia" w:cs="Times New Roman"/>
                <w:sz w:val="24"/>
                <w:szCs w:val="24"/>
                <w:vertAlign w:val="subscript"/>
              </w:rPr>
              <w:t>3</w:t>
            </w:r>
            <w:r>
              <w:rPr>
                <w:rFonts w:hint="eastAsia" w:cs="Times New Roman"/>
                <w:sz w:val="24"/>
                <w:szCs w:val="24"/>
              </w:rPr>
              <w:t>。市城区SO</w:t>
            </w:r>
            <w:r>
              <w:rPr>
                <w:rFonts w:hint="eastAsia" w:cs="Times New Roman"/>
                <w:sz w:val="24"/>
                <w:szCs w:val="24"/>
                <w:vertAlign w:val="subscript"/>
              </w:rPr>
              <w:t>2</w:t>
            </w:r>
            <w:r>
              <w:rPr>
                <w:rFonts w:hint="eastAsia" w:cs="Times New Roman"/>
                <w:sz w:val="24"/>
                <w:szCs w:val="24"/>
              </w:rPr>
              <w:t>、NO</w:t>
            </w:r>
            <w:r>
              <w:rPr>
                <w:rFonts w:hint="eastAsia" w:cs="Times New Roman"/>
                <w:sz w:val="24"/>
                <w:szCs w:val="24"/>
                <w:vertAlign w:val="subscript"/>
              </w:rPr>
              <w:t>2</w:t>
            </w:r>
            <w:r>
              <w:rPr>
                <w:rFonts w:hint="eastAsia" w:cs="Times New Roman"/>
                <w:sz w:val="24"/>
                <w:szCs w:val="24"/>
              </w:rPr>
              <w:t>、PM</w:t>
            </w:r>
            <w:r>
              <w:rPr>
                <w:rFonts w:hint="eastAsia" w:cs="Times New Roman"/>
                <w:sz w:val="24"/>
                <w:szCs w:val="24"/>
                <w:vertAlign w:val="subscript"/>
              </w:rPr>
              <w:t>10</w:t>
            </w:r>
            <w:r>
              <w:rPr>
                <w:rFonts w:hint="eastAsia" w:cs="Times New Roman"/>
                <w:sz w:val="24"/>
                <w:szCs w:val="24"/>
              </w:rPr>
              <w:t>、CO和O</w:t>
            </w:r>
            <w:r>
              <w:rPr>
                <w:rFonts w:hint="eastAsia" w:cs="Times New Roman"/>
                <w:sz w:val="24"/>
                <w:szCs w:val="24"/>
                <w:vertAlign w:val="subscript"/>
              </w:rPr>
              <w:t>3</w:t>
            </w:r>
            <w:r>
              <w:rPr>
                <w:rFonts w:hint="eastAsia" w:cs="Times New Roman"/>
                <w:sz w:val="24"/>
                <w:szCs w:val="24"/>
              </w:rPr>
              <w:t>年评价结果达标，PM</w:t>
            </w:r>
            <w:r>
              <w:rPr>
                <w:rFonts w:hint="eastAsia" w:cs="Times New Roman"/>
                <w:sz w:val="24"/>
                <w:szCs w:val="24"/>
                <w:vertAlign w:val="subscript"/>
              </w:rPr>
              <w:t>2.5</w:t>
            </w:r>
            <w:r>
              <w:rPr>
                <w:rFonts w:hint="eastAsia" w:cs="Times New Roman"/>
                <w:sz w:val="24"/>
                <w:szCs w:val="24"/>
              </w:rPr>
              <w:t>年评价结果超标，超标倍数为0.11倍；各县（市）SO</w:t>
            </w:r>
            <w:r>
              <w:rPr>
                <w:rFonts w:hint="eastAsia" w:cs="Times New Roman"/>
                <w:sz w:val="24"/>
                <w:szCs w:val="24"/>
                <w:vertAlign w:val="subscript"/>
              </w:rPr>
              <w:t>2</w:t>
            </w:r>
            <w:r>
              <w:rPr>
                <w:rFonts w:hint="eastAsia" w:cs="Times New Roman"/>
                <w:sz w:val="24"/>
                <w:szCs w:val="24"/>
              </w:rPr>
              <w:t>、NO</w:t>
            </w:r>
            <w:r>
              <w:rPr>
                <w:rFonts w:hint="eastAsia" w:cs="Times New Roman"/>
                <w:sz w:val="24"/>
                <w:szCs w:val="24"/>
                <w:vertAlign w:val="subscript"/>
              </w:rPr>
              <w:t>2</w:t>
            </w:r>
            <w:r>
              <w:rPr>
                <w:rFonts w:hint="eastAsia" w:cs="Times New Roman"/>
                <w:sz w:val="24"/>
                <w:szCs w:val="24"/>
              </w:rPr>
              <w:t>、PM</w:t>
            </w:r>
            <w:r>
              <w:rPr>
                <w:rFonts w:hint="eastAsia" w:cs="Times New Roman"/>
                <w:sz w:val="24"/>
                <w:szCs w:val="24"/>
                <w:vertAlign w:val="subscript"/>
              </w:rPr>
              <w:t>10</w:t>
            </w:r>
            <w:r>
              <w:rPr>
                <w:rFonts w:hint="eastAsia" w:cs="Times New Roman"/>
                <w:sz w:val="24"/>
                <w:szCs w:val="24"/>
              </w:rPr>
              <w:t>、CO、O</w:t>
            </w:r>
            <w:r>
              <w:rPr>
                <w:rFonts w:hint="eastAsia" w:cs="Times New Roman"/>
                <w:sz w:val="24"/>
                <w:szCs w:val="24"/>
                <w:vertAlign w:val="subscript"/>
              </w:rPr>
              <w:t>3</w:t>
            </w:r>
            <w:r>
              <w:rPr>
                <w:rFonts w:hint="eastAsia" w:cs="Times New Roman"/>
                <w:sz w:val="24"/>
                <w:szCs w:val="24"/>
              </w:rPr>
              <w:t>和PM</w:t>
            </w:r>
            <w:r>
              <w:rPr>
                <w:rFonts w:hint="eastAsia" w:cs="Times New Roman"/>
                <w:sz w:val="24"/>
                <w:szCs w:val="24"/>
                <w:vertAlign w:val="subscript"/>
              </w:rPr>
              <w:t>2.5</w:t>
            </w:r>
            <w:r>
              <w:rPr>
                <w:rFonts w:hint="eastAsia" w:cs="Times New Roman"/>
                <w:sz w:val="24"/>
                <w:szCs w:val="24"/>
              </w:rPr>
              <w:t>年评价结果均达标。</w:t>
            </w:r>
          </w:p>
          <w:p>
            <w:pPr>
              <w:spacing w:line="360" w:lineRule="auto"/>
              <w:ind w:firstLine="480" w:firstLineChars="200"/>
              <w:rPr>
                <w:rFonts w:hint="eastAsia" w:cs="Times New Roman"/>
                <w:sz w:val="24"/>
                <w:szCs w:val="24"/>
              </w:rPr>
            </w:pPr>
            <w:r>
              <w:rPr>
                <w:rFonts w:hint="eastAsia" w:cs="Times New Roman"/>
                <w:sz w:val="24"/>
                <w:szCs w:val="24"/>
              </w:rPr>
              <w:t>本项目位于宣汉县城蒲江街道，宣汉县2020年环境空气质量满足《环境空气质量标准》（GB3095-2012）二级标准要求，属于达标区域，可以认为区域环境空气质量良好。</w:t>
            </w:r>
          </w:p>
          <w:p>
            <w:pPr>
              <w:spacing w:line="360" w:lineRule="auto"/>
              <w:ind w:firstLine="482" w:firstLineChars="200"/>
              <w:rPr>
                <w:rFonts w:cs="Times New Roman"/>
                <w:b/>
                <w:sz w:val="24"/>
                <w:szCs w:val="24"/>
              </w:rPr>
            </w:pPr>
            <w:r>
              <w:rPr>
                <w:rFonts w:cs="Times New Roman"/>
                <w:b/>
                <w:sz w:val="24"/>
                <w:szCs w:val="24"/>
              </w:rPr>
              <w:t>2</w:t>
            </w:r>
            <w:r>
              <w:rPr>
                <w:rFonts w:hint="eastAsia" w:cs="Times New Roman"/>
                <w:b/>
                <w:sz w:val="24"/>
                <w:szCs w:val="24"/>
              </w:rPr>
              <w:t>、地表水环境质量现状</w:t>
            </w:r>
          </w:p>
          <w:p>
            <w:pPr>
              <w:spacing w:line="360" w:lineRule="auto"/>
              <w:ind w:firstLine="480" w:firstLineChars="200"/>
              <w:rPr>
                <w:rFonts w:hint="eastAsia" w:cs="Times New Roman"/>
                <w:b w:val="0"/>
                <w:bCs/>
                <w:sz w:val="24"/>
                <w:szCs w:val="24"/>
              </w:rPr>
            </w:pPr>
            <w:r>
              <w:rPr>
                <w:rFonts w:hint="eastAsia" w:cs="Times New Roman"/>
                <w:b w:val="0"/>
                <w:bCs/>
                <w:sz w:val="24"/>
                <w:szCs w:val="24"/>
              </w:rPr>
              <w:t>根据达州市生态环境局于2021年6月5日公开发布的《2020年达州市生态环境状况公报》：2020年全市区域水质状况评价为优（以年均值进行评价，粪大肠菌群不参与水质总体评价），23条河流37个地表水断面中优良水质（I~III类）断面34个，占91.9%；IV类水质断面2个，占5.4%；V类水质断面1个，占2.7%；无劣V类水质断面。河流水质超标污染物有总磷、氨氮、化学需氧量。年均值超标的断面为东柳河墩子河、平滩河牛角滩、铜钵河山溪口码头。</w:t>
            </w:r>
          </w:p>
          <w:p>
            <w:pPr>
              <w:spacing w:line="360" w:lineRule="auto"/>
              <w:ind w:firstLine="480" w:firstLineChars="200"/>
              <w:rPr>
                <w:rFonts w:hint="eastAsia" w:cs="Times New Roman"/>
                <w:b w:val="0"/>
                <w:bCs/>
                <w:sz w:val="24"/>
                <w:szCs w:val="24"/>
              </w:rPr>
            </w:pPr>
            <w:r>
              <w:rPr>
                <w:rFonts w:hint="eastAsia" w:cs="Times New Roman"/>
                <w:b w:val="0"/>
                <w:bCs/>
                <w:sz w:val="24"/>
                <w:szCs w:val="24"/>
              </w:rPr>
              <w:t>本项目所在区域河流为后河、州河，不属于上述超标断面河流，可以认为项目所在区域地表水环境质量良好。</w:t>
            </w:r>
          </w:p>
          <w:p>
            <w:pPr>
              <w:spacing w:line="360" w:lineRule="auto"/>
              <w:ind w:firstLine="482" w:firstLineChars="200"/>
              <w:rPr>
                <w:rFonts w:cs="Times New Roman"/>
                <w:b/>
                <w:sz w:val="24"/>
                <w:szCs w:val="24"/>
              </w:rPr>
            </w:pPr>
            <w:r>
              <w:rPr>
                <w:rFonts w:cs="Times New Roman"/>
                <w:b/>
                <w:sz w:val="24"/>
                <w:szCs w:val="24"/>
              </w:rPr>
              <w:t>3</w:t>
            </w:r>
            <w:r>
              <w:rPr>
                <w:rFonts w:hint="eastAsia" w:cs="Times New Roman"/>
                <w:b/>
                <w:sz w:val="24"/>
                <w:szCs w:val="24"/>
              </w:rPr>
              <w:t>、声环境质量现状</w:t>
            </w:r>
          </w:p>
          <w:p>
            <w:pPr>
              <w:spacing w:line="360" w:lineRule="auto"/>
              <w:ind w:firstLine="480" w:firstLineChars="200"/>
              <w:rPr>
                <w:rFonts w:cs="Times New Roman"/>
                <w:sz w:val="24"/>
                <w:szCs w:val="24"/>
              </w:rPr>
            </w:pPr>
            <w:r>
              <w:rPr>
                <w:rFonts w:cs="Times New Roman"/>
                <w:sz w:val="24"/>
                <w:szCs w:val="24"/>
              </w:rPr>
              <w:t>根据现场调查，本项目厂界外</w:t>
            </w:r>
            <w:r>
              <w:rPr>
                <w:rFonts w:hint="eastAsia" w:cs="Times New Roman"/>
                <w:sz w:val="24"/>
                <w:szCs w:val="24"/>
              </w:rPr>
              <w:t>5</w:t>
            </w:r>
            <w:r>
              <w:rPr>
                <w:rFonts w:cs="Times New Roman"/>
                <w:sz w:val="24"/>
                <w:szCs w:val="24"/>
              </w:rPr>
              <w:t>0m范围内无声环境保护目标</w:t>
            </w:r>
            <w:r>
              <w:rPr>
                <w:rFonts w:hint="eastAsia" w:cs="Times New Roman"/>
                <w:sz w:val="24"/>
                <w:szCs w:val="24"/>
              </w:rPr>
              <w:t>。根据2021年4月1日起实施的《建设项目环境影响报告表编制技术指南（试行）》中相关规定，本项目无需进行声环境质量监测。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56" w:type="dxa"/>
            <w:vAlign w:val="center"/>
          </w:tcPr>
          <w:p>
            <w:pPr>
              <w:spacing w:line="360" w:lineRule="auto"/>
              <w:jc w:val="center"/>
              <w:rPr>
                <w:rFonts w:cs="Times New Roman"/>
                <w:sz w:val="24"/>
                <w:szCs w:val="24"/>
              </w:rPr>
            </w:pPr>
            <w:r>
              <w:rPr>
                <w:rFonts w:hint="eastAsia" w:cs="Times New Roman"/>
                <w:sz w:val="24"/>
                <w:szCs w:val="24"/>
              </w:rPr>
              <w:t>环境保护目标</w:t>
            </w:r>
          </w:p>
        </w:tc>
        <w:tc>
          <w:tcPr>
            <w:tcW w:w="8893" w:type="dxa"/>
            <w:vAlign w:val="center"/>
          </w:tcPr>
          <w:p>
            <w:pPr>
              <w:spacing w:line="360" w:lineRule="auto"/>
              <w:ind w:firstLine="482" w:firstLineChars="200"/>
              <w:rPr>
                <w:rFonts w:cs="Times New Roman"/>
                <w:b/>
                <w:sz w:val="24"/>
                <w:szCs w:val="24"/>
              </w:rPr>
            </w:pPr>
            <w:r>
              <w:rPr>
                <w:rFonts w:hint="eastAsia" w:cs="Times New Roman"/>
                <w:b/>
                <w:sz w:val="24"/>
                <w:szCs w:val="24"/>
              </w:rPr>
              <w:t>1、项目外环境关系</w:t>
            </w:r>
          </w:p>
          <w:p>
            <w:pPr>
              <w:spacing w:line="360" w:lineRule="auto"/>
              <w:ind w:firstLine="482" w:firstLineChars="200"/>
              <w:rPr>
                <w:rFonts w:cs="Times New Roman"/>
                <w:b/>
                <w:bCs/>
                <w:sz w:val="24"/>
                <w:szCs w:val="24"/>
              </w:rPr>
            </w:pPr>
            <w:r>
              <w:rPr>
                <w:rFonts w:hint="eastAsia" w:cs="Times New Roman"/>
                <w:b/>
                <w:bCs/>
                <w:sz w:val="24"/>
                <w:szCs w:val="24"/>
              </w:rPr>
              <w:t>（</w:t>
            </w:r>
            <w:r>
              <w:rPr>
                <w:rFonts w:cs="Times New Roman"/>
                <w:b/>
                <w:bCs/>
                <w:sz w:val="24"/>
                <w:szCs w:val="24"/>
              </w:rPr>
              <w:t>1</w:t>
            </w:r>
            <w:r>
              <w:rPr>
                <w:rFonts w:hint="eastAsia" w:cs="Times New Roman"/>
                <w:b/>
                <w:bCs/>
                <w:sz w:val="24"/>
                <w:szCs w:val="24"/>
              </w:rPr>
              <w:t>）原水输水管道外环境关系</w:t>
            </w:r>
          </w:p>
          <w:p>
            <w:pPr>
              <w:spacing w:line="360" w:lineRule="auto"/>
              <w:ind w:firstLine="480" w:firstLineChars="200"/>
              <w:rPr>
                <w:rFonts w:cs="Times New Roman"/>
                <w:sz w:val="24"/>
                <w:szCs w:val="24"/>
              </w:rPr>
            </w:pPr>
            <w:r>
              <w:rPr>
                <w:rFonts w:hint="eastAsia" w:cs="Times New Roman"/>
                <w:sz w:val="24"/>
                <w:szCs w:val="24"/>
              </w:rPr>
              <w:t>本项目原水输水管道起于</w:t>
            </w:r>
            <w:r>
              <w:rPr>
                <w:rFonts w:hint="eastAsia" w:cs="Times New Roman"/>
                <w:sz w:val="24"/>
                <w:szCs w:val="24"/>
                <w:lang w:eastAsia="zh-CN"/>
              </w:rPr>
              <w:t>后河</w:t>
            </w:r>
            <w:r>
              <w:rPr>
                <w:rFonts w:hint="eastAsia" w:cs="Times New Roman"/>
                <w:sz w:val="24"/>
                <w:szCs w:val="24"/>
              </w:rPr>
              <w:t>以东</w:t>
            </w:r>
            <w:r>
              <w:rPr>
                <w:rFonts w:hint="eastAsia" w:cs="Times New Roman"/>
                <w:sz w:val="24"/>
                <w:szCs w:val="24"/>
                <w:lang w:eastAsia="zh-CN"/>
              </w:rPr>
              <w:t>徐家坡水厂</w:t>
            </w:r>
            <w:r>
              <w:rPr>
                <w:rFonts w:hint="eastAsia" w:cs="Times New Roman"/>
                <w:sz w:val="24"/>
                <w:szCs w:val="24"/>
              </w:rPr>
              <w:t>已建</w:t>
            </w:r>
            <w:r>
              <w:rPr>
                <w:rFonts w:hint="eastAsia" w:cs="Times New Roman"/>
                <w:sz w:val="24"/>
                <w:szCs w:val="24"/>
                <w:lang w:eastAsia="zh-CN"/>
              </w:rPr>
              <w:t>DN700</w:t>
            </w:r>
            <w:r>
              <w:rPr>
                <w:rFonts w:hint="eastAsia" w:cs="Times New Roman"/>
                <w:sz w:val="24"/>
                <w:szCs w:val="24"/>
              </w:rPr>
              <w:t>原水输水管道，</w:t>
            </w:r>
            <w:r>
              <w:rPr>
                <w:rFonts w:hint="eastAsia" w:cs="Times New Roman"/>
                <w:sz w:val="24"/>
                <w:szCs w:val="24"/>
                <w:lang w:val="en-US" w:eastAsia="zh-CN"/>
              </w:rPr>
              <w:t>沿现有道路敷设</w:t>
            </w:r>
            <w:r>
              <w:rPr>
                <w:rFonts w:hint="eastAsia" w:cs="Times New Roman"/>
                <w:sz w:val="24"/>
                <w:szCs w:val="24"/>
              </w:rPr>
              <w:t>，接入</w:t>
            </w:r>
            <w:r>
              <w:rPr>
                <w:rFonts w:hint="eastAsia" w:cs="Times New Roman"/>
                <w:sz w:val="24"/>
                <w:szCs w:val="24"/>
                <w:lang w:eastAsia="zh-CN"/>
              </w:rPr>
              <w:t>水厂</w:t>
            </w:r>
            <w:r>
              <w:rPr>
                <w:rFonts w:hint="eastAsia" w:cs="Times New Roman"/>
                <w:sz w:val="24"/>
                <w:szCs w:val="24"/>
              </w:rPr>
              <w:t>。根据现场调查，管道沿线5</w:t>
            </w:r>
            <w:r>
              <w:rPr>
                <w:rFonts w:cs="Times New Roman"/>
                <w:sz w:val="24"/>
                <w:szCs w:val="24"/>
              </w:rPr>
              <w:t>00m范围内</w:t>
            </w:r>
            <w:r>
              <w:rPr>
                <w:rFonts w:hint="eastAsia" w:cs="Times New Roman"/>
                <w:sz w:val="24"/>
                <w:szCs w:val="24"/>
                <w:lang w:val="en-US" w:eastAsia="zh-CN"/>
              </w:rPr>
              <w:t>分散</w:t>
            </w:r>
            <w:r>
              <w:rPr>
                <w:rFonts w:cs="Times New Roman"/>
                <w:sz w:val="24"/>
                <w:szCs w:val="24"/>
              </w:rPr>
              <w:t>分</w:t>
            </w:r>
            <w:r>
              <w:rPr>
                <w:rFonts w:cs="Times New Roman"/>
                <w:color w:val="auto"/>
                <w:sz w:val="24"/>
                <w:szCs w:val="24"/>
              </w:rPr>
              <w:t>布有</w:t>
            </w:r>
            <w:r>
              <w:rPr>
                <w:rFonts w:hint="eastAsia" w:cs="Times New Roman"/>
                <w:color w:val="auto"/>
                <w:sz w:val="24"/>
                <w:szCs w:val="24"/>
                <w:lang w:val="en-US" w:eastAsia="zh-CN"/>
              </w:rPr>
              <w:t>龙背村</w:t>
            </w:r>
            <w:r>
              <w:rPr>
                <w:rFonts w:hint="eastAsia" w:cstheme="minorHAnsi"/>
                <w:color w:val="auto"/>
                <w:sz w:val="24"/>
                <w:szCs w:val="24"/>
              </w:rPr>
              <w:t>等居民，</w:t>
            </w:r>
            <w:r>
              <w:rPr>
                <w:rFonts w:hint="eastAsia" w:cs="Times New Roman"/>
                <w:sz w:val="24"/>
                <w:szCs w:val="24"/>
              </w:rPr>
              <w:t>外环境关系较简单。</w:t>
            </w:r>
          </w:p>
          <w:p>
            <w:pPr>
              <w:spacing w:line="360" w:lineRule="auto"/>
              <w:ind w:firstLine="482" w:firstLineChars="200"/>
              <w:rPr>
                <w:rFonts w:cs="Times New Roman"/>
                <w:b/>
                <w:bCs/>
                <w:color w:val="auto"/>
                <w:sz w:val="24"/>
                <w:szCs w:val="24"/>
              </w:rPr>
            </w:pPr>
            <w:r>
              <w:rPr>
                <w:rFonts w:hint="eastAsia" w:cs="Times New Roman"/>
                <w:b/>
                <w:bCs/>
                <w:color w:val="auto"/>
                <w:sz w:val="24"/>
                <w:szCs w:val="24"/>
              </w:rPr>
              <w:t>（</w:t>
            </w:r>
            <w:r>
              <w:rPr>
                <w:rFonts w:cs="Times New Roman"/>
                <w:b/>
                <w:bCs/>
                <w:color w:val="auto"/>
                <w:sz w:val="24"/>
                <w:szCs w:val="24"/>
              </w:rPr>
              <w:t>2</w:t>
            </w:r>
            <w:r>
              <w:rPr>
                <w:rFonts w:hint="eastAsia" w:cs="Times New Roman"/>
                <w:b/>
                <w:bCs/>
                <w:color w:val="auto"/>
                <w:sz w:val="24"/>
                <w:szCs w:val="24"/>
              </w:rPr>
              <w:t>）</w:t>
            </w:r>
            <w:r>
              <w:rPr>
                <w:rFonts w:hint="eastAsia" w:cs="Times New Roman"/>
                <w:b/>
                <w:bCs/>
                <w:color w:val="auto"/>
                <w:sz w:val="24"/>
                <w:szCs w:val="24"/>
                <w:lang w:eastAsia="zh-CN"/>
              </w:rPr>
              <w:t>水厂</w:t>
            </w:r>
            <w:r>
              <w:rPr>
                <w:rFonts w:hint="eastAsia" w:cs="Times New Roman"/>
                <w:b/>
                <w:bCs/>
                <w:color w:val="auto"/>
                <w:sz w:val="24"/>
                <w:szCs w:val="24"/>
              </w:rPr>
              <w:t>外环境关系</w:t>
            </w:r>
          </w:p>
          <w:p>
            <w:pPr>
              <w:spacing w:line="360" w:lineRule="auto"/>
              <w:ind w:firstLine="480" w:firstLineChars="200"/>
              <w:rPr>
                <w:rFonts w:cs="Times New Roman"/>
                <w:color w:val="auto"/>
                <w:sz w:val="24"/>
                <w:szCs w:val="24"/>
              </w:rPr>
            </w:pPr>
            <w:r>
              <w:rPr>
                <w:rFonts w:hint="eastAsia" w:cs="Times New Roman"/>
                <w:color w:val="auto"/>
                <w:sz w:val="24"/>
                <w:szCs w:val="24"/>
              </w:rPr>
              <w:t>本项目位于</w:t>
            </w:r>
            <w:r>
              <w:rPr>
                <w:rFonts w:hint="eastAsia" w:cs="Times New Roman"/>
                <w:color w:val="auto"/>
                <w:sz w:val="24"/>
                <w:szCs w:val="24"/>
                <w:lang w:eastAsia="zh-CN"/>
              </w:rPr>
              <w:t>宣汉县蒲江街道</w:t>
            </w:r>
            <w:r>
              <w:rPr>
                <w:rFonts w:hint="eastAsia" w:cs="Times New Roman"/>
                <w:color w:val="auto"/>
                <w:sz w:val="24"/>
                <w:szCs w:val="24"/>
              </w:rPr>
              <w:t>，</w:t>
            </w:r>
            <w:r>
              <w:rPr>
                <w:rFonts w:hint="eastAsia" w:cstheme="minorHAnsi"/>
                <w:color w:val="auto"/>
                <w:sz w:val="24"/>
                <w:szCs w:val="24"/>
              </w:rPr>
              <w:t>根据现场踏勘，</w:t>
            </w:r>
            <w:r>
              <w:rPr>
                <w:rFonts w:hint="eastAsia"/>
                <w:color w:val="auto"/>
                <w:sz w:val="24"/>
                <w:szCs w:val="24"/>
              </w:rPr>
              <w:t>项目周边外环境关系如下</w:t>
            </w:r>
            <w:r>
              <w:rPr>
                <w:rFonts w:hint="eastAsia" w:cs="Times New Roman"/>
                <w:color w:val="auto"/>
                <w:sz w:val="24"/>
                <w:szCs w:val="24"/>
              </w:rPr>
              <w:t>：</w:t>
            </w:r>
          </w:p>
          <w:p>
            <w:pPr>
              <w:spacing w:line="360" w:lineRule="auto"/>
              <w:ind w:firstLine="482" w:firstLineChars="200"/>
              <w:rPr>
                <w:rFonts w:hint="eastAsia" w:cstheme="minorHAnsi"/>
                <w:b/>
                <w:color w:val="auto"/>
                <w:sz w:val="24"/>
                <w:szCs w:val="24"/>
                <w:lang w:val="en-US" w:eastAsia="zh-CN"/>
              </w:rPr>
            </w:pPr>
            <w:r>
              <w:rPr>
                <w:rFonts w:hint="eastAsia" w:cstheme="minorHAnsi"/>
                <w:b/>
                <w:color w:val="auto"/>
                <w:sz w:val="24"/>
                <w:szCs w:val="24"/>
                <w:lang w:val="en-US" w:eastAsia="zh-CN"/>
              </w:rPr>
              <w:t>紧邻项目周边居民散户已全部拆迁。</w:t>
            </w:r>
          </w:p>
          <w:p>
            <w:pPr>
              <w:spacing w:line="360" w:lineRule="auto"/>
              <w:ind w:firstLine="482" w:firstLineChars="200"/>
              <w:rPr>
                <w:rFonts w:cstheme="minorHAnsi"/>
                <w:color w:val="auto"/>
                <w:sz w:val="24"/>
                <w:szCs w:val="24"/>
              </w:rPr>
            </w:pPr>
            <w:r>
              <w:rPr>
                <w:rFonts w:cstheme="minorHAnsi"/>
                <w:b/>
                <w:color w:val="auto"/>
                <w:sz w:val="24"/>
                <w:szCs w:val="24"/>
              </w:rPr>
              <w:t>东侧</w:t>
            </w:r>
            <w:r>
              <w:rPr>
                <w:rFonts w:hint="eastAsia" w:cstheme="minorHAnsi"/>
                <w:color w:val="auto"/>
                <w:sz w:val="24"/>
                <w:szCs w:val="24"/>
              </w:rPr>
              <w:t>：</w:t>
            </w:r>
            <w:r>
              <w:rPr>
                <w:rFonts w:hint="eastAsia" w:cstheme="minorHAnsi"/>
                <w:color w:val="auto"/>
                <w:sz w:val="24"/>
                <w:szCs w:val="24"/>
                <w:lang w:val="en-US" w:eastAsia="zh-CN"/>
              </w:rPr>
              <w:t>186m处分散有11户待拆迁居民</w:t>
            </w:r>
            <w:r>
              <w:rPr>
                <w:rFonts w:hint="eastAsia" w:cstheme="minorHAnsi"/>
                <w:color w:val="auto"/>
                <w:sz w:val="24"/>
                <w:szCs w:val="24"/>
              </w:rPr>
              <w:t>。</w:t>
            </w:r>
          </w:p>
          <w:p>
            <w:pPr>
              <w:spacing w:line="360" w:lineRule="auto"/>
              <w:ind w:firstLine="482" w:firstLineChars="200"/>
              <w:rPr>
                <w:rFonts w:hint="eastAsia" w:cstheme="minorHAnsi"/>
                <w:color w:val="auto"/>
                <w:sz w:val="24"/>
                <w:szCs w:val="24"/>
              </w:rPr>
            </w:pPr>
            <w:r>
              <w:rPr>
                <w:rFonts w:cstheme="minorHAnsi"/>
                <w:b/>
                <w:color w:val="auto"/>
                <w:sz w:val="24"/>
                <w:szCs w:val="24"/>
              </w:rPr>
              <w:t>南侧</w:t>
            </w:r>
            <w:r>
              <w:rPr>
                <w:rFonts w:hint="eastAsia" w:cstheme="minorHAnsi"/>
                <w:color w:val="auto"/>
                <w:sz w:val="24"/>
                <w:szCs w:val="24"/>
              </w:rPr>
              <w:t>：</w:t>
            </w:r>
            <w:r>
              <w:rPr>
                <w:rFonts w:hint="eastAsia" w:cstheme="minorHAnsi"/>
                <w:color w:val="auto"/>
                <w:sz w:val="24"/>
                <w:szCs w:val="24"/>
                <w:lang w:val="en-US" w:eastAsia="zh-CN"/>
              </w:rPr>
              <w:t>201m处分散有15户待拆迁居民</w:t>
            </w:r>
            <w:r>
              <w:rPr>
                <w:rFonts w:hint="eastAsia" w:cstheme="minorHAnsi"/>
                <w:color w:val="auto"/>
                <w:sz w:val="24"/>
                <w:szCs w:val="24"/>
              </w:rPr>
              <w:t>。</w:t>
            </w:r>
          </w:p>
          <w:p>
            <w:pPr>
              <w:spacing w:line="360" w:lineRule="auto"/>
              <w:ind w:firstLine="482" w:firstLineChars="200"/>
              <w:rPr>
                <w:rFonts w:hint="eastAsia" w:cstheme="minorHAnsi"/>
                <w:color w:val="auto"/>
                <w:sz w:val="24"/>
                <w:szCs w:val="24"/>
              </w:rPr>
            </w:pPr>
            <w:r>
              <w:rPr>
                <w:rFonts w:hint="eastAsia" w:cstheme="minorHAnsi"/>
                <w:b/>
                <w:color w:val="auto"/>
                <w:sz w:val="24"/>
                <w:szCs w:val="24"/>
                <w:lang w:val="en-US" w:eastAsia="zh-CN"/>
              </w:rPr>
              <w:t>西南</w:t>
            </w:r>
            <w:r>
              <w:rPr>
                <w:rFonts w:cstheme="minorHAnsi"/>
                <w:b/>
                <w:color w:val="auto"/>
                <w:sz w:val="24"/>
                <w:szCs w:val="24"/>
              </w:rPr>
              <w:t>侧</w:t>
            </w:r>
            <w:r>
              <w:rPr>
                <w:rFonts w:hint="eastAsia" w:cstheme="minorHAnsi"/>
                <w:color w:val="auto"/>
                <w:sz w:val="24"/>
                <w:szCs w:val="24"/>
              </w:rPr>
              <w:t>：</w:t>
            </w:r>
            <w:r>
              <w:rPr>
                <w:rFonts w:hint="eastAsia" w:cstheme="minorHAnsi"/>
                <w:color w:val="auto"/>
                <w:sz w:val="24"/>
                <w:szCs w:val="24"/>
                <w:lang w:val="en-US" w:eastAsia="zh-CN"/>
              </w:rPr>
              <w:t>353m处分散有5户待拆迁居民</w:t>
            </w:r>
            <w:r>
              <w:rPr>
                <w:rFonts w:hint="eastAsia" w:cstheme="minorHAnsi"/>
                <w:color w:val="auto"/>
                <w:sz w:val="24"/>
                <w:szCs w:val="24"/>
              </w:rPr>
              <w:t>。</w:t>
            </w:r>
          </w:p>
          <w:p>
            <w:pPr>
              <w:spacing w:line="360" w:lineRule="auto"/>
              <w:ind w:firstLine="482" w:firstLineChars="200"/>
              <w:rPr>
                <w:rFonts w:cstheme="minorHAnsi"/>
                <w:color w:val="auto"/>
                <w:sz w:val="24"/>
                <w:szCs w:val="24"/>
              </w:rPr>
            </w:pPr>
            <w:r>
              <w:rPr>
                <w:rFonts w:cstheme="minorHAnsi"/>
                <w:b/>
                <w:color w:val="auto"/>
                <w:sz w:val="24"/>
                <w:szCs w:val="24"/>
              </w:rPr>
              <w:t>西侧</w:t>
            </w:r>
            <w:r>
              <w:rPr>
                <w:rFonts w:hint="eastAsia" w:cstheme="minorHAnsi"/>
                <w:color w:val="auto"/>
                <w:sz w:val="24"/>
                <w:szCs w:val="24"/>
              </w:rPr>
              <w:t>：</w:t>
            </w:r>
            <w:r>
              <w:rPr>
                <w:rFonts w:hint="eastAsia" w:cstheme="minorHAnsi"/>
                <w:color w:val="auto"/>
                <w:sz w:val="24"/>
                <w:szCs w:val="24"/>
                <w:lang w:val="en-US" w:eastAsia="zh-CN"/>
              </w:rPr>
              <w:t>169m处为后河</w:t>
            </w:r>
            <w:r>
              <w:rPr>
                <w:rFonts w:hint="eastAsia" w:cstheme="minorHAnsi"/>
                <w:color w:val="auto"/>
                <w:sz w:val="24"/>
                <w:szCs w:val="24"/>
              </w:rPr>
              <w:t>。</w:t>
            </w:r>
          </w:p>
          <w:p>
            <w:pPr>
              <w:spacing w:line="360" w:lineRule="auto"/>
              <w:ind w:firstLine="480" w:firstLineChars="200"/>
              <w:rPr>
                <w:rFonts w:cs="Times New Roman"/>
                <w:color w:val="auto"/>
                <w:sz w:val="24"/>
                <w:szCs w:val="24"/>
              </w:rPr>
            </w:pPr>
            <w:r>
              <w:rPr>
                <w:rFonts w:hint="eastAsia"/>
                <w:color w:val="auto"/>
                <w:sz w:val="24"/>
              </w:rPr>
              <w:t>由以上描述可知，本项目厂界</w:t>
            </w:r>
            <w:r>
              <w:rPr>
                <w:color w:val="auto"/>
                <w:sz w:val="24"/>
              </w:rPr>
              <w:t>500</w:t>
            </w:r>
            <w:r>
              <w:rPr>
                <w:rFonts w:hint="eastAsia"/>
                <w:color w:val="auto"/>
                <w:sz w:val="24"/>
              </w:rPr>
              <w:t>m范围内</w:t>
            </w:r>
            <w:r>
              <w:rPr>
                <w:rFonts w:hint="eastAsia" w:cstheme="minorHAnsi"/>
                <w:color w:val="auto"/>
                <w:sz w:val="24"/>
                <w:szCs w:val="24"/>
              </w:rPr>
              <w:t>以</w:t>
            </w:r>
            <w:r>
              <w:rPr>
                <w:rFonts w:hint="eastAsia" w:cstheme="minorHAnsi"/>
                <w:color w:val="auto"/>
                <w:sz w:val="24"/>
                <w:szCs w:val="24"/>
                <w:lang w:val="en-US" w:eastAsia="zh-CN"/>
              </w:rPr>
              <w:t>待拆迁</w:t>
            </w:r>
            <w:r>
              <w:rPr>
                <w:rFonts w:hint="eastAsia" w:cstheme="minorHAnsi"/>
                <w:color w:val="auto"/>
                <w:sz w:val="24"/>
                <w:szCs w:val="24"/>
              </w:rPr>
              <w:t>散居农户为主，无</w:t>
            </w:r>
            <w:r>
              <w:rPr>
                <w:rFonts w:hint="eastAsia" w:cs="Times New Roman"/>
                <w:color w:val="auto"/>
                <w:sz w:val="24"/>
                <w:szCs w:val="24"/>
              </w:rPr>
              <w:t>自然保护区、风景名胜区分布。</w:t>
            </w:r>
          </w:p>
          <w:p>
            <w:pPr>
              <w:spacing w:line="360" w:lineRule="auto"/>
              <w:ind w:firstLine="482" w:firstLineChars="200"/>
              <w:rPr>
                <w:rFonts w:cs="Times New Roman"/>
                <w:b/>
                <w:sz w:val="24"/>
                <w:szCs w:val="24"/>
              </w:rPr>
            </w:pPr>
            <w:r>
              <w:rPr>
                <w:rFonts w:cs="Times New Roman"/>
                <w:b/>
                <w:sz w:val="24"/>
                <w:szCs w:val="24"/>
              </w:rPr>
              <w:t>2、环境保护目标</w:t>
            </w:r>
          </w:p>
          <w:p>
            <w:pPr>
              <w:spacing w:line="360" w:lineRule="auto"/>
              <w:ind w:firstLine="361" w:firstLineChars="150"/>
              <w:rPr>
                <w:rFonts w:cs="Times New Roman"/>
                <w:b/>
                <w:sz w:val="24"/>
                <w:szCs w:val="24"/>
              </w:rPr>
            </w:pPr>
            <w:r>
              <w:rPr>
                <w:rFonts w:hint="eastAsia" w:cs="Times New Roman"/>
                <w:b/>
                <w:sz w:val="24"/>
                <w:szCs w:val="24"/>
              </w:rPr>
              <w:t>（1）</w:t>
            </w:r>
            <w:r>
              <w:rPr>
                <w:rFonts w:cs="Times New Roman"/>
                <w:b/>
                <w:sz w:val="24"/>
                <w:szCs w:val="24"/>
              </w:rPr>
              <w:t>大气环境</w:t>
            </w:r>
          </w:p>
          <w:p>
            <w:pPr>
              <w:spacing w:line="360" w:lineRule="auto"/>
              <w:ind w:firstLine="480" w:firstLineChars="200"/>
              <w:rPr>
                <w:rFonts w:cs="Times New Roman"/>
                <w:sz w:val="24"/>
                <w:szCs w:val="24"/>
              </w:rPr>
            </w:pPr>
            <w:r>
              <w:rPr>
                <w:rFonts w:cs="Times New Roman"/>
                <w:sz w:val="24"/>
                <w:szCs w:val="24"/>
              </w:rPr>
              <w:t>本项目大气环境保护目标见下表</w:t>
            </w:r>
            <w:r>
              <w:rPr>
                <w:rFonts w:hint="eastAsia" w:cs="Times New Roman"/>
                <w:sz w:val="24"/>
                <w:szCs w:val="24"/>
              </w:rPr>
              <w:t>。</w:t>
            </w:r>
          </w:p>
          <w:p>
            <w:pPr>
              <w:spacing w:line="360" w:lineRule="auto"/>
              <w:jc w:val="center"/>
              <w:rPr>
                <w:rFonts w:eastAsia="黑体"/>
                <w:szCs w:val="21"/>
              </w:rPr>
            </w:pPr>
            <w:r>
              <w:rPr>
                <w:rFonts w:eastAsia="黑体"/>
                <w:szCs w:val="21"/>
              </w:rPr>
              <w:t>表3</w:t>
            </w:r>
            <w:r>
              <w:rPr>
                <w:rFonts w:hint="eastAsia" w:eastAsia="黑体"/>
                <w:szCs w:val="21"/>
              </w:rPr>
              <w:t>-</w:t>
            </w:r>
            <w:r>
              <w:rPr>
                <w:rFonts w:eastAsia="黑体"/>
                <w:szCs w:val="21"/>
              </w:rPr>
              <w:t xml:space="preserve">3  </w:t>
            </w:r>
            <w:r>
              <w:rPr>
                <w:rFonts w:hint="eastAsia" w:eastAsia="黑体"/>
                <w:szCs w:val="21"/>
                <w:lang w:eastAsia="zh-CN"/>
              </w:rPr>
              <w:t>水厂</w:t>
            </w:r>
            <w:r>
              <w:rPr>
                <w:rFonts w:hint="eastAsia" w:eastAsia="黑体"/>
                <w:szCs w:val="21"/>
              </w:rPr>
              <w:t>大气环境保护目标</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418"/>
              <w:gridCol w:w="850"/>
              <w:gridCol w:w="1276"/>
              <w:gridCol w:w="1134"/>
              <w:gridCol w:w="709"/>
              <w:gridCol w:w="2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pPr>
                    <w:jc w:val="center"/>
                    <w:rPr>
                      <w:rFonts w:cs="Times New Roman"/>
                      <w:szCs w:val="21"/>
                    </w:rPr>
                  </w:pPr>
                  <w:r>
                    <w:rPr>
                      <w:rFonts w:cs="Times New Roman"/>
                      <w:szCs w:val="21"/>
                    </w:rPr>
                    <w:t>序号</w:t>
                  </w:r>
                </w:p>
              </w:tc>
              <w:tc>
                <w:tcPr>
                  <w:tcW w:w="1418" w:type="dxa"/>
                  <w:vAlign w:val="center"/>
                </w:tcPr>
                <w:p>
                  <w:pPr>
                    <w:jc w:val="center"/>
                    <w:rPr>
                      <w:rFonts w:cs="Times New Roman"/>
                      <w:szCs w:val="21"/>
                    </w:rPr>
                  </w:pPr>
                  <w:r>
                    <w:rPr>
                      <w:rFonts w:cs="Times New Roman"/>
                      <w:szCs w:val="21"/>
                    </w:rPr>
                    <w:t>保护对象</w:t>
                  </w:r>
                </w:p>
              </w:tc>
              <w:tc>
                <w:tcPr>
                  <w:tcW w:w="850" w:type="dxa"/>
                  <w:vAlign w:val="center"/>
                </w:tcPr>
                <w:p>
                  <w:pPr>
                    <w:jc w:val="center"/>
                    <w:rPr>
                      <w:rFonts w:cs="Times New Roman"/>
                      <w:szCs w:val="21"/>
                    </w:rPr>
                  </w:pPr>
                  <w:r>
                    <w:rPr>
                      <w:rFonts w:cs="Times New Roman"/>
                      <w:szCs w:val="21"/>
                    </w:rPr>
                    <w:t>方位</w:t>
                  </w:r>
                </w:p>
              </w:tc>
              <w:tc>
                <w:tcPr>
                  <w:tcW w:w="1276" w:type="dxa"/>
                  <w:vAlign w:val="center"/>
                </w:tcPr>
                <w:p>
                  <w:pPr>
                    <w:jc w:val="center"/>
                    <w:rPr>
                      <w:rFonts w:cs="Times New Roman"/>
                      <w:szCs w:val="21"/>
                    </w:rPr>
                  </w:pPr>
                  <w:r>
                    <w:rPr>
                      <w:rFonts w:cs="Times New Roman"/>
                      <w:szCs w:val="21"/>
                    </w:rPr>
                    <w:t>距离</w:t>
                  </w:r>
                </w:p>
              </w:tc>
              <w:tc>
                <w:tcPr>
                  <w:tcW w:w="1134" w:type="dxa"/>
                  <w:vAlign w:val="center"/>
                </w:tcPr>
                <w:p>
                  <w:pPr>
                    <w:jc w:val="center"/>
                    <w:rPr>
                      <w:rFonts w:cs="Times New Roman"/>
                      <w:szCs w:val="21"/>
                    </w:rPr>
                  </w:pPr>
                  <w:r>
                    <w:rPr>
                      <w:rFonts w:cs="Times New Roman"/>
                      <w:szCs w:val="21"/>
                    </w:rPr>
                    <w:t>规模</w:t>
                  </w:r>
                </w:p>
              </w:tc>
              <w:tc>
                <w:tcPr>
                  <w:tcW w:w="709" w:type="dxa"/>
                  <w:vAlign w:val="center"/>
                </w:tcPr>
                <w:p>
                  <w:pPr>
                    <w:jc w:val="center"/>
                    <w:rPr>
                      <w:rFonts w:cs="Times New Roman"/>
                      <w:szCs w:val="21"/>
                    </w:rPr>
                  </w:pPr>
                  <w:r>
                    <w:rPr>
                      <w:rFonts w:cs="Times New Roman"/>
                      <w:szCs w:val="21"/>
                    </w:rPr>
                    <w:t>性质</w:t>
                  </w:r>
                </w:p>
              </w:tc>
              <w:tc>
                <w:tcPr>
                  <w:tcW w:w="2578" w:type="dxa"/>
                  <w:vAlign w:val="center"/>
                </w:tcPr>
                <w:p>
                  <w:pPr>
                    <w:jc w:val="center"/>
                    <w:rPr>
                      <w:rFonts w:cs="Times New Roman"/>
                      <w:szCs w:val="21"/>
                    </w:rPr>
                  </w:pPr>
                  <w:r>
                    <w:rPr>
                      <w:rFonts w:cs="Times New Roman"/>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pPr>
                    <w:jc w:val="center"/>
                    <w:rPr>
                      <w:rFonts w:cs="Times New Roman"/>
                      <w:szCs w:val="21"/>
                    </w:rPr>
                  </w:pPr>
                  <w:r>
                    <w:rPr>
                      <w:rFonts w:hint="eastAsia" w:cs="Times New Roman"/>
                      <w:szCs w:val="21"/>
                    </w:rPr>
                    <w:t>1</w:t>
                  </w:r>
                </w:p>
              </w:tc>
              <w:tc>
                <w:tcPr>
                  <w:tcW w:w="1418" w:type="dxa"/>
                  <w:vAlign w:val="center"/>
                </w:tcPr>
                <w:p>
                  <w:pPr>
                    <w:jc w:val="center"/>
                    <w:rPr>
                      <w:rFonts w:hint="default" w:eastAsia="宋体" w:cs="Times New Roman"/>
                      <w:szCs w:val="21"/>
                      <w:lang w:val="en-US" w:eastAsia="zh-CN"/>
                    </w:rPr>
                  </w:pPr>
                  <w:r>
                    <w:rPr>
                      <w:rFonts w:hint="eastAsia" w:cs="Times New Roman"/>
                      <w:szCs w:val="21"/>
                      <w:lang w:val="en-US" w:eastAsia="zh-CN"/>
                    </w:rPr>
                    <w:t>待拆迁居民</w:t>
                  </w:r>
                </w:p>
              </w:tc>
              <w:tc>
                <w:tcPr>
                  <w:tcW w:w="850" w:type="dxa"/>
                  <w:vAlign w:val="center"/>
                </w:tcPr>
                <w:p>
                  <w:pPr>
                    <w:jc w:val="center"/>
                    <w:rPr>
                      <w:rFonts w:hint="eastAsia" w:eastAsia="宋体" w:cs="Times New Roman"/>
                      <w:szCs w:val="21"/>
                      <w:lang w:eastAsia="zh-CN"/>
                    </w:rPr>
                  </w:pPr>
                  <w:r>
                    <w:rPr>
                      <w:rFonts w:hint="eastAsia" w:cs="Times New Roman"/>
                      <w:szCs w:val="21"/>
                      <w:lang w:val="en-US" w:eastAsia="zh-CN"/>
                    </w:rPr>
                    <w:t>东侧</w:t>
                  </w:r>
                </w:p>
              </w:tc>
              <w:tc>
                <w:tcPr>
                  <w:tcW w:w="1276" w:type="dxa"/>
                  <w:vAlign w:val="center"/>
                </w:tcPr>
                <w:p>
                  <w:pPr>
                    <w:jc w:val="center"/>
                    <w:rPr>
                      <w:rFonts w:cs="Times New Roman"/>
                      <w:szCs w:val="21"/>
                    </w:rPr>
                  </w:pPr>
                  <w:r>
                    <w:rPr>
                      <w:rFonts w:hint="eastAsia" w:cs="Times New Roman"/>
                      <w:szCs w:val="21"/>
                      <w:lang w:val="en-US" w:eastAsia="zh-CN"/>
                    </w:rPr>
                    <w:t>186</w:t>
                  </w:r>
                  <w:r>
                    <w:rPr>
                      <w:rFonts w:cs="Times New Roman"/>
                      <w:szCs w:val="21"/>
                    </w:rPr>
                    <w:t>m</w:t>
                  </w:r>
                </w:p>
              </w:tc>
              <w:tc>
                <w:tcPr>
                  <w:tcW w:w="1134" w:type="dxa"/>
                  <w:vAlign w:val="center"/>
                </w:tcPr>
                <w:p>
                  <w:pPr>
                    <w:jc w:val="center"/>
                    <w:rPr>
                      <w:rFonts w:cs="Times New Roman"/>
                      <w:szCs w:val="21"/>
                    </w:rPr>
                  </w:pPr>
                  <w:r>
                    <w:rPr>
                      <w:rFonts w:hint="eastAsia" w:cs="Times New Roman"/>
                      <w:szCs w:val="21"/>
                      <w:lang w:val="en-US" w:eastAsia="zh-CN"/>
                    </w:rPr>
                    <w:t>11</w:t>
                  </w:r>
                  <w:r>
                    <w:rPr>
                      <w:rFonts w:cs="Times New Roman"/>
                      <w:szCs w:val="21"/>
                    </w:rPr>
                    <w:t>户</w:t>
                  </w:r>
                </w:p>
              </w:tc>
              <w:tc>
                <w:tcPr>
                  <w:tcW w:w="709" w:type="dxa"/>
                  <w:vAlign w:val="center"/>
                </w:tcPr>
                <w:p>
                  <w:pPr>
                    <w:jc w:val="center"/>
                    <w:rPr>
                      <w:rFonts w:cs="Times New Roman"/>
                      <w:szCs w:val="21"/>
                    </w:rPr>
                  </w:pPr>
                  <w:r>
                    <w:rPr>
                      <w:rFonts w:cs="Times New Roman"/>
                      <w:szCs w:val="21"/>
                    </w:rPr>
                    <w:t>住宅</w:t>
                  </w:r>
                </w:p>
              </w:tc>
              <w:tc>
                <w:tcPr>
                  <w:tcW w:w="2578" w:type="dxa"/>
                  <w:vMerge w:val="restart"/>
                  <w:vAlign w:val="center"/>
                </w:tcPr>
                <w:p>
                  <w:pPr>
                    <w:rPr>
                      <w:rFonts w:cs="Times New Roman"/>
                      <w:szCs w:val="21"/>
                    </w:rPr>
                  </w:pPr>
                  <w:r>
                    <w:rPr>
                      <w:rFonts w:hint="eastAsia" w:cs="Times New Roman"/>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pPr>
                    <w:jc w:val="center"/>
                    <w:rPr>
                      <w:rFonts w:cs="Times New Roman"/>
                      <w:szCs w:val="21"/>
                    </w:rPr>
                  </w:pPr>
                  <w:r>
                    <w:rPr>
                      <w:rFonts w:hint="eastAsia" w:cs="Times New Roman"/>
                      <w:szCs w:val="21"/>
                    </w:rPr>
                    <w:t>2</w:t>
                  </w:r>
                </w:p>
              </w:tc>
              <w:tc>
                <w:tcPr>
                  <w:tcW w:w="1418" w:type="dxa"/>
                  <w:vAlign w:val="center"/>
                </w:tcPr>
                <w:p>
                  <w:pPr>
                    <w:jc w:val="center"/>
                    <w:rPr>
                      <w:rFonts w:cs="Times New Roman"/>
                      <w:szCs w:val="21"/>
                    </w:rPr>
                  </w:pPr>
                  <w:r>
                    <w:rPr>
                      <w:rFonts w:hint="eastAsia" w:cs="Times New Roman"/>
                      <w:szCs w:val="21"/>
                      <w:lang w:val="en-US" w:eastAsia="zh-CN"/>
                    </w:rPr>
                    <w:t>待拆迁居民</w:t>
                  </w:r>
                </w:p>
              </w:tc>
              <w:tc>
                <w:tcPr>
                  <w:tcW w:w="850" w:type="dxa"/>
                  <w:vAlign w:val="center"/>
                </w:tcPr>
                <w:p>
                  <w:pPr>
                    <w:jc w:val="center"/>
                    <w:rPr>
                      <w:rFonts w:hint="eastAsia" w:eastAsia="宋体" w:cs="Times New Roman"/>
                      <w:szCs w:val="21"/>
                      <w:lang w:eastAsia="zh-CN"/>
                    </w:rPr>
                  </w:pPr>
                  <w:r>
                    <w:rPr>
                      <w:rFonts w:hint="eastAsia" w:cs="Times New Roman"/>
                      <w:szCs w:val="21"/>
                      <w:lang w:val="en-US" w:eastAsia="zh-CN"/>
                    </w:rPr>
                    <w:t>南侧</w:t>
                  </w:r>
                </w:p>
              </w:tc>
              <w:tc>
                <w:tcPr>
                  <w:tcW w:w="1276" w:type="dxa"/>
                  <w:vAlign w:val="center"/>
                </w:tcPr>
                <w:p>
                  <w:pPr>
                    <w:jc w:val="center"/>
                    <w:rPr>
                      <w:rFonts w:cs="Times New Roman"/>
                      <w:szCs w:val="21"/>
                    </w:rPr>
                  </w:pPr>
                  <w:r>
                    <w:rPr>
                      <w:rFonts w:hint="eastAsia" w:cs="Times New Roman"/>
                      <w:szCs w:val="21"/>
                      <w:lang w:val="en-US" w:eastAsia="zh-CN"/>
                    </w:rPr>
                    <w:t>201</w:t>
                  </w:r>
                  <w:r>
                    <w:rPr>
                      <w:rFonts w:cs="Times New Roman"/>
                      <w:szCs w:val="21"/>
                    </w:rPr>
                    <w:t>m</w:t>
                  </w:r>
                </w:p>
              </w:tc>
              <w:tc>
                <w:tcPr>
                  <w:tcW w:w="1134" w:type="dxa"/>
                  <w:vAlign w:val="center"/>
                </w:tcPr>
                <w:p>
                  <w:pPr>
                    <w:jc w:val="center"/>
                    <w:rPr>
                      <w:rFonts w:cs="Times New Roman"/>
                      <w:szCs w:val="21"/>
                    </w:rPr>
                  </w:pPr>
                  <w:r>
                    <w:rPr>
                      <w:rFonts w:hint="eastAsia" w:cs="Times New Roman"/>
                      <w:szCs w:val="21"/>
                    </w:rPr>
                    <w:t>1</w:t>
                  </w:r>
                  <w:r>
                    <w:rPr>
                      <w:rFonts w:hint="eastAsia" w:cs="Times New Roman"/>
                      <w:szCs w:val="21"/>
                      <w:lang w:val="en-US" w:eastAsia="zh-CN"/>
                    </w:rPr>
                    <w:t>5</w:t>
                  </w:r>
                  <w:r>
                    <w:rPr>
                      <w:rFonts w:hint="eastAsia" w:cs="Times New Roman"/>
                      <w:szCs w:val="21"/>
                    </w:rPr>
                    <w:t>户</w:t>
                  </w:r>
                </w:p>
              </w:tc>
              <w:tc>
                <w:tcPr>
                  <w:tcW w:w="709" w:type="dxa"/>
                  <w:vAlign w:val="center"/>
                </w:tcPr>
                <w:p>
                  <w:pPr>
                    <w:jc w:val="center"/>
                    <w:rPr>
                      <w:rFonts w:cs="Times New Roman"/>
                      <w:szCs w:val="21"/>
                    </w:rPr>
                  </w:pPr>
                  <w:r>
                    <w:rPr>
                      <w:rFonts w:cs="Times New Roman"/>
                      <w:szCs w:val="21"/>
                    </w:rPr>
                    <w:t>住宅</w:t>
                  </w:r>
                </w:p>
              </w:tc>
              <w:tc>
                <w:tcPr>
                  <w:tcW w:w="2578" w:type="dxa"/>
                  <w:vMerge w:val="continue"/>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pPr>
                    <w:jc w:val="center"/>
                    <w:rPr>
                      <w:rFonts w:cs="Times New Roman"/>
                      <w:szCs w:val="21"/>
                    </w:rPr>
                  </w:pPr>
                  <w:r>
                    <w:rPr>
                      <w:rFonts w:hint="eastAsia" w:cs="Times New Roman"/>
                      <w:szCs w:val="21"/>
                    </w:rPr>
                    <w:t>3</w:t>
                  </w:r>
                </w:p>
              </w:tc>
              <w:tc>
                <w:tcPr>
                  <w:tcW w:w="1418" w:type="dxa"/>
                  <w:vAlign w:val="center"/>
                </w:tcPr>
                <w:p>
                  <w:pPr>
                    <w:jc w:val="center"/>
                    <w:rPr>
                      <w:rFonts w:cs="Times New Roman"/>
                      <w:szCs w:val="21"/>
                    </w:rPr>
                  </w:pPr>
                  <w:r>
                    <w:rPr>
                      <w:rFonts w:hint="eastAsia" w:cs="Times New Roman"/>
                      <w:szCs w:val="21"/>
                      <w:lang w:val="en-US" w:eastAsia="zh-CN"/>
                    </w:rPr>
                    <w:t>待拆迁居民</w:t>
                  </w:r>
                </w:p>
              </w:tc>
              <w:tc>
                <w:tcPr>
                  <w:tcW w:w="850" w:type="dxa"/>
                  <w:vAlign w:val="center"/>
                </w:tcPr>
                <w:p>
                  <w:pPr>
                    <w:jc w:val="center"/>
                    <w:rPr>
                      <w:rFonts w:hint="eastAsia" w:eastAsia="宋体" w:cs="Times New Roman"/>
                      <w:szCs w:val="21"/>
                      <w:lang w:eastAsia="zh-CN"/>
                    </w:rPr>
                  </w:pPr>
                  <w:r>
                    <w:rPr>
                      <w:rFonts w:hint="eastAsia" w:cs="Times New Roman"/>
                      <w:szCs w:val="21"/>
                      <w:lang w:val="en-US" w:eastAsia="zh-CN"/>
                    </w:rPr>
                    <w:t>西南侧</w:t>
                  </w:r>
                </w:p>
              </w:tc>
              <w:tc>
                <w:tcPr>
                  <w:tcW w:w="1276" w:type="dxa"/>
                  <w:vAlign w:val="center"/>
                </w:tcPr>
                <w:p>
                  <w:pPr>
                    <w:jc w:val="center"/>
                    <w:rPr>
                      <w:rFonts w:cs="Times New Roman"/>
                      <w:szCs w:val="21"/>
                    </w:rPr>
                  </w:pPr>
                  <w:r>
                    <w:rPr>
                      <w:rFonts w:hint="eastAsia" w:cs="Times New Roman"/>
                      <w:szCs w:val="21"/>
                      <w:lang w:val="en-US" w:eastAsia="zh-CN"/>
                    </w:rPr>
                    <w:t>353</w:t>
                  </w:r>
                  <w:r>
                    <w:rPr>
                      <w:rFonts w:cs="Times New Roman"/>
                      <w:szCs w:val="21"/>
                    </w:rPr>
                    <w:t>m</w:t>
                  </w:r>
                </w:p>
              </w:tc>
              <w:tc>
                <w:tcPr>
                  <w:tcW w:w="1134" w:type="dxa"/>
                  <w:vAlign w:val="center"/>
                </w:tcPr>
                <w:p>
                  <w:pPr>
                    <w:jc w:val="center"/>
                    <w:rPr>
                      <w:rFonts w:cs="Times New Roman"/>
                      <w:szCs w:val="21"/>
                    </w:rPr>
                  </w:pPr>
                  <w:r>
                    <w:rPr>
                      <w:rFonts w:hint="eastAsia" w:cs="Times New Roman"/>
                      <w:szCs w:val="21"/>
                      <w:lang w:val="en-US" w:eastAsia="zh-CN"/>
                    </w:rPr>
                    <w:t>5</w:t>
                  </w:r>
                  <w:r>
                    <w:rPr>
                      <w:rFonts w:hint="eastAsia" w:cs="Times New Roman"/>
                      <w:szCs w:val="21"/>
                    </w:rPr>
                    <w:t>户</w:t>
                  </w:r>
                </w:p>
              </w:tc>
              <w:tc>
                <w:tcPr>
                  <w:tcW w:w="709" w:type="dxa"/>
                  <w:vAlign w:val="center"/>
                </w:tcPr>
                <w:p>
                  <w:pPr>
                    <w:jc w:val="center"/>
                    <w:rPr>
                      <w:rFonts w:cs="Times New Roman"/>
                      <w:szCs w:val="21"/>
                    </w:rPr>
                  </w:pPr>
                  <w:r>
                    <w:rPr>
                      <w:rFonts w:cs="Times New Roman"/>
                      <w:szCs w:val="21"/>
                    </w:rPr>
                    <w:t>住宅</w:t>
                  </w:r>
                </w:p>
              </w:tc>
              <w:tc>
                <w:tcPr>
                  <w:tcW w:w="2578" w:type="dxa"/>
                  <w:vMerge w:val="continue"/>
                  <w:vAlign w:val="center"/>
                </w:tcPr>
                <w:p>
                  <w:pPr>
                    <w:jc w:val="center"/>
                    <w:rPr>
                      <w:rFonts w:cs="Times New Roman"/>
                      <w:szCs w:val="21"/>
                    </w:rPr>
                  </w:pPr>
                </w:p>
              </w:tc>
            </w:tr>
          </w:tbl>
          <w:p>
            <w:pPr>
              <w:spacing w:line="360" w:lineRule="auto"/>
              <w:jc w:val="center"/>
              <w:rPr>
                <w:rFonts w:eastAsia="黑体"/>
                <w:szCs w:val="21"/>
              </w:rPr>
            </w:pPr>
            <w:r>
              <w:rPr>
                <w:rFonts w:eastAsia="黑体"/>
                <w:szCs w:val="21"/>
              </w:rPr>
              <w:t>表3</w:t>
            </w:r>
            <w:r>
              <w:rPr>
                <w:rFonts w:hint="eastAsia" w:eastAsia="黑体"/>
                <w:szCs w:val="21"/>
              </w:rPr>
              <w:t>-</w:t>
            </w:r>
            <w:r>
              <w:rPr>
                <w:rFonts w:eastAsia="黑体"/>
                <w:szCs w:val="21"/>
              </w:rPr>
              <w:t xml:space="preserve">4  </w:t>
            </w:r>
            <w:r>
              <w:rPr>
                <w:rFonts w:hint="eastAsia" w:eastAsia="黑体"/>
                <w:szCs w:val="21"/>
              </w:rPr>
              <w:t>原水</w:t>
            </w:r>
            <w:r>
              <w:rPr>
                <w:rFonts w:eastAsia="黑体"/>
                <w:szCs w:val="21"/>
              </w:rPr>
              <w:t>输水管道</w:t>
            </w:r>
            <w:r>
              <w:rPr>
                <w:rFonts w:hint="eastAsia" w:eastAsia="黑体"/>
                <w:szCs w:val="21"/>
              </w:rPr>
              <w:t>大气环境保护目标</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418"/>
              <w:gridCol w:w="850"/>
              <w:gridCol w:w="1276"/>
              <w:gridCol w:w="1134"/>
              <w:gridCol w:w="709"/>
              <w:gridCol w:w="2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pPr>
                    <w:jc w:val="center"/>
                    <w:rPr>
                      <w:rFonts w:cs="Times New Roman"/>
                      <w:szCs w:val="21"/>
                    </w:rPr>
                  </w:pPr>
                  <w:r>
                    <w:rPr>
                      <w:rFonts w:cs="Times New Roman"/>
                      <w:szCs w:val="21"/>
                    </w:rPr>
                    <w:t>序号</w:t>
                  </w:r>
                </w:p>
              </w:tc>
              <w:tc>
                <w:tcPr>
                  <w:tcW w:w="1418" w:type="dxa"/>
                  <w:vAlign w:val="center"/>
                </w:tcPr>
                <w:p>
                  <w:pPr>
                    <w:jc w:val="center"/>
                    <w:rPr>
                      <w:rFonts w:cs="Times New Roman"/>
                      <w:szCs w:val="21"/>
                    </w:rPr>
                  </w:pPr>
                  <w:r>
                    <w:rPr>
                      <w:rFonts w:cs="Times New Roman"/>
                      <w:szCs w:val="21"/>
                    </w:rPr>
                    <w:t>保护对象</w:t>
                  </w:r>
                </w:p>
              </w:tc>
              <w:tc>
                <w:tcPr>
                  <w:tcW w:w="850" w:type="dxa"/>
                  <w:vAlign w:val="center"/>
                </w:tcPr>
                <w:p>
                  <w:pPr>
                    <w:jc w:val="center"/>
                    <w:rPr>
                      <w:rFonts w:cs="Times New Roman"/>
                      <w:szCs w:val="21"/>
                    </w:rPr>
                  </w:pPr>
                  <w:r>
                    <w:rPr>
                      <w:rFonts w:cs="Times New Roman"/>
                      <w:szCs w:val="21"/>
                    </w:rPr>
                    <w:t>方位</w:t>
                  </w:r>
                </w:p>
              </w:tc>
              <w:tc>
                <w:tcPr>
                  <w:tcW w:w="1276" w:type="dxa"/>
                  <w:vAlign w:val="center"/>
                </w:tcPr>
                <w:p>
                  <w:pPr>
                    <w:jc w:val="center"/>
                    <w:rPr>
                      <w:rFonts w:cs="Times New Roman"/>
                      <w:szCs w:val="21"/>
                    </w:rPr>
                  </w:pPr>
                  <w:r>
                    <w:rPr>
                      <w:rFonts w:cs="Times New Roman"/>
                      <w:szCs w:val="21"/>
                    </w:rPr>
                    <w:t>距离</w:t>
                  </w:r>
                </w:p>
              </w:tc>
              <w:tc>
                <w:tcPr>
                  <w:tcW w:w="1134" w:type="dxa"/>
                  <w:vAlign w:val="center"/>
                </w:tcPr>
                <w:p>
                  <w:pPr>
                    <w:jc w:val="center"/>
                    <w:rPr>
                      <w:rFonts w:cs="Times New Roman"/>
                      <w:szCs w:val="21"/>
                    </w:rPr>
                  </w:pPr>
                  <w:r>
                    <w:rPr>
                      <w:rFonts w:cs="Times New Roman"/>
                      <w:szCs w:val="21"/>
                    </w:rPr>
                    <w:t>规模</w:t>
                  </w:r>
                </w:p>
              </w:tc>
              <w:tc>
                <w:tcPr>
                  <w:tcW w:w="709" w:type="dxa"/>
                  <w:vAlign w:val="center"/>
                </w:tcPr>
                <w:p>
                  <w:pPr>
                    <w:jc w:val="center"/>
                    <w:rPr>
                      <w:rFonts w:cs="Times New Roman"/>
                      <w:szCs w:val="21"/>
                    </w:rPr>
                  </w:pPr>
                  <w:r>
                    <w:rPr>
                      <w:rFonts w:cs="Times New Roman"/>
                      <w:szCs w:val="21"/>
                    </w:rPr>
                    <w:t>性质</w:t>
                  </w:r>
                </w:p>
              </w:tc>
              <w:tc>
                <w:tcPr>
                  <w:tcW w:w="2578" w:type="dxa"/>
                  <w:vAlign w:val="center"/>
                </w:tcPr>
                <w:p>
                  <w:pPr>
                    <w:jc w:val="center"/>
                    <w:rPr>
                      <w:rFonts w:cs="Times New Roman"/>
                      <w:szCs w:val="21"/>
                    </w:rPr>
                  </w:pPr>
                  <w:r>
                    <w:rPr>
                      <w:rFonts w:cs="Times New Roman"/>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pPr>
                    <w:jc w:val="center"/>
                    <w:rPr>
                      <w:rFonts w:cs="Times New Roman"/>
                      <w:szCs w:val="21"/>
                    </w:rPr>
                  </w:pPr>
                  <w:r>
                    <w:rPr>
                      <w:rFonts w:hint="eastAsia" w:cs="Times New Roman"/>
                      <w:szCs w:val="21"/>
                    </w:rPr>
                    <w:t>1</w:t>
                  </w:r>
                </w:p>
              </w:tc>
              <w:tc>
                <w:tcPr>
                  <w:tcW w:w="1418" w:type="dxa"/>
                  <w:vAlign w:val="center"/>
                </w:tcPr>
                <w:p>
                  <w:pPr>
                    <w:jc w:val="center"/>
                    <w:rPr>
                      <w:rFonts w:hint="default" w:eastAsia="宋体" w:cs="Times New Roman"/>
                      <w:szCs w:val="21"/>
                      <w:lang w:val="en-US" w:eastAsia="zh-CN"/>
                    </w:rPr>
                  </w:pPr>
                  <w:r>
                    <w:rPr>
                      <w:rFonts w:hint="eastAsia" w:cs="Times New Roman"/>
                      <w:szCs w:val="21"/>
                      <w:lang w:val="en-US" w:eastAsia="zh-CN"/>
                    </w:rPr>
                    <w:t>龙背村居民</w:t>
                  </w:r>
                </w:p>
              </w:tc>
              <w:tc>
                <w:tcPr>
                  <w:tcW w:w="850" w:type="dxa"/>
                  <w:vAlign w:val="center"/>
                </w:tcPr>
                <w:p>
                  <w:pPr>
                    <w:jc w:val="center"/>
                    <w:rPr>
                      <w:rFonts w:hint="eastAsia" w:eastAsia="宋体" w:cs="Times New Roman"/>
                      <w:szCs w:val="21"/>
                      <w:lang w:eastAsia="zh-CN"/>
                    </w:rPr>
                  </w:pPr>
                  <w:r>
                    <w:rPr>
                      <w:rFonts w:hint="eastAsia" w:cs="Times New Roman"/>
                      <w:szCs w:val="21"/>
                      <w:lang w:val="en-US" w:eastAsia="zh-CN"/>
                    </w:rPr>
                    <w:t>两侧</w:t>
                  </w:r>
                </w:p>
              </w:tc>
              <w:tc>
                <w:tcPr>
                  <w:tcW w:w="1276" w:type="dxa"/>
                  <w:vAlign w:val="center"/>
                </w:tcPr>
                <w:p>
                  <w:pPr>
                    <w:jc w:val="center"/>
                    <w:rPr>
                      <w:rFonts w:cs="Times New Roman"/>
                      <w:szCs w:val="21"/>
                    </w:rPr>
                  </w:pPr>
                  <w:r>
                    <w:rPr>
                      <w:rFonts w:hint="eastAsia" w:cs="Times New Roman"/>
                      <w:szCs w:val="21"/>
                      <w:lang w:val="en-US" w:eastAsia="zh-CN"/>
                    </w:rPr>
                    <w:t>紧邻~500</w:t>
                  </w:r>
                  <w:r>
                    <w:rPr>
                      <w:rFonts w:cs="Times New Roman"/>
                      <w:szCs w:val="21"/>
                    </w:rPr>
                    <w:t>m</w:t>
                  </w:r>
                </w:p>
              </w:tc>
              <w:tc>
                <w:tcPr>
                  <w:tcW w:w="1134" w:type="dxa"/>
                  <w:vAlign w:val="center"/>
                </w:tcPr>
                <w:p>
                  <w:pPr>
                    <w:jc w:val="center"/>
                    <w:rPr>
                      <w:rFonts w:cs="Times New Roman"/>
                      <w:szCs w:val="21"/>
                    </w:rPr>
                  </w:pPr>
                  <w:r>
                    <w:rPr>
                      <w:rFonts w:cs="Times New Roman"/>
                      <w:szCs w:val="21"/>
                    </w:rPr>
                    <w:t>约</w:t>
                  </w:r>
                  <w:r>
                    <w:rPr>
                      <w:rFonts w:hint="eastAsia" w:cs="Times New Roman"/>
                      <w:szCs w:val="21"/>
                      <w:lang w:val="en-US" w:eastAsia="zh-CN"/>
                    </w:rPr>
                    <w:t>55</w:t>
                  </w:r>
                  <w:r>
                    <w:rPr>
                      <w:rFonts w:cs="Times New Roman"/>
                      <w:szCs w:val="21"/>
                    </w:rPr>
                    <w:t>户</w:t>
                  </w:r>
                </w:p>
              </w:tc>
              <w:tc>
                <w:tcPr>
                  <w:tcW w:w="709" w:type="dxa"/>
                  <w:vAlign w:val="center"/>
                </w:tcPr>
                <w:p>
                  <w:pPr>
                    <w:jc w:val="center"/>
                    <w:rPr>
                      <w:rFonts w:cs="Times New Roman"/>
                      <w:szCs w:val="21"/>
                    </w:rPr>
                  </w:pPr>
                  <w:r>
                    <w:rPr>
                      <w:rFonts w:cs="Times New Roman"/>
                      <w:szCs w:val="21"/>
                    </w:rPr>
                    <w:t>住宅</w:t>
                  </w:r>
                </w:p>
              </w:tc>
              <w:tc>
                <w:tcPr>
                  <w:tcW w:w="2578" w:type="dxa"/>
                  <w:vAlign w:val="center"/>
                </w:tcPr>
                <w:p>
                  <w:pPr>
                    <w:rPr>
                      <w:rFonts w:cs="Times New Roman"/>
                      <w:szCs w:val="21"/>
                    </w:rPr>
                  </w:pPr>
                  <w:r>
                    <w:rPr>
                      <w:rFonts w:hint="eastAsia" w:cs="Times New Roman"/>
                      <w:szCs w:val="21"/>
                    </w:rPr>
                    <w:t>《环境空气质量标准》（GB3095-2012）二级标准</w:t>
                  </w:r>
                </w:p>
              </w:tc>
            </w:tr>
          </w:tbl>
          <w:p>
            <w:pPr>
              <w:spacing w:line="360" w:lineRule="auto"/>
              <w:ind w:firstLine="361" w:firstLineChars="150"/>
              <w:rPr>
                <w:rFonts w:cs="Times New Roman"/>
                <w:b/>
                <w:sz w:val="24"/>
                <w:szCs w:val="24"/>
              </w:rPr>
            </w:pPr>
            <w:r>
              <w:rPr>
                <w:rFonts w:hint="eastAsia" w:cs="Times New Roman"/>
                <w:b/>
                <w:sz w:val="24"/>
                <w:szCs w:val="24"/>
              </w:rPr>
              <w:t>（</w:t>
            </w:r>
            <w:r>
              <w:rPr>
                <w:rFonts w:cs="Times New Roman"/>
                <w:b/>
                <w:sz w:val="24"/>
                <w:szCs w:val="24"/>
              </w:rPr>
              <w:t>2</w:t>
            </w:r>
            <w:r>
              <w:rPr>
                <w:rFonts w:hint="eastAsia" w:cs="Times New Roman"/>
                <w:b/>
                <w:sz w:val="24"/>
                <w:szCs w:val="24"/>
              </w:rPr>
              <w:t>）声</w:t>
            </w:r>
            <w:r>
              <w:rPr>
                <w:rFonts w:cs="Times New Roman"/>
                <w:b/>
                <w:sz w:val="24"/>
                <w:szCs w:val="24"/>
              </w:rPr>
              <w:t>环境</w:t>
            </w:r>
          </w:p>
          <w:p>
            <w:pPr>
              <w:spacing w:line="360" w:lineRule="auto"/>
              <w:ind w:firstLine="480" w:firstLineChars="200"/>
              <w:rPr>
                <w:rFonts w:cs="Times New Roman"/>
                <w:sz w:val="24"/>
                <w:szCs w:val="24"/>
              </w:rPr>
            </w:pPr>
            <w:r>
              <w:rPr>
                <w:rFonts w:cs="Times New Roman"/>
                <w:sz w:val="24"/>
                <w:szCs w:val="24"/>
              </w:rPr>
              <w:t>本项目厂界外50m范围内无声环境环境保护目标</w:t>
            </w:r>
            <w:r>
              <w:rPr>
                <w:rFonts w:hint="eastAsia" w:cs="Times New Roman"/>
                <w:sz w:val="24"/>
                <w:szCs w:val="24"/>
              </w:rPr>
              <w:t>。</w:t>
            </w:r>
          </w:p>
          <w:p>
            <w:pPr>
              <w:spacing w:line="360" w:lineRule="auto"/>
              <w:ind w:firstLine="361" w:firstLineChars="150"/>
              <w:rPr>
                <w:rFonts w:cs="Times New Roman"/>
                <w:b/>
                <w:sz w:val="24"/>
                <w:szCs w:val="24"/>
              </w:rPr>
            </w:pPr>
            <w:r>
              <w:rPr>
                <w:rFonts w:hint="eastAsia" w:cs="Times New Roman"/>
                <w:b/>
                <w:sz w:val="24"/>
                <w:szCs w:val="24"/>
              </w:rPr>
              <w:t>（</w:t>
            </w:r>
            <w:r>
              <w:rPr>
                <w:rFonts w:cs="Times New Roman"/>
                <w:b/>
                <w:sz w:val="24"/>
                <w:szCs w:val="24"/>
              </w:rPr>
              <w:t>3</w:t>
            </w:r>
            <w:r>
              <w:rPr>
                <w:rFonts w:hint="eastAsia" w:cs="Times New Roman"/>
                <w:b/>
                <w:sz w:val="24"/>
                <w:szCs w:val="24"/>
              </w:rPr>
              <w:t>）地下水</w:t>
            </w:r>
            <w:r>
              <w:rPr>
                <w:rFonts w:cs="Times New Roman"/>
                <w:b/>
                <w:sz w:val="24"/>
                <w:szCs w:val="24"/>
              </w:rPr>
              <w:t>环境</w:t>
            </w:r>
          </w:p>
          <w:p>
            <w:pPr>
              <w:spacing w:line="360" w:lineRule="auto"/>
              <w:ind w:firstLine="480" w:firstLineChars="200"/>
              <w:rPr>
                <w:rFonts w:cs="Times New Roman"/>
                <w:sz w:val="24"/>
                <w:szCs w:val="24"/>
              </w:rPr>
            </w:pPr>
            <w:r>
              <w:rPr>
                <w:rFonts w:cs="Times New Roman"/>
                <w:sz w:val="24"/>
                <w:szCs w:val="24"/>
              </w:rPr>
              <w:t>本项目厂界外500m范围内无地下水集中式饮用水水源和热水</w:t>
            </w:r>
            <w:r>
              <w:rPr>
                <w:rFonts w:hint="eastAsia" w:cs="Times New Roman"/>
                <w:sz w:val="24"/>
                <w:szCs w:val="24"/>
              </w:rPr>
              <w:t>、矿泉水、温泉等特殊地下水资源。</w:t>
            </w:r>
          </w:p>
          <w:p>
            <w:pPr>
              <w:spacing w:line="360" w:lineRule="auto"/>
              <w:ind w:firstLine="361" w:firstLineChars="150"/>
              <w:rPr>
                <w:rFonts w:cs="Times New Roman"/>
                <w:b/>
                <w:sz w:val="24"/>
                <w:szCs w:val="24"/>
              </w:rPr>
            </w:pPr>
            <w:r>
              <w:rPr>
                <w:rFonts w:hint="eastAsia" w:cs="Times New Roman"/>
                <w:b/>
                <w:sz w:val="24"/>
                <w:szCs w:val="24"/>
              </w:rPr>
              <w:t>（</w:t>
            </w:r>
            <w:r>
              <w:rPr>
                <w:rFonts w:cs="Times New Roman"/>
                <w:b/>
                <w:sz w:val="24"/>
                <w:szCs w:val="24"/>
              </w:rPr>
              <w:t>4</w:t>
            </w:r>
            <w:r>
              <w:rPr>
                <w:rFonts w:hint="eastAsia" w:cs="Times New Roman"/>
                <w:b/>
                <w:sz w:val="24"/>
                <w:szCs w:val="24"/>
              </w:rPr>
              <w:t>）生态</w:t>
            </w:r>
            <w:r>
              <w:rPr>
                <w:rFonts w:cs="Times New Roman"/>
                <w:b/>
                <w:sz w:val="24"/>
                <w:szCs w:val="24"/>
              </w:rPr>
              <w:t>环境</w:t>
            </w:r>
          </w:p>
          <w:p>
            <w:pPr>
              <w:spacing w:line="360" w:lineRule="auto"/>
              <w:ind w:firstLine="480" w:firstLineChars="200"/>
              <w:rPr>
                <w:rFonts w:cs="Times New Roman"/>
                <w:b/>
                <w:sz w:val="24"/>
                <w:szCs w:val="24"/>
              </w:rPr>
            </w:pPr>
            <w:r>
              <w:rPr>
                <w:rFonts w:cs="Times New Roman"/>
                <w:sz w:val="24"/>
                <w:szCs w:val="24"/>
              </w:rPr>
              <w:t>本项目用地</w:t>
            </w:r>
            <w:r>
              <w:rPr>
                <w:rFonts w:hint="eastAsia" w:cs="Times New Roman"/>
                <w:sz w:val="24"/>
                <w:szCs w:val="24"/>
              </w:rPr>
              <w:t>范围内</w:t>
            </w:r>
            <w:r>
              <w:rPr>
                <w:rFonts w:cs="Times New Roman"/>
                <w:sz w:val="24"/>
                <w:szCs w:val="24"/>
              </w:rPr>
              <w:t>无生态环境保护目标</w:t>
            </w:r>
            <w:r>
              <w:rPr>
                <w:rFonts w:hint="eastAsia"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56" w:type="dxa"/>
            <w:vAlign w:val="center"/>
          </w:tcPr>
          <w:p>
            <w:pPr>
              <w:spacing w:line="360" w:lineRule="auto"/>
              <w:jc w:val="center"/>
              <w:rPr>
                <w:rFonts w:cs="Times New Roman"/>
                <w:sz w:val="24"/>
                <w:szCs w:val="24"/>
              </w:rPr>
            </w:pPr>
            <w:r>
              <w:rPr>
                <w:rFonts w:hint="eastAsia" w:cs="Times New Roman"/>
                <w:sz w:val="24"/>
                <w:szCs w:val="24"/>
              </w:rPr>
              <w:t>污染物排放控制标准</w:t>
            </w:r>
          </w:p>
        </w:tc>
        <w:tc>
          <w:tcPr>
            <w:tcW w:w="8893" w:type="dxa"/>
            <w:vAlign w:val="center"/>
          </w:tcPr>
          <w:p>
            <w:pPr>
              <w:spacing w:line="360" w:lineRule="auto"/>
              <w:ind w:firstLine="482" w:firstLineChars="200"/>
              <w:rPr>
                <w:rFonts w:cs="Times New Roman"/>
                <w:b/>
                <w:sz w:val="24"/>
                <w:szCs w:val="24"/>
              </w:rPr>
            </w:pPr>
            <w:r>
              <w:rPr>
                <w:rFonts w:cs="Times New Roman"/>
                <w:b/>
                <w:sz w:val="24"/>
                <w:szCs w:val="24"/>
              </w:rPr>
              <w:t>1、废气</w:t>
            </w:r>
          </w:p>
          <w:p>
            <w:pPr>
              <w:spacing w:line="360" w:lineRule="auto"/>
              <w:ind w:firstLine="480" w:firstLineChars="200"/>
              <w:rPr>
                <w:rFonts w:cs="Times New Roman"/>
                <w:sz w:val="24"/>
                <w:szCs w:val="24"/>
              </w:rPr>
            </w:pPr>
            <w:r>
              <w:rPr>
                <w:rFonts w:hint="eastAsia" w:cs="Times New Roman"/>
                <w:sz w:val="24"/>
                <w:szCs w:val="24"/>
              </w:rPr>
              <w:t>施工期执行《四川省施工场地扬尘排放标准》（DB51/2682-2020）表1中排放限值，运营期无废气排放。</w:t>
            </w:r>
          </w:p>
          <w:p>
            <w:pPr>
              <w:spacing w:line="360" w:lineRule="auto"/>
              <w:jc w:val="center"/>
              <w:rPr>
                <w:rFonts w:eastAsia="黑体"/>
                <w:szCs w:val="21"/>
              </w:rPr>
            </w:pPr>
            <w:r>
              <w:rPr>
                <w:rFonts w:eastAsia="黑体"/>
                <w:szCs w:val="21"/>
              </w:rPr>
              <w:t>表3</w:t>
            </w:r>
            <w:r>
              <w:rPr>
                <w:rFonts w:hint="eastAsia" w:eastAsia="黑体"/>
                <w:szCs w:val="21"/>
              </w:rPr>
              <w:t>-</w:t>
            </w:r>
            <w:r>
              <w:rPr>
                <w:rFonts w:eastAsia="黑体"/>
                <w:szCs w:val="21"/>
              </w:rPr>
              <w:t xml:space="preserve">5  </w:t>
            </w:r>
            <w:r>
              <w:rPr>
                <w:rFonts w:hint="eastAsia" w:eastAsia="黑体"/>
                <w:szCs w:val="21"/>
              </w:rPr>
              <w:t>施工扬尘排放标准限值</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758"/>
              <w:gridCol w:w="1985"/>
              <w:gridCol w:w="2734"/>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455" w:type="pct"/>
                  <w:vAlign w:val="center"/>
                </w:tcPr>
                <w:p>
                  <w:pPr>
                    <w:jc w:val="center"/>
                    <w:rPr>
                      <w:rFonts w:cstheme="minorHAnsi"/>
                      <w:szCs w:val="21"/>
                    </w:rPr>
                  </w:pPr>
                  <w:r>
                    <w:rPr>
                      <w:rFonts w:cstheme="minorHAnsi"/>
                      <w:szCs w:val="21"/>
                    </w:rPr>
                    <w:t>序号</w:t>
                  </w:r>
                </w:p>
              </w:tc>
              <w:tc>
                <w:tcPr>
                  <w:tcW w:w="1014" w:type="pct"/>
                  <w:vAlign w:val="center"/>
                </w:tcPr>
                <w:p>
                  <w:pPr>
                    <w:jc w:val="center"/>
                    <w:rPr>
                      <w:rFonts w:cstheme="minorHAnsi"/>
                      <w:szCs w:val="21"/>
                    </w:rPr>
                  </w:pPr>
                  <w:r>
                    <w:rPr>
                      <w:rFonts w:cstheme="minorHAnsi"/>
                      <w:szCs w:val="21"/>
                    </w:rPr>
                    <w:t>污染物</w:t>
                  </w:r>
                </w:p>
              </w:tc>
              <w:tc>
                <w:tcPr>
                  <w:tcW w:w="1145" w:type="pct"/>
                  <w:vAlign w:val="center"/>
                </w:tcPr>
                <w:p>
                  <w:pPr>
                    <w:jc w:val="center"/>
                    <w:rPr>
                      <w:rFonts w:cstheme="minorHAnsi"/>
                      <w:szCs w:val="21"/>
                    </w:rPr>
                  </w:pPr>
                  <w:r>
                    <w:rPr>
                      <w:rFonts w:hint="eastAsia" w:cstheme="minorHAnsi"/>
                      <w:szCs w:val="21"/>
                    </w:rPr>
                    <w:t>施工阶段</w:t>
                  </w:r>
                </w:p>
              </w:tc>
              <w:tc>
                <w:tcPr>
                  <w:tcW w:w="1577" w:type="pct"/>
                  <w:vAlign w:val="center"/>
                </w:tcPr>
                <w:p>
                  <w:pPr>
                    <w:jc w:val="center"/>
                    <w:rPr>
                      <w:rFonts w:cstheme="minorHAnsi"/>
                      <w:szCs w:val="21"/>
                    </w:rPr>
                  </w:pPr>
                  <w:r>
                    <w:rPr>
                      <w:rFonts w:hint="eastAsia" w:cstheme="minorHAnsi"/>
                      <w:szCs w:val="21"/>
                    </w:rPr>
                    <w:t>监测点</w:t>
                  </w:r>
                  <w:r>
                    <w:rPr>
                      <w:rFonts w:cstheme="minorHAnsi"/>
                      <w:szCs w:val="21"/>
                    </w:rPr>
                    <w:t>排放限值</w:t>
                  </w:r>
                  <w:r>
                    <w:rPr>
                      <w:rFonts w:hint="eastAsia" w:cstheme="minorHAnsi"/>
                      <w:szCs w:val="21"/>
                    </w:rPr>
                    <w:t>（</w:t>
                  </w:r>
                  <w:r>
                    <w:rPr>
                      <w:rFonts w:cstheme="minorHAnsi"/>
                      <w:szCs w:val="21"/>
                    </w:rPr>
                    <w:t>m</w:t>
                  </w:r>
                  <w:r>
                    <w:rPr>
                      <w:rFonts w:hint="eastAsia" w:cstheme="minorHAnsi"/>
                      <w:szCs w:val="21"/>
                    </w:rPr>
                    <w:t>g</w:t>
                  </w:r>
                  <w:r>
                    <w:rPr>
                      <w:rFonts w:cstheme="minorHAnsi"/>
                      <w:szCs w:val="21"/>
                    </w:rPr>
                    <w:t>/m</w:t>
                  </w:r>
                  <w:r>
                    <w:rPr>
                      <w:rFonts w:cstheme="minorHAnsi"/>
                      <w:szCs w:val="21"/>
                      <w:vertAlign w:val="superscript"/>
                    </w:rPr>
                    <w:t>3</w:t>
                  </w:r>
                  <w:r>
                    <w:rPr>
                      <w:rFonts w:cstheme="minorHAnsi"/>
                      <w:szCs w:val="21"/>
                    </w:rPr>
                    <w:t>）</w:t>
                  </w:r>
                </w:p>
              </w:tc>
              <w:tc>
                <w:tcPr>
                  <w:tcW w:w="809" w:type="pct"/>
                  <w:vAlign w:val="center"/>
                </w:tcPr>
                <w:p>
                  <w:pPr>
                    <w:jc w:val="center"/>
                    <w:rPr>
                      <w:rFonts w:cstheme="minorHAnsi"/>
                      <w:szCs w:val="21"/>
                    </w:rPr>
                  </w:pPr>
                  <w:r>
                    <w:rPr>
                      <w:rFonts w:hint="eastAsia" w:cstheme="minorHAnsi"/>
                      <w:szCs w:val="21"/>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restart"/>
                  <w:vAlign w:val="center"/>
                </w:tcPr>
                <w:p>
                  <w:pPr>
                    <w:jc w:val="center"/>
                    <w:rPr>
                      <w:rFonts w:cstheme="minorHAnsi"/>
                      <w:szCs w:val="21"/>
                    </w:rPr>
                  </w:pPr>
                  <w:r>
                    <w:rPr>
                      <w:rFonts w:hint="eastAsia" w:cstheme="minorHAnsi"/>
                      <w:szCs w:val="21"/>
                    </w:rPr>
                    <w:t>1</w:t>
                  </w:r>
                </w:p>
              </w:tc>
              <w:tc>
                <w:tcPr>
                  <w:tcW w:w="1014" w:type="pct"/>
                  <w:vMerge w:val="restart"/>
                  <w:vAlign w:val="center"/>
                </w:tcPr>
                <w:p>
                  <w:pPr>
                    <w:jc w:val="center"/>
                    <w:rPr>
                      <w:rFonts w:cstheme="minorHAnsi"/>
                      <w:szCs w:val="21"/>
                    </w:rPr>
                  </w:pPr>
                  <w:r>
                    <w:rPr>
                      <w:rFonts w:hint="eastAsia" w:cstheme="minorHAnsi"/>
                      <w:szCs w:val="21"/>
                    </w:rPr>
                    <w:t>总悬浮颗粒物</w:t>
                  </w:r>
                  <w:r>
                    <w:rPr>
                      <w:rFonts w:cstheme="minorHAnsi"/>
                      <w:szCs w:val="21"/>
                    </w:rPr>
                    <w:t>（TSP）</w:t>
                  </w:r>
                </w:p>
              </w:tc>
              <w:tc>
                <w:tcPr>
                  <w:tcW w:w="1145" w:type="pct"/>
                  <w:vAlign w:val="center"/>
                </w:tcPr>
                <w:p>
                  <w:pPr>
                    <w:jc w:val="center"/>
                    <w:rPr>
                      <w:rFonts w:cstheme="minorHAnsi"/>
                      <w:szCs w:val="21"/>
                    </w:rPr>
                  </w:pPr>
                  <w:r>
                    <w:rPr>
                      <w:rFonts w:hint="eastAsia" w:cstheme="minorHAnsi"/>
                      <w:szCs w:val="21"/>
                    </w:rPr>
                    <w:t>拆除</w:t>
                  </w:r>
                  <w:r>
                    <w:rPr>
                      <w:rFonts w:cstheme="minorHAnsi"/>
                      <w:szCs w:val="21"/>
                    </w:rPr>
                    <w:t>过程</w:t>
                  </w:r>
                  <w:r>
                    <w:rPr>
                      <w:rFonts w:hint="eastAsia" w:cstheme="minorHAnsi"/>
                      <w:szCs w:val="21"/>
                    </w:rPr>
                    <w:t>/土方开挖/土方</w:t>
                  </w:r>
                  <w:r>
                    <w:rPr>
                      <w:rFonts w:cstheme="minorHAnsi"/>
                      <w:szCs w:val="21"/>
                    </w:rPr>
                    <w:t>回填阶段</w:t>
                  </w:r>
                </w:p>
              </w:tc>
              <w:tc>
                <w:tcPr>
                  <w:tcW w:w="1577" w:type="pct"/>
                  <w:vAlign w:val="center"/>
                </w:tcPr>
                <w:p>
                  <w:pPr>
                    <w:jc w:val="center"/>
                    <w:rPr>
                      <w:rFonts w:cstheme="minorHAnsi"/>
                      <w:szCs w:val="21"/>
                    </w:rPr>
                  </w:pPr>
                  <w:r>
                    <w:rPr>
                      <w:rFonts w:hint="eastAsia" w:cstheme="minorHAnsi"/>
                      <w:szCs w:val="21"/>
                    </w:rPr>
                    <w:t>0</w:t>
                  </w:r>
                  <w:r>
                    <w:rPr>
                      <w:rFonts w:cstheme="minorHAnsi"/>
                      <w:szCs w:val="21"/>
                    </w:rPr>
                    <w:t>.600</w:t>
                  </w:r>
                </w:p>
              </w:tc>
              <w:tc>
                <w:tcPr>
                  <w:tcW w:w="809" w:type="pct"/>
                  <w:vMerge w:val="restart"/>
                  <w:vAlign w:val="center"/>
                </w:tcPr>
                <w:p>
                  <w:pPr>
                    <w:jc w:val="center"/>
                    <w:rPr>
                      <w:rFonts w:cstheme="minorHAnsi"/>
                      <w:szCs w:val="21"/>
                    </w:rPr>
                  </w:pPr>
                  <w:r>
                    <w:rPr>
                      <w:rFonts w:hint="eastAsia" w:cstheme="minorHAnsi"/>
                      <w:szCs w:val="21"/>
                    </w:rPr>
                    <w:t>自监测起持续15min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vAlign w:val="center"/>
                </w:tcPr>
                <w:p>
                  <w:pPr>
                    <w:jc w:val="center"/>
                    <w:rPr>
                      <w:rFonts w:cstheme="minorHAnsi"/>
                      <w:szCs w:val="21"/>
                    </w:rPr>
                  </w:pPr>
                </w:p>
              </w:tc>
              <w:tc>
                <w:tcPr>
                  <w:tcW w:w="1014" w:type="pct"/>
                  <w:vMerge w:val="continue"/>
                  <w:vAlign w:val="center"/>
                </w:tcPr>
                <w:p>
                  <w:pPr>
                    <w:jc w:val="center"/>
                    <w:rPr>
                      <w:rFonts w:cstheme="minorHAnsi"/>
                      <w:szCs w:val="21"/>
                    </w:rPr>
                  </w:pPr>
                </w:p>
              </w:tc>
              <w:tc>
                <w:tcPr>
                  <w:tcW w:w="1145" w:type="pct"/>
                  <w:vAlign w:val="center"/>
                </w:tcPr>
                <w:p>
                  <w:pPr>
                    <w:jc w:val="center"/>
                    <w:rPr>
                      <w:rFonts w:cstheme="minorHAnsi"/>
                      <w:szCs w:val="21"/>
                    </w:rPr>
                  </w:pPr>
                  <w:r>
                    <w:rPr>
                      <w:rFonts w:hint="eastAsia" w:cstheme="minorHAnsi"/>
                      <w:szCs w:val="21"/>
                    </w:rPr>
                    <w:t>其他工</w:t>
                  </w:r>
                  <w:r>
                    <w:rPr>
                      <w:rFonts w:cstheme="minorHAnsi"/>
                      <w:szCs w:val="21"/>
                    </w:rPr>
                    <w:t>程阶段</w:t>
                  </w:r>
                </w:p>
              </w:tc>
              <w:tc>
                <w:tcPr>
                  <w:tcW w:w="1577" w:type="pct"/>
                  <w:vAlign w:val="center"/>
                </w:tcPr>
                <w:p>
                  <w:pPr>
                    <w:jc w:val="center"/>
                    <w:rPr>
                      <w:rFonts w:cstheme="minorHAnsi"/>
                      <w:szCs w:val="21"/>
                    </w:rPr>
                  </w:pPr>
                  <w:r>
                    <w:rPr>
                      <w:rFonts w:hint="eastAsia" w:cstheme="minorHAnsi"/>
                      <w:szCs w:val="21"/>
                    </w:rPr>
                    <w:t>0.250</w:t>
                  </w:r>
                </w:p>
              </w:tc>
              <w:tc>
                <w:tcPr>
                  <w:tcW w:w="809" w:type="pct"/>
                  <w:vMerge w:val="continue"/>
                  <w:vAlign w:val="center"/>
                </w:tcPr>
                <w:p>
                  <w:pPr>
                    <w:jc w:val="center"/>
                    <w:rPr>
                      <w:rFonts w:cstheme="minorHAnsi"/>
                      <w:szCs w:val="21"/>
                    </w:rPr>
                  </w:pPr>
                </w:p>
              </w:tc>
            </w:tr>
          </w:tbl>
          <w:p>
            <w:pPr>
              <w:spacing w:line="360" w:lineRule="auto"/>
              <w:ind w:firstLine="482" w:firstLineChars="200"/>
              <w:rPr>
                <w:rFonts w:cs="Times New Roman"/>
                <w:b/>
                <w:sz w:val="24"/>
                <w:szCs w:val="24"/>
              </w:rPr>
            </w:pPr>
            <w:r>
              <w:rPr>
                <w:rFonts w:cs="Times New Roman"/>
                <w:b/>
                <w:sz w:val="24"/>
                <w:szCs w:val="24"/>
              </w:rPr>
              <w:t>2、废</w:t>
            </w:r>
            <w:r>
              <w:rPr>
                <w:rFonts w:hint="eastAsia" w:cs="Times New Roman"/>
                <w:b/>
                <w:sz w:val="24"/>
                <w:szCs w:val="24"/>
              </w:rPr>
              <w:t>水</w:t>
            </w:r>
          </w:p>
          <w:p>
            <w:pPr>
              <w:spacing w:line="360" w:lineRule="auto"/>
              <w:ind w:firstLine="480" w:firstLineChars="200"/>
              <w:rPr>
                <w:rFonts w:cs="Times New Roman"/>
                <w:sz w:val="24"/>
                <w:szCs w:val="24"/>
              </w:rPr>
            </w:pPr>
            <w:r>
              <w:rPr>
                <w:rFonts w:hint="eastAsia" w:cs="Times New Roman"/>
                <w:sz w:val="24"/>
                <w:szCs w:val="24"/>
              </w:rPr>
              <w:t>执行《污水综合排放标准》（GB8978-1996）三级标准，NH</w:t>
            </w:r>
            <w:r>
              <w:rPr>
                <w:rFonts w:hint="eastAsia" w:cs="Times New Roman"/>
                <w:sz w:val="24"/>
                <w:szCs w:val="24"/>
                <w:vertAlign w:val="subscript"/>
              </w:rPr>
              <w:t>3</w:t>
            </w:r>
            <w:r>
              <w:rPr>
                <w:rFonts w:hint="eastAsia" w:cs="Times New Roman"/>
                <w:sz w:val="24"/>
                <w:szCs w:val="24"/>
              </w:rPr>
              <w:t>-N、TP参照《污水排入城镇下水道水质标准》（GB/T31962-2015）</w:t>
            </w:r>
            <w:r>
              <w:rPr>
                <w:rFonts w:hint="eastAsia"/>
                <w:kern w:val="24"/>
                <w:sz w:val="24"/>
                <w:szCs w:val="24"/>
              </w:rPr>
              <w:t>表1中B级标准</w:t>
            </w:r>
            <w:r>
              <w:rPr>
                <w:rFonts w:hint="eastAsia" w:cs="Times New Roman"/>
                <w:sz w:val="24"/>
                <w:szCs w:val="24"/>
              </w:rPr>
              <w:t>。</w:t>
            </w:r>
          </w:p>
          <w:p>
            <w:pPr>
              <w:spacing w:line="360" w:lineRule="auto"/>
              <w:jc w:val="center"/>
              <w:rPr>
                <w:rFonts w:eastAsia="黑体" w:cstheme="minorHAnsi"/>
                <w:szCs w:val="21"/>
              </w:rPr>
            </w:pPr>
            <w:r>
              <w:rPr>
                <w:rFonts w:eastAsia="黑体" w:cstheme="minorHAnsi"/>
                <w:szCs w:val="21"/>
              </w:rPr>
              <w:t>表3</w:t>
            </w:r>
            <w:r>
              <w:rPr>
                <w:rFonts w:hint="eastAsia" w:eastAsia="黑体" w:cstheme="minorHAnsi"/>
                <w:szCs w:val="21"/>
              </w:rPr>
              <w:t>-</w:t>
            </w:r>
            <w:r>
              <w:rPr>
                <w:rFonts w:eastAsia="黑体" w:cstheme="minorHAnsi"/>
                <w:szCs w:val="21"/>
              </w:rPr>
              <w:t>6  水污染物排放标准限值</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9"/>
              <w:gridCol w:w="1091"/>
              <w:gridCol w:w="1091"/>
              <w:gridCol w:w="1092"/>
              <w:gridCol w:w="1091"/>
              <w:gridCol w:w="1091"/>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pct"/>
                  <w:shd w:val="clear" w:color="auto" w:fill="auto"/>
                  <w:vAlign w:val="center"/>
                </w:tcPr>
                <w:p>
                  <w:pPr>
                    <w:jc w:val="center"/>
                    <w:rPr>
                      <w:szCs w:val="21"/>
                    </w:rPr>
                  </w:pPr>
                  <w:r>
                    <w:rPr>
                      <w:szCs w:val="21"/>
                    </w:rPr>
                    <w:t>项目</w:t>
                  </w:r>
                </w:p>
              </w:tc>
              <w:tc>
                <w:tcPr>
                  <w:tcW w:w="629" w:type="pct"/>
                  <w:shd w:val="clear" w:color="auto" w:fill="auto"/>
                  <w:vAlign w:val="center"/>
                </w:tcPr>
                <w:p>
                  <w:pPr>
                    <w:jc w:val="center"/>
                    <w:rPr>
                      <w:szCs w:val="21"/>
                    </w:rPr>
                  </w:pPr>
                  <w:r>
                    <w:rPr>
                      <w:szCs w:val="21"/>
                    </w:rPr>
                    <w:t>pH</w:t>
                  </w:r>
                </w:p>
              </w:tc>
              <w:tc>
                <w:tcPr>
                  <w:tcW w:w="629" w:type="pct"/>
                  <w:shd w:val="clear" w:color="auto" w:fill="auto"/>
                  <w:vAlign w:val="center"/>
                </w:tcPr>
                <w:p>
                  <w:pPr>
                    <w:jc w:val="center"/>
                    <w:rPr>
                      <w:szCs w:val="21"/>
                    </w:rPr>
                  </w:pPr>
                  <w:r>
                    <w:rPr>
                      <w:szCs w:val="21"/>
                    </w:rPr>
                    <w:t>COD</w:t>
                  </w:r>
                </w:p>
              </w:tc>
              <w:tc>
                <w:tcPr>
                  <w:tcW w:w="630" w:type="pct"/>
                  <w:shd w:val="clear" w:color="auto" w:fill="auto"/>
                  <w:vAlign w:val="center"/>
                </w:tcPr>
                <w:p>
                  <w:pPr>
                    <w:jc w:val="center"/>
                    <w:rPr>
                      <w:szCs w:val="21"/>
                    </w:rPr>
                  </w:pPr>
                  <w:r>
                    <w:rPr>
                      <w:szCs w:val="21"/>
                    </w:rPr>
                    <w:t>BOD</w:t>
                  </w:r>
                  <w:r>
                    <w:rPr>
                      <w:szCs w:val="21"/>
                      <w:vertAlign w:val="subscript"/>
                    </w:rPr>
                    <w:t>5</w:t>
                  </w:r>
                </w:p>
              </w:tc>
              <w:tc>
                <w:tcPr>
                  <w:tcW w:w="629" w:type="pct"/>
                  <w:shd w:val="clear" w:color="auto" w:fill="auto"/>
                  <w:vAlign w:val="center"/>
                </w:tcPr>
                <w:p>
                  <w:pPr>
                    <w:jc w:val="center"/>
                    <w:rPr>
                      <w:szCs w:val="21"/>
                    </w:rPr>
                  </w:pPr>
                  <w:r>
                    <w:rPr>
                      <w:szCs w:val="21"/>
                    </w:rPr>
                    <w:t>SS</w:t>
                  </w:r>
                </w:p>
              </w:tc>
              <w:tc>
                <w:tcPr>
                  <w:tcW w:w="629" w:type="pct"/>
                  <w:vAlign w:val="center"/>
                </w:tcPr>
                <w:p>
                  <w:pPr>
                    <w:jc w:val="center"/>
                    <w:rPr>
                      <w:szCs w:val="21"/>
                    </w:rPr>
                  </w:pPr>
                  <w:r>
                    <w:rPr>
                      <w:szCs w:val="21"/>
                    </w:rPr>
                    <w:t>NH</w:t>
                  </w:r>
                  <w:r>
                    <w:rPr>
                      <w:szCs w:val="21"/>
                      <w:vertAlign w:val="subscript"/>
                    </w:rPr>
                    <w:t>3</w:t>
                  </w:r>
                  <w:r>
                    <w:rPr>
                      <w:szCs w:val="21"/>
                    </w:rPr>
                    <w:t>-N</w:t>
                  </w:r>
                </w:p>
              </w:tc>
              <w:tc>
                <w:tcPr>
                  <w:tcW w:w="630" w:type="pct"/>
                  <w:vAlign w:val="center"/>
                </w:tcPr>
                <w:p>
                  <w:pPr>
                    <w:jc w:val="center"/>
                    <w:rPr>
                      <w:szCs w:val="21"/>
                    </w:rPr>
                  </w:pPr>
                  <w:r>
                    <w:rPr>
                      <w:rFonts w:hint="eastAsia"/>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22" w:type="pct"/>
                  <w:shd w:val="clear" w:color="auto" w:fill="auto"/>
                  <w:vAlign w:val="center"/>
                </w:tcPr>
                <w:p>
                  <w:pPr>
                    <w:jc w:val="center"/>
                    <w:rPr>
                      <w:szCs w:val="21"/>
                    </w:rPr>
                  </w:pPr>
                  <w:r>
                    <w:rPr>
                      <w:rFonts w:hint="eastAsia"/>
                      <w:szCs w:val="21"/>
                    </w:rPr>
                    <w:t>标准</w:t>
                  </w:r>
                  <w:r>
                    <w:rPr>
                      <w:szCs w:val="21"/>
                    </w:rPr>
                    <w:t>限值</w:t>
                  </w:r>
                  <w:r>
                    <w:rPr>
                      <w:rFonts w:hint="eastAsia"/>
                      <w:szCs w:val="21"/>
                    </w:rPr>
                    <w:t>（mg/</w:t>
                  </w:r>
                  <w:r>
                    <w:rPr>
                      <w:szCs w:val="21"/>
                    </w:rPr>
                    <w:t>L）</w:t>
                  </w:r>
                </w:p>
              </w:tc>
              <w:tc>
                <w:tcPr>
                  <w:tcW w:w="629" w:type="pct"/>
                  <w:shd w:val="clear" w:color="auto" w:fill="auto"/>
                  <w:vAlign w:val="center"/>
                </w:tcPr>
                <w:p>
                  <w:pPr>
                    <w:jc w:val="center"/>
                    <w:rPr>
                      <w:szCs w:val="21"/>
                    </w:rPr>
                  </w:pPr>
                  <w:r>
                    <w:rPr>
                      <w:szCs w:val="21"/>
                    </w:rPr>
                    <w:t>6~9</w:t>
                  </w:r>
                </w:p>
              </w:tc>
              <w:tc>
                <w:tcPr>
                  <w:tcW w:w="629" w:type="pct"/>
                  <w:shd w:val="clear" w:color="auto" w:fill="auto"/>
                  <w:vAlign w:val="center"/>
                </w:tcPr>
                <w:p>
                  <w:pPr>
                    <w:jc w:val="center"/>
                    <w:rPr>
                      <w:szCs w:val="21"/>
                    </w:rPr>
                  </w:pPr>
                  <w:r>
                    <w:rPr>
                      <w:szCs w:val="21"/>
                    </w:rPr>
                    <w:t>500</w:t>
                  </w:r>
                </w:p>
              </w:tc>
              <w:tc>
                <w:tcPr>
                  <w:tcW w:w="630" w:type="pct"/>
                  <w:shd w:val="clear" w:color="auto" w:fill="auto"/>
                  <w:vAlign w:val="center"/>
                </w:tcPr>
                <w:p>
                  <w:pPr>
                    <w:jc w:val="center"/>
                    <w:rPr>
                      <w:szCs w:val="21"/>
                    </w:rPr>
                  </w:pPr>
                  <w:r>
                    <w:rPr>
                      <w:szCs w:val="21"/>
                    </w:rPr>
                    <w:t>300</w:t>
                  </w:r>
                </w:p>
              </w:tc>
              <w:tc>
                <w:tcPr>
                  <w:tcW w:w="629" w:type="pct"/>
                  <w:shd w:val="clear" w:color="auto" w:fill="auto"/>
                  <w:vAlign w:val="center"/>
                </w:tcPr>
                <w:p>
                  <w:pPr>
                    <w:jc w:val="center"/>
                    <w:rPr>
                      <w:szCs w:val="21"/>
                    </w:rPr>
                  </w:pPr>
                  <w:r>
                    <w:rPr>
                      <w:szCs w:val="21"/>
                    </w:rPr>
                    <w:t>400</w:t>
                  </w:r>
                </w:p>
              </w:tc>
              <w:tc>
                <w:tcPr>
                  <w:tcW w:w="629" w:type="pct"/>
                  <w:vAlign w:val="center"/>
                </w:tcPr>
                <w:p>
                  <w:pPr>
                    <w:jc w:val="center"/>
                    <w:rPr>
                      <w:szCs w:val="21"/>
                    </w:rPr>
                  </w:pPr>
                  <w:r>
                    <w:rPr>
                      <w:szCs w:val="21"/>
                    </w:rPr>
                    <w:t>45</w:t>
                  </w:r>
                </w:p>
              </w:tc>
              <w:tc>
                <w:tcPr>
                  <w:tcW w:w="630" w:type="pct"/>
                  <w:vAlign w:val="center"/>
                </w:tcPr>
                <w:p>
                  <w:pPr>
                    <w:jc w:val="center"/>
                    <w:rPr>
                      <w:szCs w:val="21"/>
                    </w:rPr>
                  </w:pPr>
                  <w:r>
                    <w:rPr>
                      <w:szCs w:val="21"/>
                    </w:rPr>
                    <w:t>8</w:t>
                  </w:r>
                </w:p>
              </w:tc>
            </w:tr>
          </w:tbl>
          <w:p>
            <w:pPr>
              <w:spacing w:line="360" w:lineRule="auto"/>
              <w:ind w:firstLine="482" w:firstLineChars="200"/>
              <w:rPr>
                <w:rFonts w:cs="Times New Roman"/>
                <w:b/>
                <w:sz w:val="24"/>
                <w:szCs w:val="24"/>
              </w:rPr>
            </w:pPr>
            <w:r>
              <w:rPr>
                <w:rFonts w:cs="Times New Roman"/>
                <w:b/>
                <w:sz w:val="24"/>
                <w:szCs w:val="24"/>
              </w:rPr>
              <w:t>3、</w:t>
            </w:r>
            <w:r>
              <w:rPr>
                <w:rFonts w:hint="eastAsia" w:cs="Times New Roman"/>
                <w:b/>
                <w:sz w:val="24"/>
                <w:szCs w:val="24"/>
              </w:rPr>
              <w:t>噪声</w:t>
            </w:r>
          </w:p>
          <w:p>
            <w:pPr>
              <w:spacing w:line="360" w:lineRule="auto"/>
              <w:ind w:firstLine="480" w:firstLineChars="200"/>
              <w:rPr>
                <w:rFonts w:cs="Times New Roman"/>
                <w:sz w:val="24"/>
                <w:szCs w:val="24"/>
              </w:rPr>
            </w:pPr>
            <w:r>
              <w:rPr>
                <w:rFonts w:hint="eastAsia" w:cs="Times New Roman"/>
                <w:sz w:val="24"/>
                <w:szCs w:val="24"/>
              </w:rPr>
              <w:t>施工期执行《建筑施工场界环境噪声排放标准》（GB12523-2011），运营期执行《工业企业厂界环境噪声排放标准》（GB12348-2008）</w:t>
            </w:r>
            <w:r>
              <w:rPr>
                <w:rFonts w:cs="Times New Roman"/>
                <w:sz w:val="24"/>
                <w:szCs w:val="24"/>
              </w:rPr>
              <w:t>2</w:t>
            </w:r>
            <w:r>
              <w:rPr>
                <w:rFonts w:hint="eastAsia" w:cs="Times New Roman"/>
                <w:sz w:val="24"/>
                <w:szCs w:val="24"/>
              </w:rPr>
              <w:t>类标准。</w:t>
            </w:r>
          </w:p>
          <w:p>
            <w:pPr>
              <w:spacing w:line="360" w:lineRule="auto"/>
              <w:jc w:val="center"/>
              <w:rPr>
                <w:rFonts w:eastAsia="黑体" w:cstheme="minorHAnsi"/>
                <w:szCs w:val="21"/>
              </w:rPr>
            </w:pPr>
            <w:r>
              <w:rPr>
                <w:rFonts w:eastAsia="黑体" w:cstheme="minorHAnsi"/>
                <w:szCs w:val="21"/>
              </w:rPr>
              <w:t>表3</w:t>
            </w:r>
            <w:r>
              <w:rPr>
                <w:rFonts w:hint="eastAsia" w:eastAsia="黑体" w:cstheme="minorHAnsi"/>
                <w:szCs w:val="21"/>
              </w:rPr>
              <w:t>-</w:t>
            </w:r>
            <w:r>
              <w:rPr>
                <w:rFonts w:eastAsia="黑体" w:cstheme="minorHAnsi"/>
                <w:szCs w:val="21"/>
              </w:rPr>
              <w:t xml:space="preserve">7  </w:t>
            </w:r>
            <w:r>
              <w:rPr>
                <w:rFonts w:hint="eastAsia" w:eastAsia="黑体" w:cstheme="minorHAnsi"/>
                <w:szCs w:val="21"/>
              </w:rPr>
              <w:t>噪声排放标准限值</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7"/>
              <w:gridCol w:w="2990"/>
              <w:gridCol w:w="2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0" w:type="pct"/>
                  <w:vMerge w:val="restart"/>
                  <w:shd w:val="clear" w:color="auto" w:fill="auto"/>
                  <w:vAlign w:val="center"/>
                </w:tcPr>
                <w:p>
                  <w:pPr>
                    <w:jc w:val="center"/>
                    <w:rPr>
                      <w:rFonts w:cstheme="minorHAnsi"/>
                      <w:szCs w:val="21"/>
                    </w:rPr>
                  </w:pPr>
                  <w:r>
                    <w:rPr>
                      <w:rFonts w:cstheme="minorHAnsi"/>
                      <w:szCs w:val="21"/>
                    </w:rPr>
                    <w:t>项目</w:t>
                  </w:r>
                </w:p>
              </w:tc>
              <w:tc>
                <w:tcPr>
                  <w:tcW w:w="3450" w:type="pct"/>
                  <w:gridSpan w:val="2"/>
                  <w:shd w:val="clear" w:color="auto" w:fill="auto"/>
                  <w:vAlign w:val="center"/>
                </w:tcPr>
                <w:p>
                  <w:pPr>
                    <w:jc w:val="center"/>
                    <w:rPr>
                      <w:rFonts w:cstheme="minorHAnsi"/>
                      <w:szCs w:val="21"/>
                    </w:rPr>
                  </w:pPr>
                  <w:r>
                    <w:rPr>
                      <w:rFonts w:cstheme="minorHAnsi"/>
                      <w:szCs w:val="21"/>
                    </w:rPr>
                    <w:t>排放限值</w:t>
                  </w:r>
                  <w:r>
                    <w:rPr>
                      <w:rFonts w:eastAsia="仿宋" w:cstheme="minorHAnsi"/>
                      <w:szCs w:val="21"/>
                    </w:rPr>
                    <w:t>[</w:t>
                  </w:r>
                  <w:r>
                    <w:rPr>
                      <w:rFonts w:cstheme="minorHAnsi"/>
                      <w:szCs w:val="21"/>
                    </w:rPr>
                    <w:t>dB（A）</w:t>
                  </w:r>
                  <w:r>
                    <w:rPr>
                      <w:rFonts w:eastAsia="仿宋" w:cstheme="minorHAnsi"/>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0" w:type="pct"/>
                  <w:vMerge w:val="continue"/>
                  <w:shd w:val="clear" w:color="auto" w:fill="auto"/>
                  <w:vAlign w:val="center"/>
                </w:tcPr>
                <w:p>
                  <w:pPr>
                    <w:jc w:val="center"/>
                    <w:rPr>
                      <w:rFonts w:cstheme="minorHAnsi"/>
                      <w:szCs w:val="21"/>
                    </w:rPr>
                  </w:pPr>
                </w:p>
              </w:tc>
              <w:tc>
                <w:tcPr>
                  <w:tcW w:w="1725" w:type="pct"/>
                  <w:shd w:val="clear" w:color="auto" w:fill="auto"/>
                  <w:vAlign w:val="center"/>
                </w:tcPr>
                <w:p>
                  <w:pPr>
                    <w:jc w:val="center"/>
                    <w:rPr>
                      <w:rFonts w:cstheme="minorHAnsi"/>
                      <w:szCs w:val="21"/>
                    </w:rPr>
                  </w:pPr>
                  <w:r>
                    <w:rPr>
                      <w:rFonts w:cstheme="minorHAnsi"/>
                      <w:szCs w:val="21"/>
                    </w:rPr>
                    <w:t>昼间</w:t>
                  </w:r>
                </w:p>
              </w:tc>
              <w:tc>
                <w:tcPr>
                  <w:tcW w:w="1725" w:type="pct"/>
                  <w:shd w:val="clear" w:color="auto" w:fill="auto"/>
                  <w:vAlign w:val="center"/>
                </w:tcPr>
                <w:p>
                  <w:pPr>
                    <w:jc w:val="center"/>
                    <w:rPr>
                      <w:rFonts w:cstheme="minorHAnsi"/>
                      <w:szCs w:val="21"/>
                    </w:rPr>
                  </w:pPr>
                  <w:r>
                    <w:rPr>
                      <w:rFonts w:cstheme="minorHAnsi"/>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0" w:type="pct"/>
                  <w:shd w:val="clear" w:color="auto" w:fill="auto"/>
                  <w:vAlign w:val="center"/>
                </w:tcPr>
                <w:p>
                  <w:pPr>
                    <w:jc w:val="center"/>
                    <w:rPr>
                      <w:rFonts w:cstheme="minorHAnsi"/>
                      <w:szCs w:val="21"/>
                    </w:rPr>
                  </w:pPr>
                  <w:r>
                    <w:rPr>
                      <w:rFonts w:cstheme="minorHAnsi"/>
                      <w:szCs w:val="21"/>
                    </w:rPr>
                    <w:t>施工期</w:t>
                  </w:r>
                </w:p>
              </w:tc>
              <w:tc>
                <w:tcPr>
                  <w:tcW w:w="1725" w:type="pct"/>
                  <w:shd w:val="clear" w:color="auto" w:fill="auto"/>
                  <w:vAlign w:val="center"/>
                </w:tcPr>
                <w:p>
                  <w:pPr>
                    <w:jc w:val="center"/>
                    <w:rPr>
                      <w:rFonts w:cstheme="minorHAnsi"/>
                      <w:szCs w:val="21"/>
                    </w:rPr>
                  </w:pPr>
                  <w:r>
                    <w:rPr>
                      <w:rFonts w:hint="eastAsia" w:cstheme="minorHAnsi"/>
                      <w:szCs w:val="21"/>
                    </w:rPr>
                    <w:t>7</w:t>
                  </w:r>
                  <w:r>
                    <w:rPr>
                      <w:rFonts w:cstheme="minorHAnsi"/>
                      <w:szCs w:val="21"/>
                    </w:rPr>
                    <w:t>0</w:t>
                  </w:r>
                </w:p>
              </w:tc>
              <w:tc>
                <w:tcPr>
                  <w:tcW w:w="1725" w:type="pct"/>
                  <w:shd w:val="clear" w:color="auto" w:fill="auto"/>
                  <w:vAlign w:val="center"/>
                </w:tcPr>
                <w:p>
                  <w:pPr>
                    <w:jc w:val="center"/>
                    <w:rPr>
                      <w:rFonts w:cstheme="minorHAnsi"/>
                      <w:szCs w:val="21"/>
                    </w:rPr>
                  </w:pPr>
                  <w:r>
                    <w:rPr>
                      <w:rFonts w:hint="eastAsia" w:cstheme="minorHAnsi"/>
                      <w:szCs w:val="21"/>
                    </w:rPr>
                    <w:t>5</w:t>
                  </w:r>
                  <w:r>
                    <w:rPr>
                      <w:rFonts w:cstheme="minorHAnsi"/>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0" w:type="pct"/>
                  <w:shd w:val="clear" w:color="auto" w:fill="auto"/>
                  <w:vAlign w:val="center"/>
                </w:tcPr>
                <w:p>
                  <w:pPr>
                    <w:jc w:val="center"/>
                    <w:rPr>
                      <w:rFonts w:cstheme="minorHAnsi"/>
                      <w:szCs w:val="21"/>
                    </w:rPr>
                  </w:pPr>
                  <w:r>
                    <w:rPr>
                      <w:rFonts w:hint="eastAsia" w:cstheme="minorHAnsi"/>
                      <w:szCs w:val="21"/>
                    </w:rPr>
                    <w:t>运营期</w:t>
                  </w:r>
                </w:p>
              </w:tc>
              <w:tc>
                <w:tcPr>
                  <w:tcW w:w="1725" w:type="pct"/>
                  <w:shd w:val="clear" w:color="auto" w:fill="auto"/>
                  <w:vAlign w:val="center"/>
                </w:tcPr>
                <w:p>
                  <w:pPr>
                    <w:jc w:val="center"/>
                    <w:rPr>
                      <w:rFonts w:cstheme="minorHAnsi"/>
                      <w:szCs w:val="21"/>
                    </w:rPr>
                  </w:pPr>
                  <w:r>
                    <w:rPr>
                      <w:rFonts w:cstheme="minorHAnsi"/>
                      <w:szCs w:val="21"/>
                    </w:rPr>
                    <w:t>60</w:t>
                  </w:r>
                </w:p>
              </w:tc>
              <w:tc>
                <w:tcPr>
                  <w:tcW w:w="1725" w:type="pct"/>
                  <w:shd w:val="clear" w:color="auto" w:fill="auto"/>
                  <w:vAlign w:val="center"/>
                </w:tcPr>
                <w:p>
                  <w:pPr>
                    <w:jc w:val="center"/>
                    <w:rPr>
                      <w:rFonts w:cstheme="minorHAnsi"/>
                      <w:szCs w:val="21"/>
                    </w:rPr>
                  </w:pPr>
                  <w:r>
                    <w:rPr>
                      <w:rFonts w:cstheme="minorHAnsi"/>
                      <w:szCs w:val="21"/>
                    </w:rPr>
                    <w:t>50</w:t>
                  </w:r>
                </w:p>
              </w:tc>
            </w:tr>
          </w:tbl>
          <w:p>
            <w:pPr>
              <w:spacing w:line="360" w:lineRule="auto"/>
              <w:ind w:firstLine="482" w:firstLineChars="200"/>
              <w:rPr>
                <w:rFonts w:cs="Times New Roman"/>
                <w:b/>
                <w:sz w:val="24"/>
                <w:szCs w:val="24"/>
              </w:rPr>
            </w:pPr>
            <w:r>
              <w:rPr>
                <w:rFonts w:cs="Times New Roman"/>
                <w:b/>
                <w:sz w:val="24"/>
                <w:szCs w:val="24"/>
              </w:rPr>
              <w:t>4、</w:t>
            </w:r>
            <w:r>
              <w:rPr>
                <w:rFonts w:hint="eastAsia" w:cs="Times New Roman"/>
                <w:b/>
                <w:sz w:val="24"/>
                <w:szCs w:val="24"/>
              </w:rPr>
              <w:t>固体废物</w:t>
            </w:r>
          </w:p>
          <w:p>
            <w:pPr>
              <w:spacing w:line="360" w:lineRule="auto"/>
              <w:ind w:firstLine="480" w:firstLineChars="200"/>
              <w:rPr>
                <w:rFonts w:cs="Times New Roman"/>
                <w:sz w:val="24"/>
                <w:szCs w:val="24"/>
              </w:rPr>
            </w:pPr>
            <w:r>
              <w:rPr>
                <w:rFonts w:hint="eastAsia" w:cs="Times New Roman"/>
                <w:sz w:val="24"/>
                <w:szCs w:val="24"/>
              </w:rPr>
              <w:t>执行《一般工业固体废物贮存和填埋污染控制标准》（GB18599-2020）和《危险废物贮存污染控制标准（2013年修订）》（GB18597-2001）中相关要求。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456" w:type="dxa"/>
            <w:vAlign w:val="center"/>
          </w:tcPr>
          <w:p>
            <w:pPr>
              <w:spacing w:line="360" w:lineRule="auto"/>
              <w:jc w:val="center"/>
              <w:rPr>
                <w:rFonts w:cs="Times New Roman"/>
                <w:sz w:val="24"/>
                <w:szCs w:val="24"/>
              </w:rPr>
            </w:pPr>
            <w:r>
              <w:rPr>
                <w:rFonts w:hint="eastAsia" w:cs="Times New Roman"/>
                <w:sz w:val="24"/>
                <w:szCs w:val="24"/>
              </w:rPr>
              <w:t>总量控制指标</w:t>
            </w:r>
          </w:p>
        </w:tc>
        <w:tc>
          <w:tcPr>
            <w:tcW w:w="8893" w:type="dxa"/>
            <w:vAlign w:val="center"/>
          </w:tcPr>
          <w:p>
            <w:pPr>
              <w:spacing w:line="360" w:lineRule="auto"/>
              <w:ind w:firstLine="480" w:firstLineChars="200"/>
              <w:rPr>
                <w:rFonts w:cs="Times New Roman"/>
                <w:sz w:val="24"/>
                <w:szCs w:val="24"/>
                <w:highlight w:val="yellow"/>
              </w:rPr>
            </w:pPr>
            <w:r>
              <w:rPr>
                <w:rFonts w:hint="eastAsia" w:cs="Times New Roman"/>
                <w:sz w:val="24"/>
                <w:szCs w:val="24"/>
                <w:highlight w:val="none"/>
              </w:rPr>
              <w:t>根据国家对实施污染物排放总量控制的要求以及本项目的特点，确定此项目不涉及污染物排放总量控制，本次建设工程不新增总量，因此本项目无需申请总量。</w:t>
            </w:r>
          </w:p>
          <w:p>
            <w:pPr>
              <w:spacing w:line="360" w:lineRule="auto"/>
              <w:ind w:firstLine="480" w:firstLineChars="200"/>
              <w:rPr>
                <w:rFonts w:cs="Times New Roman"/>
                <w:sz w:val="24"/>
                <w:szCs w:val="24"/>
                <w:highlight w:val="yellow"/>
              </w:rPr>
            </w:pPr>
          </w:p>
          <w:p>
            <w:pPr>
              <w:spacing w:line="360" w:lineRule="auto"/>
              <w:ind w:firstLine="480" w:firstLineChars="200"/>
              <w:rPr>
                <w:rFonts w:cs="Times New Roman"/>
                <w:sz w:val="24"/>
                <w:szCs w:val="24"/>
                <w:highlight w:val="yellow"/>
              </w:rPr>
            </w:pPr>
          </w:p>
          <w:p>
            <w:pPr>
              <w:spacing w:line="360" w:lineRule="auto"/>
              <w:ind w:firstLine="480" w:firstLineChars="200"/>
              <w:rPr>
                <w:rFonts w:cs="Times New Roman"/>
                <w:sz w:val="24"/>
                <w:szCs w:val="24"/>
                <w:highlight w:val="yellow"/>
              </w:rPr>
            </w:pPr>
          </w:p>
          <w:p>
            <w:pPr>
              <w:spacing w:line="360" w:lineRule="auto"/>
              <w:ind w:firstLine="480" w:firstLineChars="200"/>
              <w:rPr>
                <w:rFonts w:cs="Times New Roman"/>
                <w:sz w:val="24"/>
                <w:szCs w:val="24"/>
                <w:highlight w:val="yellow"/>
              </w:rPr>
            </w:pPr>
          </w:p>
        </w:tc>
      </w:tr>
    </w:tbl>
    <w:p>
      <w:pPr>
        <w:spacing w:line="360" w:lineRule="auto"/>
        <w:rPr>
          <w:rFonts w:cs="Times New Roman"/>
          <w:b/>
          <w:sz w:val="28"/>
          <w:szCs w:val="24"/>
        </w:rPr>
        <w:sectPr>
          <w:pgSz w:w="11906" w:h="16838"/>
          <w:pgMar w:top="1134" w:right="1134" w:bottom="1134" w:left="1418" w:header="851" w:footer="992" w:gutter="0"/>
          <w:cols w:space="720" w:num="1"/>
          <w:docGrid w:type="lines" w:linePitch="312" w:charSpace="0"/>
        </w:sectPr>
      </w:pPr>
    </w:p>
    <w:p>
      <w:pPr>
        <w:pStyle w:val="39"/>
        <w:jc w:val="center"/>
        <w:rPr>
          <w:rFonts w:ascii="黑体" w:hAnsi="黑体" w:eastAsia="黑体"/>
          <w:b w:val="0"/>
          <w:sz w:val="30"/>
          <w:szCs w:val="30"/>
        </w:rPr>
      </w:pPr>
      <w:bookmarkStart w:id="3" w:name="_Toc97040276"/>
      <w:r>
        <w:rPr>
          <w:rFonts w:hint="eastAsia" w:ascii="黑体" w:hAnsi="黑体" w:eastAsia="黑体"/>
          <w:b w:val="0"/>
          <w:sz w:val="30"/>
          <w:szCs w:val="30"/>
        </w:rPr>
        <w:t>四、主要环境影响和保护措施</w:t>
      </w:r>
      <w:bookmarkEnd w:id="3"/>
    </w:p>
    <w:tbl>
      <w:tblPr>
        <w:tblStyle w:val="15"/>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56" w:type="dxa"/>
            <w:vAlign w:val="center"/>
          </w:tcPr>
          <w:p>
            <w:pPr>
              <w:spacing w:line="360" w:lineRule="auto"/>
              <w:jc w:val="center"/>
              <w:rPr>
                <w:rFonts w:cs="Times New Roman"/>
                <w:sz w:val="24"/>
                <w:szCs w:val="24"/>
              </w:rPr>
            </w:pPr>
            <w:r>
              <w:rPr>
                <w:rFonts w:hint="eastAsia" w:cs="Times New Roman"/>
                <w:sz w:val="24"/>
                <w:szCs w:val="24"/>
              </w:rPr>
              <w:t>施工期环境保护措施</w:t>
            </w:r>
          </w:p>
        </w:tc>
        <w:tc>
          <w:tcPr>
            <w:tcW w:w="8893" w:type="dxa"/>
            <w:vAlign w:val="center"/>
          </w:tcPr>
          <w:p>
            <w:pPr>
              <w:spacing w:line="360" w:lineRule="auto"/>
              <w:ind w:firstLine="482" w:firstLineChars="200"/>
              <w:rPr>
                <w:b/>
                <w:sz w:val="24"/>
                <w:szCs w:val="24"/>
              </w:rPr>
            </w:pPr>
            <w:r>
              <w:rPr>
                <w:rFonts w:hint="eastAsia"/>
                <w:b/>
                <w:sz w:val="24"/>
                <w:szCs w:val="24"/>
              </w:rPr>
              <w:t>1、废气</w:t>
            </w:r>
          </w:p>
          <w:p>
            <w:pPr>
              <w:spacing w:line="360" w:lineRule="auto"/>
              <w:ind w:firstLine="482" w:firstLineChars="200"/>
              <w:rPr>
                <w:b/>
                <w:sz w:val="24"/>
                <w:szCs w:val="24"/>
              </w:rPr>
            </w:pPr>
            <w:r>
              <w:rPr>
                <w:rFonts w:hint="eastAsia"/>
                <w:b/>
                <w:sz w:val="24"/>
                <w:szCs w:val="24"/>
              </w:rPr>
              <w:t>（1）施工扬尘</w:t>
            </w:r>
          </w:p>
          <w:p>
            <w:pPr>
              <w:spacing w:line="360" w:lineRule="auto"/>
              <w:ind w:firstLine="480" w:firstLineChars="200"/>
              <w:rPr>
                <w:sz w:val="24"/>
                <w:szCs w:val="24"/>
              </w:rPr>
            </w:pPr>
            <w:r>
              <w:rPr>
                <w:rFonts w:hint="eastAsia"/>
                <w:sz w:val="24"/>
                <w:szCs w:val="24"/>
              </w:rPr>
              <w:t>在施工阶段，施工扬尘主要来源于土地平整、开挖、回填、建材运输、装卸等过程，施工场地是典型的无组织扬尘排放源，具有很高的排放潜势，可以在短时内严重影响当地的空气质量。除了排放潜势高以外，施工扬尘的最大特点是多变性，几乎突出体现了无组织排放的所有特点，是最难以把控的无组织扬尘，污染呈现时空多变、形式多元等复杂特征，监测、评价和管理都比较困难。经类比分析，施工场地扬尘浓度一般约为3.5mg/m</w:t>
            </w:r>
            <w:r>
              <w:rPr>
                <w:rFonts w:hint="eastAsia"/>
                <w:sz w:val="24"/>
                <w:szCs w:val="24"/>
                <w:vertAlign w:val="superscript"/>
              </w:rPr>
              <w:t>3</w:t>
            </w:r>
            <w:r>
              <w:rPr>
                <w:rFonts w:hint="eastAsia"/>
                <w:sz w:val="24"/>
                <w:szCs w:val="24"/>
              </w:rPr>
              <w:t>，会对周围环境产生一定影响。</w:t>
            </w:r>
          </w:p>
          <w:p>
            <w:pPr>
              <w:spacing w:line="360" w:lineRule="auto"/>
              <w:ind w:firstLine="480" w:firstLineChars="200"/>
              <w:rPr>
                <w:rFonts w:cs="Times New Roman"/>
                <w:sz w:val="24"/>
                <w:szCs w:val="24"/>
              </w:rPr>
            </w:pPr>
            <w:r>
              <w:rPr>
                <w:rFonts w:hint="eastAsia"/>
                <w:sz w:val="24"/>
                <w:szCs w:val="24"/>
              </w:rPr>
              <w:t>为减轻施工期扬尘对大气环境的影响，根据《住房和城乡建设部办公厅关于进一步加强施工工地和道路扬尘管控工作的通知》（建办质〔2019〕23号）、《四川省建筑工程扬尘污染防治技术导则（试行）》（川建发〔2019〕16号）的有关要求</w:t>
            </w:r>
            <w:r>
              <w:rPr>
                <w:rFonts w:cs="Times New Roman"/>
                <w:sz w:val="24"/>
                <w:szCs w:val="24"/>
              </w:rPr>
              <w:t>，施工现场应采取以下扬尘污染防治措施：</w:t>
            </w:r>
          </w:p>
          <w:p>
            <w:pPr>
              <w:spacing w:line="360" w:lineRule="auto"/>
              <w:ind w:firstLine="480" w:firstLineChars="200"/>
              <w:rPr>
                <w:rFonts w:cs="Times New Roman"/>
                <w:sz w:val="24"/>
                <w:szCs w:val="24"/>
              </w:rPr>
            </w:pPr>
            <w:r>
              <w:rPr>
                <w:rFonts w:hint="eastAsia" w:ascii="宋体" w:hAnsi="宋体" w:cs="宋体"/>
                <w:sz w:val="24"/>
                <w:szCs w:val="24"/>
              </w:rPr>
              <w:t>①</w:t>
            </w:r>
            <w:r>
              <w:rPr>
                <w:rFonts w:cs="Times New Roman"/>
                <w:sz w:val="24"/>
                <w:szCs w:val="24"/>
              </w:rPr>
              <w:t>施工现场应沿四周连续设置不低于2.5m高的封闭围挡，围挡采用硬质一次成型板材，现场模块化整体式拼装成型；围档顶端设置雾状喷淋，喷头水平间距≤3m，应安装在低于围挡顶部200mm处的围挡内侧，喷头朝内向上，并配备符合喷雾需求的变频高压水泵。</w:t>
            </w:r>
          </w:p>
          <w:p>
            <w:pPr>
              <w:spacing w:line="360" w:lineRule="auto"/>
              <w:ind w:firstLine="480" w:firstLineChars="200"/>
              <w:rPr>
                <w:rFonts w:cs="Times New Roman"/>
                <w:sz w:val="24"/>
                <w:szCs w:val="24"/>
              </w:rPr>
            </w:pPr>
            <w:r>
              <w:rPr>
                <w:rFonts w:hint="eastAsia" w:cs="Times New Roman"/>
                <w:sz w:val="24"/>
                <w:szCs w:val="24"/>
              </w:rPr>
              <w:t>②</w:t>
            </w:r>
            <w:r>
              <w:rPr>
                <w:rFonts w:cs="Times New Roman"/>
                <w:sz w:val="24"/>
                <w:szCs w:val="24"/>
              </w:rPr>
              <w:t>施工现场出入口、主要道路以及与社会通行道路交叉通道必须采用（沥青）混凝土硬化，大门内侧应设置挡水带、排水沟（沟宽×深≥300mm×300mm）、三级沉淀池（池体容积≥4m</w:t>
            </w:r>
            <w:r>
              <w:rPr>
                <w:rFonts w:cs="Times New Roman"/>
                <w:sz w:val="24"/>
                <w:szCs w:val="24"/>
                <w:vertAlign w:val="superscript"/>
              </w:rPr>
              <w:t>3</w:t>
            </w:r>
            <w:r>
              <w:rPr>
                <w:rFonts w:cs="Times New Roman"/>
                <w:sz w:val="24"/>
                <w:szCs w:val="24"/>
              </w:rPr>
              <w:t>），门口应设高压冲洗设施，冲洗区外侧应铺设串联成片的麻袋、地毯等吸水材料，确保车辆不带泥上路。</w:t>
            </w:r>
          </w:p>
          <w:p>
            <w:pPr>
              <w:spacing w:line="360" w:lineRule="auto"/>
              <w:ind w:firstLine="480" w:firstLineChars="200"/>
              <w:rPr>
                <w:sz w:val="24"/>
                <w:szCs w:val="24"/>
              </w:rPr>
            </w:pPr>
            <w:r>
              <w:rPr>
                <w:rFonts w:hint="eastAsia"/>
                <w:sz w:val="24"/>
                <w:szCs w:val="24"/>
              </w:rPr>
              <w:t>③施工现场裸土及施工期易起尘物料均应使用防尘网进行覆盖，覆盖要封闭严密、连接牢固；必须使用商品混凝土，施工现场禁止设置搅拌站。</w:t>
            </w:r>
          </w:p>
          <w:p>
            <w:pPr>
              <w:spacing w:line="360" w:lineRule="auto"/>
              <w:ind w:firstLine="480" w:firstLineChars="200"/>
              <w:rPr>
                <w:rFonts w:cs="Times New Roman"/>
                <w:sz w:val="24"/>
                <w:szCs w:val="24"/>
              </w:rPr>
            </w:pPr>
            <w:r>
              <w:rPr>
                <w:rFonts w:hint="eastAsia" w:ascii="宋体" w:hAnsi="宋体" w:cs="宋体"/>
                <w:sz w:val="24"/>
                <w:szCs w:val="24"/>
              </w:rPr>
              <w:t>④</w:t>
            </w:r>
            <w:r>
              <w:rPr>
                <w:rFonts w:cs="Times New Roman"/>
                <w:sz w:val="24"/>
                <w:szCs w:val="24"/>
              </w:rPr>
              <w:t>施工期易产生扬尘的钻孔、拆除作业，建渣清运等易产生扬尘的施工作业时，</w:t>
            </w:r>
            <w:r>
              <w:rPr>
                <w:rFonts w:hint="eastAsia" w:cs="Times New Roman"/>
                <w:sz w:val="24"/>
                <w:szCs w:val="24"/>
              </w:rPr>
              <w:t>应采取喷淋、喷雾等湿法降尘措施，对于固定喷淋装置无法覆盖的区域和应设置移动式雾炮进行降尘</w:t>
            </w:r>
            <w:r>
              <w:rPr>
                <w:rFonts w:cs="Times New Roman"/>
                <w:sz w:val="24"/>
                <w:szCs w:val="24"/>
              </w:rPr>
              <w:t>。</w:t>
            </w:r>
          </w:p>
          <w:p>
            <w:pPr>
              <w:spacing w:line="360" w:lineRule="auto"/>
              <w:ind w:firstLine="480" w:firstLineChars="200"/>
              <w:rPr>
                <w:color w:val="auto"/>
                <w:sz w:val="24"/>
                <w:szCs w:val="24"/>
              </w:rPr>
            </w:pPr>
            <w:r>
              <w:rPr>
                <w:rFonts w:hint="eastAsia"/>
                <w:sz w:val="24"/>
                <w:szCs w:val="24"/>
              </w:rPr>
              <w:t>⑤施工单位应当建立运输扬尘污染防治管理制度和相关措施，加强对渣土运输车辆、人员管理；运输车辆必须采取覆盖措施，采用密闭式运输车辆，装载不得冒出车辆栏板，防止道路</w:t>
            </w:r>
            <w:r>
              <w:rPr>
                <w:rFonts w:hint="eastAsia"/>
                <w:color w:val="auto"/>
                <w:sz w:val="24"/>
                <w:szCs w:val="24"/>
              </w:rPr>
              <w:t>遗撒。</w:t>
            </w:r>
          </w:p>
          <w:p>
            <w:pPr>
              <w:spacing w:line="360" w:lineRule="auto"/>
              <w:ind w:firstLine="480" w:firstLineChars="200"/>
              <w:rPr>
                <w:color w:val="auto"/>
                <w:sz w:val="24"/>
                <w:szCs w:val="24"/>
              </w:rPr>
            </w:pPr>
            <w:r>
              <w:rPr>
                <w:rFonts w:hint="eastAsia"/>
                <w:color w:val="auto"/>
                <w:sz w:val="24"/>
                <w:szCs w:val="24"/>
              </w:rPr>
              <w:t>⑥风速大于4m/s时应停止施工。</w:t>
            </w:r>
          </w:p>
          <w:p>
            <w:pPr>
              <w:spacing w:line="360" w:lineRule="auto"/>
              <w:ind w:firstLine="482" w:firstLineChars="200"/>
              <w:rPr>
                <w:b/>
                <w:sz w:val="24"/>
                <w:szCs w:val="24"/>
              </w:rPr>
            </w:pPr>
            <w:r>
              <w:rPr>
                <w:rFonts w:hint="eastAsia"/>
                <w:b/>
                <w:sz w:val="24"/>
                <w:szCs w:val="24"/>
              </w:rPr>
              <w:t>同时，施工单位必需全面督查建筑工地现场管理“十必须”、“十不准”的执行情况，即：必须规范打围、保持干净整洁，必须设置出场车辆高压冲洗设施，必须硬化主要施工道路、出入口，必须湿法作业，必须及时清运建筑垃圾，必须使用800目密目网覆盖裸土、建渣，必须分类有序堆码施工材料，必须规范张贴非道路移动机械环保标识，必须安装扬尘在线监测设备，必须安装高清视频监控设备；不准车辆带泥出门，不准运渣车辆冒顶装载，不准使用名录外运渣车，不准现场搅拌混凝土、砂浆，不准露天切割，不准高处抛洒建筑垃圾，不准场地积水、积泥、积尘，不准焚烧废弃物，不准干扰扬尘监测设备运行，不准干扰视频监控设备。同时，施工单位必须严格按照《四川省建筑工程扬尘污染防治技术导则（试行）》（川建发〔2019〕16号）中要求要求，严格落实“六个百分百”要求，包括：工地周边围挡、物料堆放覆盖、出入车辆冲洗、施工现场道路及材料堆场硬化、工地湿法作业及渣土车辆密闭运输，确保施工场地扬尘达到《四川省施工场地扬尘排放标准》（DB51/2682-2020）中相关限值要求。</w:t>
            </w:r>
          </w:p>
          <w:p>
            <w:pPr>
              <w:spacing w:line="360" w:lineRule="auto"/>
              <w:ind w:firstLine="482" w:firstLineChars="200"/>
              <w:rPr>
                <w:b/>
                <w:sz w:val="24"/>
                <w:szCs w:val="24"/>
              </w:rPr>
            </w:pPr>
            <w:r>
              <w:rPr>
                <w:rFonts w:hint="eastAsia"/>
                <w:b/>
                <w:sz w:val="24"/>
                <w:szCs w:val="24"/>
              </w:rPr>
              <w:t>（</w:t>
            </w:r>
            <w:r>
              <w:rPr>
                <w:b/>
                <w:sz w:val="24"/>
                <w:szCs w:val="24"/>
              </w:rPr>
              <w:t>2</w:t>
            </w:r>
            <w:r>
              <w:rPr>
                <w:rFonts w:hint="eastAsia"/>
                <w:b/>
                <w:sz w:val="24"/>
                <w:szCs w:val="24"/>
              </w:rPr>
              <w:t>）施工机械废气</w:t>
            </w:r>
          </w:p>
          <w:p>
            <w:pPr>
              <w:spacing w:line="360" w:lineRule="auto"/>
              <w:ind w:firstLine="480" w:firstLineChars="200"/>
              <w:rPr>
                <w:sz w:val="24"/>
                <w:szCs w:val="24"/>
              </w:rPr>
            </w:pPr>
            <w:r>
              <w:rPr>
                <w:rFonts w:hint="eastAsia"/>
                <w:sz w:val="24"/>
                <w:szCs w:val="24"/>
              </w:rPr>
              <w:t>本项目施工设备和建筑机械设备的运转，会排放一定量的CO、NO</w:t>
            </w:r>
            <w:r>
              <w:rPr>
                <w:rFonts w:hint="eastAsia"/>
                <w:sz w:val="24"/>
                <w:szCs w:val="24"/>
                <w:vertAlign w:val="subscript"/>
              </w:rPr>
              <w:t>x</w:t>
            </w:r>
            <w:r>
              <w:rPr>
                <w:rFonts w:hint="eastAsia"/>
                <w:sz w:val="24"/>
                <w:szCs w:val="24"/>
              </w:rPr>
              <w:t>以及未完全燃烧的THC等，由于其属间断性无组织排放，特点是排放量小，加之施工现场开阔，扩散条件良好，对其不加处理也可达到相应的排放标准。环评要求：建设单位应禁止使用高排放非道路移动机械，制定施工现场非道路移动机械管理制度，加强施工设备维护，采用低污染的燃料，减少废气排放。</w:t>
            </w:r>
          </w:p>
          <w:p>
            <w:pPr>
              <w:spacing w:line="360" w:lineRule="auto"/>
              <w:ind w:firstLine="482" w:firstLineChars="200"/>
              <w:rPr>
                <w:b/>
                <w:sz w:val="24"/>
                <w:szCs w:val="24"/>
              </w:rPr>
            </w:pPr>
            <w:r>
              <w:rPr>
                <w:rFonts w:hint="eastAsia"/>
                <w:b/>
                <w:sz w:val="24"/>
                <w:szCs w:val="24"/>
              </w:rPr>
              <w:t>（</w:t>
            </w:r>
            <w:r>
              <w:rPr>
                <w:b/>
                <w:sz w:val="24"/>
                <w:szCs w:val="24"/>
              </w:rPr>
              <w:t>3</w:t>
            </w:r>
            <w:r>
              <w:rPr>
                <w:rFonts w:hint="eastAsia"/>
                <w:b/>
                <w:sz w:val="24"/>
                <w:szCs w:val="24"/>
              </w:rPr>
              <w:t>）装修废气</w:t>
            </w:r>
          </w:p>
          <w:p>
            <w:pPr>
              <w:spacing w:line="360" w:lineRule="auto"/>
              <w:ind w:firstLine="480" w:firstLineChars="200"/>
              <w:rPr>
                <w:sz w:val="24"/>
                <w:szCs w:val="24"/>
              </w:rPr>
            </w:pPr>
            <w:r>
              <w:rPr>
                <w:rFonts w:hint="eastAsia"/>
                <w:sz w:val="24"/>
                <w:szCs w:val="24"/>
              </w:rPr>
              <w:t>装修过程中主要污染因子是涂料挥发废气，该废气的排放属无组织排放，由于装修阶段的装修废气排放周期短，且装修面积较少、作业点分散，故装修期间应加强通风换气，环评要求：施工期采用优质环保的装修材料，使用无污染性废气产生的材料、涂料，减少废气中有害物质的排放。</w:t>
            </w:r>
          </w:p>
          <w:p>
            <w:pPr>
              <w:spacing w:line="360" w:lineRule="auto"/>
              <w:ind w:firstLine="482" w:firstLineChars="200"/>
              <w:rPr>
                <w:b/>
                <w:sz w:val="24"/>
                <w:szCs w:val="24"/>
              </w:rPr>
            </w:pPr>
            <w:r>
              <w:rPr>
                <w:b/>
                <w:sz w:val="24"/>
                <w:szCs w:val="24"/>
              </w:rPr>
              <w:t>2</w:t>
            </w:r>
            <w:r>
              <w:rPr>
                <w:rFonts w:hint="eastAsia"/>
                <w:b/>
                <w:sz w:val="24"/>
                <w:szCs w:val="24"/>
              </w:rPr>
              <w:t>、废水</w:t>
            </w:r>
          </w:p>
          <w:p>
            <w:pPr>
              <w:spacing w:line="360" w:lineRule="auto"/>
              <w:ind w:firstLine="482" w:firstLineChars="200"/>
              <w:rPr>
                <w:b/>
                <w:sz w:val="24"/>
                <w:szCs w:val="24"/>
              </w:rPr>
            </w:pPr>
            <w:r>
              <w:rPr>
                <w:rFonts w:hint="eastAsia"/>
                <w:b/>
                <w:sz w:val="24"/>
                <w:szCs w:val="24"/>
              </w:rPr>
              <w:t>（1）施工废水</w:t>
            </w:r>
          </w:p>
          <w:p>
            <w:pPr>
              <w:spacing w:line="360" w:lineRule="auto"/>
              <w:ind w:firstLine="480" w:firstLineChars="200"/>
              <w:rPr>
                <w:sz w:val="24"/>
                <w:szCs w:val="24"/>
              </w:rPr>
            </w:pPr>
            <w:r>
              <w:rPr>
                <w:rFonts w:hint="eastAsia"/>
                <w:sz w:val="24"/>
                <w:szCs w:val="24"/>
              </w:rPr>
              <w:t>施工废水中的主要污染物为pH（一般大于7）、SS、COD、石油类，污水中COD浓度值最高约500mg/L、BOD</w:t>
            </w:r>
            <w:r>
              <w:rPr>
                <w:rFonts w:hint="eastAsia"/>
                <w:sz w:val="24"/>
                <w:szCs w:val="24"/>
                <w:vertAlign w:val="subscript"/>
              </w:rPr>
              <w:t>5</w:t>
            </w:r>
            <w:r>
              <w:rPr>
                <w:rFonts w:hint="eastAsia"/>
                <w:sz w:val="24"/>
                <w:szCs w:val="24"/>
              </w:rPr>
              <w:t>约400mg/L、SS 约1000mg/L。经类比分析，项目施工期施工废水预计排放量为</w:t>
            </w:r>
            <w:r>
              <w:rPr>
                <w:sz w:val="24"/>
                <w:szCs w:val="24"/>
              </w:rPr>
              <w:t>5</w:t>
            </w:r>
            <w:r>
              <w:rPr>
                <w:rFonts w:hint="eastAsia"/>
                <w:sz w:val="24"/>
                <w:szCs w:val="24"/>
              </w:rPr>
              <w:t>m</w:t>
            </w:r>
            <w:r>
              <w:rPr>
                <w:rFonts w:hint="eastAsia"/>
                <w:sz w:val="24"/>
                <w:szCs w:val="24"/>
                <w:vertAlign w:val="superscript"/>
              </w:rPr>
              <w:t>3</w:t>
            </w:r>
            <w:r>
              <w:rPr>
                <w:rFonts w:hint="eastAsia"/>
                <w:sz w:val="24"/>
                <w:szCs w:val="24"/>
              </w:rPr>
              <w:t>/d，为防止施工废水对区域地表水环境造成影响，环评要求建设单位应采取以下污染防治措施：</w:t>
            </w:r>
          </w:p>
          <w:p>
            <w:pPr>
              <w:spacing w:line="360" w:lineRule="auto"/>
              <w:ind w:firstLine="480" w:firstLineChars="200"/>
              <w:rPr>
                <w:rFonts w:cs="Times New Roman"/>
                <w:sz w:val="24"/>
                <w:szCs w:val="24"/>
              </w:rPr>
            </w:pPr>
            <w:r>
              <w:rPr>
                <w:rFonts w:hint="eastAsia" w:cs="Times New Roman"/>
                <w:sz w:val="24"/>
                <w:szCs w:val="24"/>
              </w:rPr>
              <w:t>①</w:t>
            </w:r>
            <w:r>
              <w:rPr>
                <w:rFonts w:cs="Times New Roman"/>
                <w:sz w:val="24"/>
                <w:szCs w:val="24"/>
              </w:rPr>
              <w:t>施工场地设置排水沟（沟宽×深≥300×300mm，排水坡度应大于3%）和三级沉淀池（池体容积≥4m³），车辆冲洗点配套修建隔油设施（池体容积≥1m</w:t>
            </w:r>
            <w:r>
              <w:rPr>
                <w:rFonts w:cs="Times New Roman"/>
                <w:sz w:val="24"/>
                <w:szCs w:val="24"/>
                <w:vertAlign w:val="superscript"/>
              </w:rPr>
              <w:t>3</w:t>
            </w:r>
            <w:r>
              <w:rPr>
                <w:rFonts w:cs="Times New Roman"/>
                <w:sz w:val="24"/>
                <w:szCs w:val="24"/>
              </w:rPr>
              <w:t>），废水经沉淀、隔油处理后全部回用。</w:t>
            </w:r>
          </w:p>
          <w:p>
            <w:pPr>
              <w:spacing w:line="360" w:lineRule="auto"/>
              <w:ind w:firstLine="480" w:firstLineChars="200"/>
              <w:rPr>
                <w:sz w:val="24"/>
                <w:szCs w:val="24"/>
              </w:rPr>
            </w:pPr>
            <w:r>
              <w:rPr>
                <w:rFonts w:hint="eastAsia"/>
                <w:sz w:val="24"/>
                <w:szCs w:val="24"/>
              </w:rPr>
              <w:t>②加强施工管理，严格避免超挖、禁止雨天开挖作业；场地内地下渗水、试压废水、管道清洗废水等应收集后用作车辆冲洗、洒水降尘等。</w:t>
            </w:r>
          </w:p>
          <w:p>
            <w:pPr>
              <w:spacing w:line="360" w:lineRule="auto"/>
              <w:ind w:firstLine="482" w:firstLineChars="200"/>
              <w:rPr>
                <w:b/>
                <w:sz w:val="24"/>
                <w:szCs w:val="24"/>
              </w:rPr>
            </w:pPr>
            <w:r>
              <w:rPr>
                <w:rFonts w:hint="eastAsia"/>
                <w:b/>
                <w:sz w:val="24"/>
                <w:szCs w:val="24"/>
              </w:rPr>
              <w:t>（</w:t>
            </w:r>
            <w:r>
              <w:rPr>
                <w:b/>
                <w:sz w:val="24"/>
                <w:szCs w:val="24"/>
              </w:rPr>
              <w:t>2</w:t>
            </w:r>
            <w:r>
              <w:rPr>
                <w:rFonts w:hint="eastAsia"/>
                <w:b/>
                <w:sz w:val="24"/>
                <w:szCs w:val="24"/>
              </w:rPr>
              <w:t>）生活污水</w:t>
            </w:r>
          </w:p>
          <w:p>
            <w:pPr>
              <w:spacing w:line="360" w:lineRule="auto"/>
              <w:ind w:firstLine="480" w:firstLineChars="200"/>
              <w:rPr>
                <w:color w:val="FF0000"/>
                <w:sz w:val="24"/>
                <w:szCs w:val="24"/>
              </w:rPr>
            </w:pPr>
            <w:r>
              <w:rPr>
                <w:rFonts w:hint="eastAsia"/>
                <w:sz w:val="24"/>
                <w:szCs w:val="24"/>
              </w:rPr>
              <w:t>项目施</w:t>
            </w:r>
            <w:r>
              <w:rPr>
                <w:rFonts w:cs="Times New Roman"/>
                <w:sz w:val="24"/>
                <w:szCs w:val="24"/>
              </w:rPr>
              <w:t>工人员预计可达30人，</w:t>
            </w:r>
            <w:r>
              <w:rPr>
                <w:rFonts w:hint="eastAsia" w:cs="Times New Roman"/>
                <w:sz w:val="24"/>
                <w:szCs w:val="24"/>
              </w:rPr>
              <w:t>根据</w:t>
            </w:r>
            <w:r>
              <w:rPr>
                <w:rFonts w:cs="Times New Roman"/>
                <w:sz w:val="24"/>
                <w:szCs w:val="24"/>
              </w:rPr>
              <w:t>《四川省用水定额》（川府函〔2021〕8号），施工人员生活用水量按160L/人·d计，生活污水产生系数取0.85，则生活污水产生量为3.315m</w:t>
            </w:r>
            <w:r>
              <w:rPr>
                <w:rFonts w:cs="Times New Roman"/>
                <w:color w:val="auto"/>
                <w:sz w:val="24"/>
                <w:szCs w:val="24"/>
                <w:vertAlign w:val="superscript"/>
              </w:rPr>
              <w:t>3</w:t>
            </w:r>
            <w:r>
              <w:rPr>
                <w:rFonts w:cs="Times New Roman"/>
                <w:color w:val="auto"/>
                <w:sz w:val="24"/>
                <w:szCs w:val="24"/>
              </w:rPr>
              <w:t>/d。生活污水经</w:t>
            </w:r>
            <w:r>
              <w:rPr>
                <w:rFonts w:hint="eastAsia" w:cs="Times New Roman"/>
                <w:color w:val="auto"/>
                <w:sz w:val="24"/>
                <w:szCs w:val="24"/>
              </w:rPr>
              <w:t>临时</w:t>
            </w:r>
            <w:r>
              <w:rPr>
                <w:rFonts w:cs="Times New Roman"/>
                <w:color w:val="auto"/>
                <w:sz w:val="24"/>
                <w:szCs w:val="24"/>
              </w:rPr>
              <w:t>预处理池处理后排入市政污水管网，</w:t>
            </w:r>
            <w:r>
              <w:rPr>
                <w:rFonts w:hint="eastAsia"/>
                <w:color w:val="auto"/>
                <w:kern w:val="24"/>
                <w:sz w:val="24"/>
                <w:szCs w:val="24"/>
              </w:rPr>
              <w:t>经</w:t>
            </w:r>
            <w:r>
              <w:rPr>
                <w:rFonts w:hint="eastAsia"/>
                <w:color w:val="auto"/>
                <w:kern w:val="24"/>
                <w:sz w:val="24"/>
                <w:szCs w:val="24"/>
                <w:lang w:eastAsia="zh-CN"/>
              </w:rPr>
              <w:t>宣汉县城市生活污水处理厂</w:t>
            </w:r>
            <w:r>
              <w:rPr>
                <w:rFonts w:hint="eastAsia"/>
                <w:color w:val="auto"/>
                <w:kern w:val="24"/>
                <w:sz w:val="24"/>
                <w:szCs w:val="24"/>
              </w:rPr>
              <w:t>处理达到《城镇污水处理厂污染物排放标准》（GB18918-2002）一级标准的A类标准后排入</w:t>
            </w:r>
            <w:r>
              <w:rPr>
                <w:rFonts w:hint="eastAsia"/>
                <w:color w:val="auto"/>
                <w:kern w:val="24"/>
                <w:sz w:val="24"/>
                <w:szCs w:val="24"/>
                <w:lang w:eastAsia="zh-CN"/>
              </w:rPr>
              <w:t>后河</w:t>
            </w:r>
            <w:r>
              <w:rPr>
                <w:rFonts w:cs="Times New Roman"/>
                <w:color w:val="auto"/>
                <w:sz w:val="24"/>
                <w:szCs w:val="24"/>
              </w:rPr>
              <w:t>。</w:t>
            </w:r>
          </w:p>
          <w:p>
            <w:pPr>
              <w:spacing w:line="360" w:lineRule="auto"/>
              <w:ind w:firstLine="482" w:firstLineChars="200"/>
              <w:rPr>
                <w:b/>
                <w:sz w:val="24"/>
                <w:szCs w:val="24"/>
              </w:rPr>
            </w:pPr>
            <w:r>
              <w:rPr>
                <w:b/>
                <w:sz w:val="24"/>
                <w:szCs w:val="24"/>
              </w:rPr>
              <w:t>3</w:t>
            </w:r>
            <w:r>
              <w:rPr>
                <w:rFonts w:hint="eastAsia"/>
                <w:b/>
                <w:sz w:val="24"/>
                <w:szCs w:val="24"/>
              </w:rPr>
              <w:t>、噪声</w:t>
            </w:r>
          </w:p>
          <w:p>
            <w:pPr>
              <w:spacing w:line="360" w:lineRule="auto"/>
              <w:ind w:firstLine="480" w:firstLineChars="200"/>
              <w:rPr>
                <w:sz w:val="24"/>
                <w:szCs w:val="24"/>
              </w:rPr>
            </w:pPr>
            <w:r>
              <w:rPr>
                <w:rFonts w:hint="eastAsia"/>
                <w:sz w:val="24"/>
                <w:szCs w:val="24"/>
              </w:rPr>
              <w:t>施工期噪声主要来源于施工现场的各类机械设备噪声，不同施工阶段和不同施工机械发出的噪声水平是不同的，且有大量设备交互作业，各施工阶段主要施工机械设备噪声源强值见表4-</w:t>
            </w:r>
            <w:r>
              <w:rPr>
                <w:sz w:val="24"/>
                <w:szCs w:val="24"/>
              </w:rPr>
              <w:t>1</w:t>
            </w:r>
            <w:r>
              <w:rPr>
                <w:rFonts w:hint="eastAsia"/>
                <w:sz w:val="24"/>
                <w:szCs w:val="24"/>
              </w:rPr>
              <w:t>。</w:t>
            </w:r>
          </w:p>
          <w:p>
            <w:pPr>
              <w:spacing w:line="360" w:lineRule="auto"/>
              <w:jc w:val="center"/>
              <w:rPr>
                <w:rFonts w:eastAsia="黑体" w:cs="Calibri"/>
                <w:szCs w:val="21"/>
              </w:rPr>
            </w:pPr>
            <w:r>
              <w:rPr>
                <w:rFonts w:eastAsia="黑体" w:cs="Calibri"/>
                <w:szCs w:val="21"/>
              </w:rPr>
              <w:t>表4</w:t>
            </w:r>
            <w:r>
              <w:rPr>
                <w:rFonts w:hint="eastAsia" w:eastAsia="黑体" w:cs="Calibri"/>
                <w:szCs w:val="21"/>
              </w:rPr>
              <w:t>-</w:t>
            </w:r>
            <w:r>
              <w:rPr>
                <w:rFonts w:eastAsia="黑体" w:cs="Calibri"/>
                <w:szCs w:val="21"/>
              </w:rPr>
              <w:t>1  主要机械设备源强值</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1622"/>
              <w:gridCol w:w="1487"/>
              <w:gridCol w:w="1489"/>
              <w:gridCol w:w="1487"/>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65" w:type="pct"/>
                  <w:gridSpan w:val="2"/>
                  <w:shd w:val="clear" w:color="auto" w:fill="auto"/>
                  <w:vAlign w:val="center"/>
                </w:tcPr>
                <w:p>
                  <w:pPr>
                    <w:jc w:val="center"/>
                    <w:rPr>
                      <w:szCs w:val="21"/>
                    </w:rPr>
                  </w:pPr>
                  <w:r>
                    <w:rPr>
                      <w:rFonts w:hint="eastAsia"/>
                      <w:szCs w:val="21"/>
                    </w:rPr>
                    <w:t>施工设备</w:t>
                  </w:r>
                  <w:r>
                    <w:rPr>
                      <w:szCs w:val="21"/>
                    </w:rPr>
                    <w:t>明</w:t>
                  </w:r>
                  <w:r>
                    <w:rPr>
                      <w:rFonts w:hint="eastAsia"/>
                      <w:szCs w:val="21"/>
                    </w:rPr>
                    <w:t>名称</w:t>
                  </w:r>
                </w:p>
              </w:tc>
              <w:tc>
                <w:tcPr>
                  <w:tcW w:w="858" w:type="pct"/>
                  <w:shd w:val="clear" w:color="auto" w:fill="auto"/>
                  <w:vAlign w:val="center"/>
                </w:tcPr>
                <w:p>
                  <w:pPr>
                    <w:jc w:val="center"/>
                    <w:rPr>
                      <w:szCs w:val="21"/>
                    </w:rPr>
                  </w:pPr>
                  <w:r>
                    <w:rPr>
                      <w:rFonts w:hint="eastAsia"/>
                      <w:szCs w:val="21"/>
                    </w:rPr>
                    <w:t>运输</w:t>
                  </w:r>
                  <w:r>
                    <w:rPr>
                      <w:szCs w:val="21"/>
                    </w:rPr>
                    <w:t>车辆</w:t>
                  </w:r>
                </w:p>
              </w:tc>
              <w:tc>
                <w:tcPr>
                  <w:tcW w:w="859" w:type="pct"/>
                  <w:shd w:val="clear" w:color="auto" w:fill="auto"/>
                  <w:vAlign w:val="center"/>
                </w:tcPr>
                <w:p>
                  <w:pPr>
                    <w:jc w:val="center"/>
                    <w:rPr>
                      <w:szCs w:val="21"/>
                    </w:rPr>
                  </w:pPr>
                  <w:r>
                    <w:rPr>
                      <w:rFonts w:hint="eastAsia"/>
                      <w:szCs w:val="21"/>
                    </w:rPr>
                    <w:t>装载</w:t>
                  </w:r>
                </w:p>
              </w:tc>
              <w:tc>
                <w:tcPr>
                  <w:tcW w:w="858" w:type="pct"/>
                  <w:shd w:val="clear" w:color="auto" w:fill="auto"/>
                  <w:vAlign w:val="center"/>
                </w:tcPr>
                <w:p>
                  <w:pPr>
                    <w:jc w:val="center"/>
                    <w:rPr>
                      <w:szCs w:val="21"/>
                    </w:rPr>
                  </w:pPr>
                  <w:r>
                    <w:rPr>
                      <w:rFonts w:hint="eastAsia"/>
                      <w:szCs w:val="21"/>
                    </w:rPr>
                    <w:t>推土机</w:t>
                  </w:r>
                </w:p>
              </w:tc>
              <w:tc>
                <w:tcPr>
                  <w:tcW w:w="859" w:type="pct"/>
                  <w:shd w:val="clear" w:color="auto" w:fill="auto"/>
                  <w:vAlign w:val="center"/>
                </w:tcPr>
                <w:p>
                  <w:pPr>
                    <w:jc w:val="center"/>
                    <w:rPr>
                      <w:szCs w:val="21"/>
                    </w:rPr>
                  </w:pPr>
                  <w:r>
                    <w:rPr>
                      <w:rFonts w:hint="eastAsia"/>
                      <w:szCs w:val="21"/>
                    </w:rPr>
                    <w:t>挖掘机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Merge w:val="restart"/>
                  <w:shd w:val="clear" w:color="auto" w:fill="auto"/>
                  <w:vAlign w:val="center"/>
                </w:tcPr>
                <w:p>
                  <w:pPr>
                    <w:jc w:val="center"/>
                    <w:rPr>
                      <w:szCs w:val="21"/>
                    </w:rPr>
                  </w:pPr>
                  <w:r>
                    <w:rPr>
                      <w:rFonts w:hint="eastAsia"/>
                      <w:szCs w:val="21"/>
                    </w:rPr>
                    <w:t>噪声值</w:t>
                  </w:r>
                </w:p>
                <w:p>
                  <w:pPr>
                    <w:jc w:val="center"/>
                    <w:rPr>
                      <w:szCs w:val="21"/>
                    </w:rPr>
                  </w:pPr>
                  <w:r>
                    <w:rPr>
                      <w:rFonts w:hint="eastAsia"/>
                      <w:szCs w:val="21"/>
                    </w:rPr>
                    <w:t>dB</w:t>
                  </w:r>
                  <w:r>
                    <w:rPr>
                      <w:szCs w:val="21"/>
                    </w:rPr>
                    <w:t>（A）</w:t>
                  </w:r>
                </w:p>
              </w:tc>
              <w:tc>
                <w:tcPr>
                  <w:tcW w:w="936" w:type="pct"/>
                  <w:shd w:val="clear" w:color="auto" w:fill="auto"/>
                  <w:vAlign w:val="center"/>
                </w:tcPr>
                <w:p>
                  <w:pPr>
                    <w:jc w:val="center"/>
                    <w:rPr>
                      <w:szCs w:val="21"/>
                    </w:rPr>
                  </w:pPr>
                  <w:r>
                    <w:rPr>
                      <w:rFonts w:hint="eastAsia"/>
                      <w:szCs w:val="21"/>
                    </w:rPr>
                    <w:t>距机械5</w:t>
                  </w:r>
                  <w:r>
                    <w:rPr>
                      <w:szCs w:val="21"/>
                    </w:rPr>
                    <w:t>m处</w:t>
                  </w:r>
                </w:p>
              </w:tc>
              <w:tc>
                <w:tcPr>
                  <w:tcW w:w="858" w:type="pct"/>
                  <w:shd w:val="clear" w:color="auto" w:fill="auto"/>
                  <w:vAlign w:val="center"/>
                </w:tcPr>
                <w:p>
                  <w:pPr>
                    <w:jc w:val="center"/>
                    <w:rPr>
                      <w:szCs w:val="21"/>
                    </w:rPr>
                  </w:pPr>
                  <w:r>
                    <w:rPr>
                      <w:rFonts w:hint="eastAsia"/>
                      <w:szCs w:val="21"/>
                    </w:rPr>
                    <w:t>90</w:t>
                  </w:r>
                </w:p>
              </w:tc>
              <w:tc>
                <w:tcPr>
                  <w:tcW w:w="859" w:type="pct"/>
                  <w:shd w:val="clear" w:color="auto" w:fill="auto"/>
                  <w:vAlign w:val="center"/>
                </w:tcPr>
                <w:p>
                  <w:pPr>
                    <w:jc w:val="center"/>
                    <w:rPr>
                      <w:szCs w:val="21"/>
                    </w:rPr>
                  </w:pPr>
                  <w:r>
                    <w:rPr>
                      <w:szCs w:val="21"/>
                    </w:rPr>
                    <w:t>93</w:t>
                  </w:r>
                </w:p>
              </w:tc>
              <w:tc>
                <w:tcPr>
                  <w:tcW w:w="858" w:type="pct"/>
                  <w:shd w:val="clear" w:color="auto" w:fill="auto"/>
                  <w:vAlign w:val="center"/>
                </w:tcPr>
                <w:p>
                  <w:pPr>
                    <w:jc w:val="center"/>
                    <w:rPr>
                      <w:szCs w:val="21"/>
                    </w:rPr>
                  </w:pPr>
                  <w:r>
                    <w:rPr>
                      <w:rFonts w:hint="eastAsia"/>
                      <w:szCs w:val="21"/>
                    </w:rPr>
                    <w:t>82</w:t>
                  </w:r>
                </w:p>
              </w:tc>
              <w:tc>
                <w:tcPr>
                  <w:tcW w:w="859" w:type="pct"/>
                  <w:shd w:val="clear" w:color="auto" w:fill="auto"/>
                  <w:vAlign w:val="center"/>
                </w:tcPr>
                <w:p>
                  <w:pPr>
                    <w:jc w:val="center"/>
                    <w:rPr>
                      <w:szCs w:val="21"/>
                    </w:rPr>
                  </w:pPr>
                  <w:r>
                    <w:rPr>
                      <w:rFonts w:hint="eastAsia"/>
                      <w:szCs w:val="21"/>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Merge w:val="continue"/>
                  <w:shd w:val="clear" w:color="auto" w:fill="auto"/>
                  <w:vAlign w:val="center"/>
                </w:tcPr>
                <w:p>
                  <w:pPr>
                    <w:jc w:val="center"/>
                    <w:rPr>
                      <w:szCs w:val="21"/>
                    </w:rPr>
                  </w:pPr>
                </w:p>
              </w:tc>
              <w:tc>
                <w:tcPr>
                  <w:tcW w:w="936" w:type="pct"/>
                  <w:shd w:val="clear" w:color="auto" w:fill="auto"/>
                  <w:vAlign w:val="center"/>
                </w:tcPr>
                <w:p>
                  <w:pPr>
                    <w:jc w:val="center"/>
                    <w:rPr>
                      <w:szCs w:val="21"/>
                    </w:rPr>
                  </w:pPr>
                  <w:r>
                    <w:rPr>
                      <w:rFonts w:hint="eastAsia"/>
                      <w:szCs w:val="21"/>
                    </w:rPr>
                    <w:t>距机械</w:t>
                  </w:r>
                  <w:r>
                    <w:rPr>
                      <w:szCs w:val="21"/>
                    </w:rPr>
                    <w:t>10m处</w:t>
                  </w:r>
                </w:p>
              </w:tc>
              <w:tc>
                <w:tcPr>
                  <w:tcW w:w="858" w:type="pct"/>
                  <w:shd w:val="clear" w:color="auto" w:fill="auto"/>
                  <w:vAlign w:val="center"/>
                </w:tcPr>
                <w:p>
                  <w:pPr>
                    <w:jc w:val="center"/>
                    <w:rPr>
                      <w:szCs w:val="21"/>
                    </w:rPr>
                  </w:pPr>
                  <w:r>
                    <w:rPr>
                      <w:rFonts w:hint="eastAsia"/>
                      <w:szCs w:val="21"/>
                    </w:rPr>
                    <w:t>84</w:t>
                  </w:r>
                </w:p>
              </w:tc>
              <w:tc>
                <w:tcPr>
                  <w:tcW w:w="859" w:type="pct"/>
                  <w:shd w:val="clear" w:color="auto" w:fill="auto"/>
                  <w:vAlign w:val="center"/>
                </w:tcPr>
                <w:p>
                  <w:pPr>
                    <w:jc w:val="center"/>
                    <w:rPr>
                      <w:szCs w:val="21"/>
                    </w:rPr>
                  </w:pPr>
                  <w:r>
                    <w:rPr>
                      <w:rFonts w:hint="eastAsia"/>
                      <w:szCs w:val="21"/>
                    </w:rPr>
                    <w:t>87</w:t>
                  </w:r>
                </w:p>
              </w:tc>
              <w:tc>
                <w:tcPr>
                  <w:tcW w:w="858" w:type="pct"/>
                  <w:shd w:val="clear" w:color="auto" w:fill="auto"/>
                  <w:vAlign w:val="center"/>
                </w:tcPr>
                <w:p>
                  <w:pPr>
                    <w:jc w:val="center"/>
                    <w:rPr>
                      <w:szCs w:val="21"/>
                    </w:rPr>
                  </w:pPr>
                  <w:r>
                    <w:rPr>
                      <w:rFonts w:hint="eastAsia"/>
                      <w:szCs w:val="21"/>
                    </w:rPr>
                    <w:t>76</w:t>
                  </w:r>
                </w:p>
              </w:tc>
              <w:tc>
                <w:tcPr>
                  <w:tcW w:w="859" w:type="pct"/>
                  <w:shd w:val="clear" w:color="auto" w:fill="auto"/>
                  <w:vAlign w:val="center"/>
                </w:tcPr>
                <w:p>
                  <w:pPr>
                    <w:jc w:val="center"/>
                    <w:rPr>
                      <w:szCs w:val="21"/>
                    </w:rPr>
                  </w:pPr>
                  <w:r>
                    <w:rPr>
                      <w:rFonts w:hint="eastAsia"/>
                      <w:szCs w:val="21"/>
                    </w:rPr>
                    <w:t>83</w:t>
                  </w:r>
                </w:p>
              </w:tc>
            </w:tr>
          </w:tbl>
          <w:p>
            <w:pPr>
              <w:spacing w:line="360" w:lineRule="auto"/>
              <w:ind w:firstLine="480" w:firstLineChars="200"/>
              <w:rPr>
                <w:sz w:val="24"/>
                <w:szCs w:val="24"/>
              </w:rPr>
            </w:pPr>
            <w:r>
              <w:rPr>
                <w:rFonts w:hint="eastAsia"/>
                <w:sz w:val="24"/>
                <w:szCs w:val="24"/>
              </w:rPr>
              <w:t>为实现施工场界噪声达标排放，降低施工噪声对周围环境的影响，施工单位需严格按照相关要求文明施工，采取以下噪声防治措施：</w:t>
            </w:r>
          </w:p>
          <w:p>
            <w:pPr>
              <w:spacing w:line="360" w:lineRule="auto"/>
              <w:ind w:firstLine="480" w:firstLineChars="200"/>
              <w:rPr>
                <w:sz w:val="24"/>
                <w:szCs w:val="24"/>
              </w:rPr>
            </w:pPr>
            <w:r>
              <w:rPr>
                <w:rFonts w:hint="eastAsia"/>
                <w:sz w:val="24"/>
                <w:szCs w:val="24"/>
              </w:rPr>
              <w:t>①选用符合国家标准的低噪声设备，定期加强对设备的维修保养，避免由于设备非正常工作而产生噪声污染。</w:t>
            </w:r>
          </w:p>
          <w:p>
            <w:pPr>
              <w:spacing w:line="360" w:lineRule="auto"/>
              <w:ind w:firstLine="480" w:firstLineChars="200"/>
              <w:rPr>
                <w:color w:val="FF0000"/>
                <w:sz w:val="24"/>
                <w:szCs w:val="24"/>
              </w:rPr>
            </w:pPr>
            <w:r>
              <w:rPr>
                <w:rFonts w:hint="eastAsia"/>
                <w:sz w:val="24"/>
                <w:szCs w:val="24"/>
              </w:rPr>
              <w:t>②合理安排施工时间，禁止夜间（22:00~6:00）和午间（1</w:t>
            </w:r>
            <w:r>
              <w:rPr>
                <w:sz w:val="24"/>
                <w:szCs w:val="24"/>
              </w:rPr>
              <w:t>2:00~14:00</w:t>
            </w:r>
            <w:r>
              <w:rPr>
                <w:rFonts w:hint="eastAsia"/>
                <w:sz w:val="24"/>
                <w:szCs w:val="24"/>
              </w:rPr>
              <w:t>）施工，施</w:t>
            </w:r>
            <w:r>
              <w:rPr>
                <w:rFonts w:hint="eastAsia"/>
                <w:color w:val="auto"/>
                <w:sz w:val="24"/>
                <w:szCs w:val="24"/>
              </w:rPr>
              <w:t>工期若必须连续进行强噪声作业时，</w:t>
            </w:r>
            <w:r>
              <w:rPr>
                <w:rFonts w:hint="eastAsia"/>
                <w:color w:val="auto"/>
                <w:sz w:val="24"/>
                <w:szCs w:val="24"/>
                <w:lang w:val="en-US" w:eastAsia="zh-CN"/>
              </w:rPr>
              <w:t>须</w:t>
            </w:r>
            <w:r>
              <w:rPr>
                <w:rFonts w:hint="eastAsia"/>
                <w:color w:val="auto"/>
                <w:sz w:val="24"/>
                <w:szCs w:val="24"/>
              </w:rPr>
              <w:t>事先征得周围居民同意，向当地管理部门申报。</w:t>
            </w:r>
          </w:p>
          <w:p>
            <w:pPr>
              <w:spacing w:line="360" w:lineRule="auto"/>
              <w:ind w:firstLine="480" w:firstLineChars="200"/>
              <w:rPr>
                <w:sz w:val="24"/>
                <w:szCs w:val="24"/>
              </w:rPr>
            </w:pPr>
            <w:r>
              <w:rPr>
                <w:rFonts w:hint="eastAsia"/>
                <w:sz w:val="24"/>
                <w:szCs w:val="24"/>
              </w:rPr>
              <w:t>③加强管理，文明施工。装卸、搬运木材、模具、钢材等严禁抛掷，材料运输车辆进场要专人指挥，厂内运输车辆实施限速、禁止鸣笛。施工监理单位应做好噪声控制措施，确保施工场界噪声达标排放。</w:t>
            </w:r>
          </w:p>
          <w:p>
            <w:pPr>
              <w:spacing w:line="360" w:lineRule="auto"/>
              <w:ind w:firstLine="480" w:firstLineChars="200"/>
              <w:rPr>
                <w:sz w:val="24"/>
                <w:szCs w:val="24"/>
              </w:rPr>
            </w:pPr>
            <w:r>
              <w:rPr>
                <w:rFonts w:hint="eastAsia"/>
                <w:sz w:val="24"/>
                <w:szCs w:val="24"/>
              </w:rPr>
              <w:t>④施工运输车辆应按照有关部门同意的运输路线行进，运输时间应避开居民进出高峰期，同时严格限速、限载管理，禁止鸣笛。</w:t>
            </w:r>
          </w:p>
          <w:p>
            <w:pPr>
              <w:spacing w:line="360" w:lineRule="auto"/>
              <w:ind w:firstLine="480" w:firstLineChars="200"/>
              <w:rPr>
                <w:sz w:val="24"/>
                <w:szCs w:val="24"/>
              </w:rPr>
            </w:pPr>
            <w:r>
              <w:rPr>
                <w:rFonts w:hint="eastAsia"/>
                <w:sz w:val="24"/>
                <w:szCs w:val="24"/>
              </w:rPr>
              <w:t>⑤合理制定施工计划，加快施工进度，减少对周围居民影响；针对高噪声设备应采取临时性隔声措施，设置隔声屏障。</w:t>
            </w:r>
          </w:p>
          <w:p>
            <w:pPr>
              <w:spacing w:line="360" w:lineRule="auto"/>
              <w:ind w:firstLine="480" w:firstLineChars="200"/>
              <w:rPr>
                <w:sz w:val="24"/>
                <w:szCs w:val="24"/>
              </w:rPr>
            </w:pPr>
            <w:r>
              <w:rPr>
                <w:rFonts w:hint="eastAsia"/>
                <w:sz w:val="24"/>
                <w:szCs w:val="24"/>
              </w:rPr>
              <w:t>⑥施工前应进行公示，施工单位应在现场张贴通告和投诉电话，建设单位在接到投诉电话后及时与主管部门联系，及时处理各种环境纠纷。</w:t>
            </w:r>
          </w:p>
          <w:p>
            <w:pPr>
              <w:spacing w:line="360" w:lineRule="auto"/>
              <w:ind w:firstLine="482" w:firstLineChars="200"/>
              <w:rPr>
                <w:b/>
                <w:sz w:val="24"/>
                <w:szCs w:val="24"/>
              </w:rPr>
            </w:pPr>
            <w:r>
              <w:rPr>
                <w:b/>
                <w:sz w:val="24"/>
                <w:szCs w:val="24"/>
              </w:rPr>
              <w:t>4</w:t>
            </w:r>
            <w:r>
              <w:rPr>
                <w:rFonts w:hint="eastAsia"/>
                <w:b/>
                <w:sz w:val="24"/>
                <w:szCs w:val="24"/>
              </w:rPr>
              <w:t>、固体废物</w:t>
            </w:r>
          </w:p>
          <w:p>
            <w:pPr>
              <w:spacing w:line="360" w:lineRule="auto"/>
              <w:ind w:firstLine="482" w:firstLineChars="200"/>
              <w:rPr>
                <w:b/>
                <w:sz w:val="24"/>
                <w:szCs w:val="24"/>
              </w:rPr>
            </w:pPr>
            <w:r>
              <w:rPr>
                <w:rFonts w:hint="eastAsia"/>
                <w:b/>
                <w:sz w:val="24"/>
                <w:szCs w:val="24"/>
              </w:rPr>
              <w:t>（1）土石方</w:t>
            </w:r>
          </w:p>
          <w:p>
            <w:pPr>
              <w:spacing w:line="360" w:lineRule="auto"/>
              <w:ind w:firstLine="480" w:firstLineChars="200"/>
              <w:rPr>
                <w:sz w:val="24"/>
                <w:szCs w:val="24"/>
              </w:rPr>
            </w:pPr>
            <w:r>
              <w:rPr>
                <w:rFonts w:hint="eastAsia"/>
                <w:sz w:val="24"/>
                <w:szCs w:val="24"/>
              </w:rPr>
              <w:t>施工期开挖土石方全部用于场地回填、调整场平，无弃土产生。为防止施工期土石方处置不当对周围环境的影响，本环评要求：施工期禁止大风天气和雨天进行土石方开挖作业，开挖的土石方应及时回填，回填后应及时夯实覆土；施工完成后，应尽快进行绿化建设，优先选用固沙植物，覆盖的泥土应不超出绿化边界</w:t>
            </w:r>
          </w:p>
          <w:p>
            <w:pPr>
              <w:spacing w:line="360" w:lineRule="auto"/>
              <w:ind w:firstLine="482" w:firstLineChars="200"/>
              <w:rPr>
                <w:b/>
                <w:sz w:val="24"/>
                <w:szCs w:val="24"/>
              </w:rPr>
            </w:pPr>
            <w:r>
              <w:rPr>
                <w:rFonts w:hint="eastAsia"/>
                <w:b/>
                <w:sz w:val="24"/>
                <w:szCs w:val="24"/>
              </w:rPr>
              <w:t>（</w:t>
            </w:r>
            <w:r>
              <w:rPr>
                <w:b/>
                <w:sz w:val="24"/>
                <w:szCs w:val="24"/>
              </w:rPr>
              <w:t>2</w:t>
            </w:r>
            <w:r>
              <w:rPr>
                <w:rFonts w:hint="eastAsia"/>
                <w:b/>
                <w:sz w:val="24"/>
                <w:szCs w:val="24"/>
              </w:rPr>
              <w:t>）建筑垃圾</w:t>
            </w:r>
          </w:p>
          <w:p>
            <w:pPr>
              <w:spacing w:line="360" w:lineRule="auto"/>
              <w:ind w:firstLine="480" w:firstLineChars="200"/>
              <w:rPr>
                <w:sz w:val="24"/>
                <w:szCs w:val="24"/>
              </w:rPr>
            </w:pPr>
            <w:r>
              <w:rPr>
                <w:rFonts w:hint="eastAsia"/>
                <w:sz w:val="24"/>
                <w:szCs w:val="24"/>
              </w:rPr>
              <w:t>施工期建筑垃圾包括建筑废料和装修垃圾，预计产生量约10t。施工期产生的建筑垃圾，应在48小时内及时清运；建筑垃圾在48小时内未能清运的，施工现场应设置建筑垃圾临时堆放场，临时堆放场应采取围挡、覆盖等防尘措施；施工现场建筑垃圾清运时，建设单位或施工</w:t>
            </w:r>
            <w:r>
              <w:rPr>
                <w:rFonts w:hint="eastAsia"/>
                <w:color w:val="auto"/>
                <w:sz w:val="24"/>
                <w:szCs w:val="24"/>
              </w:rPr>
              <w:t>单位应与运输企业签订《建筑垃圾</w:t>
            </w:r>
            <w:r>
              <w:rPr>
                <w:rFonts w:hint="eastAsia"/>
                <w:sz w:val="24"/>
                <w:szCs w:val="24"/>
              </w:rPr>
              <w:t>运输合同》。建设单位或施工单位应在施工现场派驻建筑垃圾处置管理员，负责监督建筑垃圾外运时运渣车辆是否密闭运输、冲洗除尘和号牌清晰，做到不带泥出门，不冒顶装载。</w:t>
            </w:r>
          </w:p>
          <w:p>
            <w:pPr>
              <w:spacing w:line="360" w:lineRule="auto"/>
              <w:ind w:firstLine="482" w:firstLineChars="200"/>
              <w:rPr>
                <w:b/>
                <w:sz w:val="24"/>
                <w:szCs w:val="24"/>
              </w:rPr>
            </w:pPr>
            <w:r>
              <w:rPr>
                <w:rFonts w:hint="eastAsia"/>
                <w:b/>
                <w:sz w:val="24"/>
                <w:szCs w:val="24"/>
              </w:rPr>
              <w:t>（</w:t>
            </w:r>
            <w:r>
              <w:rPr>
                <w:b/>
                <w:sz w:val="24"/>
                <w:szCs w:val="24"/>
              </w:rPr>
              <w:t>3</w:t>
            </w:r>
            <w:r>
              <w:rPr>
                <w:rFonts w:hint="eastAsia"/>
                <w:b/>
                <w:sz w:val="24"/>
                <w:szCs w:val="24"/>
              </w:rPr>
              <w:t>）生活垃圾</w:t>
            </w:r>
          </w:p>
          <w:p>
            <w:pPr>
              <w:spacing w:line="360" w:lineRule="auto"/>
              <w:ind w:firstLine="480" w:firstLineChars="200"/>
              <w:rPr>
                <w:sz w:val="24"/>
                <w:szCs w:val="24"/>
              </w:rPr>
            </w:pPr>
            <w:r>
              <w:rPr>
                <w:rFonts w:hint="eastAsia"/>
                <w:sz w:val="24"/>
                <w:szCs w:val="24"/>
              </w:rPr>
              <w:t>施工期生活垃圾</w:t>
            </w:r>
            <w:r>
              <w:rPr>
                <w:rFonts w:cs="Times New Roman"/>
                <w:sz w:val="24"/>
                <w:szCs w:val="24"/>
              </w:rPr>
              <w:t>主要为施工人员办公生活过程的产生的垃圾，施工人员预计约30人，生活垃圾产生量按0.5kg/人·d计，预计产生量15kg/d，生活垃圾经袋装收集后，由环卫部门统一清运处理。</w:t>
            </w:r>
          </w:p>
          <w:p>
            <w:pPr>
              <w:spacing w:line="360" w:lineRule="auto"/>
              <w:ind w:firstLine="482" w:firstLineChars="200"/>
              <w:rPr>
                <w:b/>
                <w:sz w:val="24"/>
                <w:szCs w:val="24"/>
              </w:rPr>
            </w:pPr>
            <w:r>
              <w:rPr>
                <w:rFonts w:hint="eastAsia"/>
                <w:b/>
                <w:sz w:val="24"/>
                <w:szCs w:val="24"/>
              </w:rPr>
              <w:t>（</w:t>
            </w:r>
            <w:r>
              <w:rPr>
                <w:b/>
                <w:sz w:val="24"/>
                <w:szCs w:val="24"/>
              </w:rPr>
              <w:t>4</w:t>
            </w:r>
            <w:r>
              <w:rPr>
                <w:rFonts w:hint="eastAsia"/>
                <w:b/>
                <w:sz w:val="24"/>
                <w:szCs w:val="24"/>
              </w:rPr>
              <w:t>）废包装料</w:t>
            </w:r>
          </w:p>
          <w:p>
            <w:pPr>
              <w:spacing w:line="360" w:lineRule="auto"/>
              <w:ind w:firstLine="480" w:firstLineChars="200"/>
              <w:rPr>
                <w:sz w:val="24"/>
                <w:szCs w:val="24"/>
              </w:rPr>
            </w:pPr>
            <w:r>
              <w:rPr>
                <w:rFonts w:hint="eastAsia"/>
                <w:sz w:val="24"/>
                <w:szCs w:val="24"/>
              </w:rPr>
              <w:t>施工期设备安装过程废包材料以塑料膜、纸板、木材等为主，预计产生量约0.5t，应分类收集后统一外售至废旧资源回收站。</w:t>
            </w:r>
          </w:p>
          <w:p>
            <w:pPr>
              <w:spacing w:line="360" w:lineRule="auto"/>
              <w:ind w:firstLine="482" w:firstLineChars="200"/>
              <w:rPr>
                <w:b/>
                <w:sz w:val="24"/>
                <w:szCs w:val="24"/>
              </w:rPr>
            </w:pPr>
            <w:r>
              <w:rPr>
                <w:rFonts w:hint="eastAsia"/>
                <w:b/>
                <w:sz w:val="24"/>
                <w:szCs w:val="24"/>
              </w:rPr>
              <w:t>（</w:t>
            </w:r>
            <w:r>
              <w:rPr>
                <w:b/>
                <w:sz w:val="24"/>
                <w:szCs w:val="24"/>
              </w:rPr>
              <w:t>5</w:t>
            </w:r>
            <w:r>
              <w:rPr>
                <w:rFonts w:hint="eastAsia"/>
                <w:b/>
                <w:sz w:val="24"/>
                <w:szCs w:val="24"/>
              </w:rPr>
              <w:t>）隔油设施废油脂</w:t>
            </w:r>
          </w:p>
          <w:p>
            <w:pPr>
              <w:spacing w:line="360" w:lineRule="auto"/>
              <w:ind w:firstLine="480" w:firstLineChars="200"/>
              <w:rPr>
                <w:sz w:val="24"/>
                <w:szCs w:val="24"/>
              </w:rPr>
            </w:pPr>
            <w:r>
              <w:rPr>
                <w:rFonts w:hint="eastAsia"/>
                <w:sz w:val="24"/>
                <w:szCs w:val="24"/>
              </w:rPr>
              <w:t>施工期隔油设施主要用于处理施工车间冲洗等含矿物油的废水，隔油设施废油脂产生量约0</w:t>
            </w:r>
            <w:r>
              <w:rPr>
                <w:sz w:val="24"/>
                <w:szCs w:val="24"/>
              </w:rPr>
              <w:t>.02t，根据</w:t>
            </w:r>
            <w:r>
              <w:rPr>
                <w:rFonts w:hint="eastAsia"/>
                <w:sz w:val="24"/>
                <w:szCs w:val="24"/>
              </w:rPr>
              <w:t>《国家危险废物名录（2021年版）》（部令第15号），其属于“</w:t>
            </w:r>
            <w:r>
              <w:rPr>
                <w:rFonts w:hint="eastAsia"/>
                <w:i/>
                <w:sz w:val="24"/>
                <w:szCs w:val="24"/>
              </w:rPr>
              <w:t>HW</w:t>
            </w:r>
            <w:r>
              <w:rPr>
                <w:i/>
                <w:sz w:val="24"/>
                <w:szCs w:val="24"/>
              </w:rPr>
              <w:t>08/</w:t>
            </w:r>
            <w:r>
              <w:rPr>
                <w:rFonts w:hint="eastAsia"/>
                <w:i/>
                <w:sz w:val="24"/>
                <w:szCs w:val="24"/>
              </w:rPr>
              <w:t>非特定行业/</w:t>
            </w:r>
            <w:r>
              <w:rPr>
                <w:i/>
                <w:sz w:val="24"/>
                <w:szCs w:val="24"/>
              </w:rPr>
              <w:t xml:space="preserve">900-210-08 </w:t>
            </w:r>
            <w:r>
              <w:rPr>
                <w:rFonts w:hint="eastAsia"/>
                <w:i/>
                <w:sz w:val="24"/>
                <w:szCs w:val="24"/>
              </w:rPr>
              <w:t>含油废水处理中隔油、气浮、沉淀等处理过程中产生的浮油、浮渣和污泥（不包括废水生化处理污泥）</w:t>
            </w:r>
            <w:r>
              <w:rPr>
                <w:rFonts w:hint="eastAsia"/>
                <w:sz w:val="24"/>
                <w:szCs w:val="24"/>
              </w:rPr>
              <w:t>”，应按规范单独设置危废暂存间，交由具资质单位处理。</w:t>
            </w:r>
          </w:p>
          <w:p>
            <w:pPr>
              <w:spacing w:line="360" w:lineRule="auto"/>
              <w:ind w:firstLine="482" w:firstLineChars="200"/>
              <w:rPr>
                <w:b/>
                <w:sz w:val="24"/>
                <w:szCs w:val="24"/>
              </w:rPr>
            </w:pPr>
            <w:r>
              <w:rPr>
                <w:b/>
                <w:sz w:val="24"/>
                <w:szCs w:val="24"/>
              </w:rPr>
              <w:t>5</w:t>
            </w:r>
            <w:r>
              <w:rPr>
                <w:rFonts w:hint="eastAsia"/>
                <w:b/>
                <w:sz w:val="24"/>
                <w:szCs w:val="24"/>
              </w:rPr>
              <w:t>、生态环境</w:t>
            </w:r>
          </w:p>
          <w:p>
            <w:pPr>
              <w:spacing w:line="360" w:lineRule="auto"/>
              <w:ind w:firstLine="480" w:firstLineChars="200"/>
              <w:rPr>
                <w:sz w:val="24"/>
                <w:szCs w:val="24"/>
              </w:rPr>
            </w:pPr>
            <w:r>
              <w:rPr>
                <w:rFonts w:hint="eastAsia"/>
                <w:sz w:val="24"/>
                <w:szCs w:val="24"/>
              </w:rPr>
              <w:t>工程施工期对生态的影响和破坏的途径主要为土石方填挖、场地平整等使原有土壤结构发生改变，破坏原有植被，在一定时段和一定区域将造成水土流失。为防止施工期水土流失，环评要求施工阶段应采取以下措施：</w:t>
            </w:r>
          </w:p>
          <w:p>
            <w:pPr>
              <w:spacing w:line="360" w:lineRule="auto"/>
              <w:ind w:firstLine="480" w:firstLineChars="200"/>
              <w:rPr>
                <w:sz w:val="24"/>
                <w:szCs w:val="24"/>
              </w:rPr>
            </w:pPr>
            <w:r>
              <w:rPr>
                <w:rFonts w:hint="eastAsia"/>
                <w:sz w:val="24"/>
                <w:szCs w:val="24"/>
              </w:rPr>
              <w:t>①严格遵守环保法律法规，加强施工人员环保意识；科学合理的安排施工进度与时序，严格控制开挖施工作业面。</w:t>
            </w:r>
          </w:p>
          <w:p>
            <w:pPr>
              <w:spacing w:line="360" w:lineRule="auto"/>
              <w:ind w:firstLine="480" w:firstLineChars="200"/>
              <w:rPr>
                <w:sz w:val="24"/>
                <w:szCs w:val="24"/>
              </w:rPr>
            </w:pPr>
            <w:r>
              <w:rPr>
                <w:rFonts w:hint="eastAsia"/>
                <w:sz w:val="24"/>
                <w:szCs w:val="24"/>
              </w:rPr>
              <w:t>②为防止雨水、地表径流对堆料场和渣（土）体的冲刷，应对临时堆土、裸土采取覆盖、拦挡措施，避免雨水冲刷造成水土流失。</w:t>
            </w:r>
          </w:p>
          <w:p>
            <w:pPr>
              <w:spacing w:line="360" w:lineRule="auto"/>
              <w:ind w:firstLine="480" w:firstLineChars="200"/>
              <w:rPr>
                <w:sz w:val="24"/>
                <w:szCs w:val="24"/>
              </w:rPr>
            </w:pPr>
            <w:r>
              <w:rPr>
                <w:rFonts w:hint="eastAsia"/>
                <w:sz w:val="24"/>
                <w:szCs w:val="24"/>
              </w:rPr>
              <w:t>③做好表层土剥离、暂存工作，施工结束后及时进行回铺表土、撒草绿化等，所选草种应具有抗逆性强、保土性好、生长快的特点，最大限度保护和恢复植被。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56" w:type="dxa"/>
            <w:vAlign w:val="center"/>
          </w:tcPr>
          <w:p>
            <w:pPr>
              <w:spacing w:line="360" w:lineRule="auto"/>
              <w:jc w:val="center"/>
              <w:rPr>
                <w:rFonts w:cs="Times New Roman"/>
                <w:sz w:val="24"/>
                <w:szCs w:val="24"/>
              </w:rPr>
            </w:pPr>
            <w:r>
              <w:rPr>
                <w:rFonts w:hint="eastAsia" w:cs="Times New Roman"/>
                <w:sz w:val="24"/>
                <w:szCs w:val="24"/>
              </w:rPr>
              <w:t>运营期环境影响和保护措施</w:t>
            </w:r>
          </w:p>
        </w:tc>
        <w:tc>
          <w:tcPr>
            <w:tcW w:w="8893" w:type="dxa"/>
            <w:vAlign w:val="center"/>
          </w:tcPr>
          <w:p>
            <w:pPr>
              <w:spacing w:line="360" w:lineRule="auto"/>
              <w:ind w:firstLine="482" w:firstLineChars="200"/>
              <w:rPr>
                <w:b/>
                <w:sz w:val="24"/>
                <w:szCs w:val="24"/>
              </w:rPr>
            </w:pPr>
            <w:r>
              <w:rPr>
                <w:rFonts w:hint="eastAsia"/>
                <w:b/>
                <w:sz w:val="24"/>
                <w:szCs w:val="24"/>
              </w:rPr>
              <w:t>1、废气</w:t>
            </w:r>
          </w:p>
          <w:p>
            <w:pPr>
              <w:spacing w:line="360" w:lineRule="auto"/>
              <w:ind w:firstLine="480" w:firstLineChars="200"/>
              <w:rPr>
                <w:rFonts w:cs="Times New Roman"/>
                <w:sz w:val="24"/>
                <w:szCs w:val="24"/>
              </w:rPr>
            </w:pPr>
            <w:r>
              <w:rPr>
                <w:rFonts w:cs="Times New Roman"/>
                <w:sz w:val="24"/>
                <w:szCs w:val="24"/>
              </w:rPr>
              <w:t>本项目为自来水生产和供应，运营期不设化验室和员工食堂，无废气产生。</w:t>
            </w:r>
          </w:p>
          <w:p>
            <w:pPr>
              <w:spacing w:line="360" w:lineRule="auto"/>
              <w:ind w:firstLine="482" w:firstLineChars="200"/>
              <w:rPr>
                <w:b/>
                <w:sz w:val="24"/>
                <w:szCs w:val="24"/>
              </w:rPr>
            </w:pPr>
            <w:r>
              <w:rPr>
                <w:b/>
                <w:sz w:val="24"/>
                <w:szCs w:val="24"/>
              </w:rPr>
              <w:t>2</w:t>
            </w:r>
            <w:r>
              <w:rPr>
                <w:rFonts w:hint="eastAsia"/>
                <w:b/>
                <w:sz w:val="24"/>
                <w:szCs w:val="24"/>
              </w:rPr>
              <w:t>、废水</w:t>
            </w:r>
          </w:p>
          <w:p>
            <w:pPr>
              <w:spacing w:line="360" w:lineRule="auto"/>
              <w:ind w:firstLine="482" w:firstLineChars="200"/>
              <w:rPr>
                <w:b/>
                <w:sz w:val="24"/>
                <w:szCs w:val="24"/>
              </w:rPr>
            </w:pPr>
            <w:r>
              <w:rPr>
                <w:rFonts w:hint="eastAsia"/>
                <w:b/>
                <w:sz w:val="24"/>
                <w:szCs w:val="24"/>
              </w:rPr>
              <w:t>（1）产生情况</w:t>
            </w:r>
          </w:p>
          <w:p>
            <w:pPr>
              <w:spacing w:line="360" w:lineRule="auto"/>
              <w:ind w:firstLine="480" w:firstLineChars="200"/>
              <w:rPr>
                <w:sz w:val="24"/>
                <w:szCs w:val="24"/>
              </w:rPr>
            </w:pPr>
            <w:r>
              <w:rPr>
                <w:sz w:val="24"/>
                <w:szCs w:val="24"/>
              </w:rPr>
              <w:t>运营期废水主要为生产废水（包括排泥废水、反冲洗废水）和生活污水。</w:t>
            </w:r>
          </w:p>
          <w:p>
            <w:pPr>
              <w:spacing w:line="360" w:lineRule="auto"/>
              <w:ind w:firstLine="482" w:firstLineChars="200"/>
              <w:rPr>
                <w:b/>
                <w:sz w:val="24"/>
                <w:szCs w:val="24"/>
              </w:rPr>
            </w:pPr>
            <w:r>
              <w:rPr>
                <w:rFonts w:hint="eastAsia"/>
                <w:b/>
                <w:sz w:val="24"/>
                <w:szCs w:val="24"/>
              </w:rPr>
              <w:t>①生产废水</w:t>
            </w:r>
          </w:p>
          <w:p>
            <w:pPr>
              <w:spacing w:line="360" w:lineRule="auto"/>
              <w:ind w:firstLine="480" w:firstLineChars="200"/>
              <w:rPr>
                <w:sz w:val="24"/>
                <w:szCs w:val="24"/>
              </w:rPr>
            </w:pPr>
            <w:r>
              <w:rPr>
                <w:sz w:val="24"/>
                <w:szCs w:val="24"/>
              </w:rPr>
              <w:t>项目生产废水包括混凝沉淀过滤一体化设备产生的排泥废水以及活性炭过滤器反冲洗过程产生的废水，根据</w:t>
            </w:r>
            <w:r>
              <w:rPr>
                <w:rFonts w:hint="eastAsia"/>
                <w:sz w:val="24"/>
                <w:szCs w:val="24"/>
              </w:rPr>
              <w:t>《排放源统计调查产排污核算方法和系数手册》（公告2021年第24号）中“</w:t>
            </w:r>
            <w:r>
              <w:rPr>
                <w:rFonts w:hint="eastAsia"/>
                <w:i/>
                <w:sz w:val="24"/>
                <w:szCs w:val="24"/>
              </w:rPr>
              <w:t>4610 自来水生产和供应行业系数手册</w:t>
            </w:r>
            <w:r>
              <w:rPr>
                <w:rFonts w:hint="eastAsia"/>
                <w:sz w:val="24"/>
                <w:szCs w:val="24"/>
              </w:rPr>
              <w:t>”，工业废水量产污系数为6</w:t>
            </w:r>
            <w:r>
              <w:rPr>
                <w:sz w:val="24"/>
                <w:szCs w:val="24"/>
              </w:rPr>
              <w:t>.16×10</w:t>
            </w:r>
            <w:r>
              <w:rPr>
                <w:sz w:val="24"/>
                <w:szCs w:val="24"/>
                <w:vertAlign w:val="superscript"/>
              </w:rPr>
              <w:t>-2</w:t>
            </w:r>
            <w:r>
              <w:rPr>
                <w:sz w:val="24"/>
                <w:szCs w:val="24"/>
              </w:rPr>
              <w:t>t/t-产品，</w:t>
            </w:r>
            <w:r>
              <w:rPr>
                <w:rFonts w:hint="eastAsia"/>
                <w:sz w:val="24"/>
                <w:szCs w:val="24"/>
              </w:rPr>
              <w:t>化学需氧量</w:t>
            </w:r>
            <w:r>
              <w:rPr>
                <w:sz w:val="24"/>
                <w:szCs w:val="24"/>
              </w:rPr>
              <w:t>、氨氮、总磷产污系数分别为</w:t>
            </w:r>
            <w:r>
              <w:rPr>
                <w:rFonts w:hint="eastAsia"/>
                <w:sz w:val="24"/>
                <w:szCs w:val="24"/>
              </w:rPr>
              <w:t>1</w:t>
            </w:r>
            <w:r>
              <w:rPr>
                <w:sz w:val="24"/>
                <w:szCs w:val="24"/>
              </w:rPr>
              <w:t>.13g/t-产品、2.91×10</w:t>
            </w:r>
            <w:r>
              <w:rPr>
                <w:sz w:val="24"/>
                <w:szCs w:val="24"/>
                <w:vertAlign w:val="superscript"/>
              </w:rPr>
              <w:t>-2</w:t>
            </w:r>
            <w:r>
              <w:rPr>
                <w:sz w:val="24"/>
                <w:szCs w:val="24"/>
              </w:rPr>
              <w:t>g/t-产品、2.25×10</w:t>
            </w:r>
            <w:r>
              <w:rPr>
                <w:sz w:val="24"/>
                <w:szCs w:val="24"/>
                <w:vertAlign w:val="superscript"/>
              </w:rPr>
              <w:t>-2</w:t>
            </w:r>
            <w:r>
              <w:rPr>
                <w:sz w:val="24"/>
                <w:szCs w:val="24"/>
              </w:rPr>
              <w:t>g/t-产品，本项目</w:t>
            </w:r>
            <w:r>
              <w:rPr>
                <w:rFonts w:hint="eastAsia"/>
                <w:sz w:val="24"/>
                <w:szCs w:val="24"/>
              </w:rPr>
              <w:t>供水</w:t>
            </w:r>
            <w:r>
              <w:rPr>
                <w:sz w:val="24"/>
                <w:szCs w:val="24"/>
              </w:rPr>
              <w:t>规模2</w:t>
            </w:r>
            <w:r>
              <w:rPr>
                <w:rFonts w:hint="eastAsia"/>
                <w:sz w:val="24"/>
                <w:szCs w:val="24"/>
                <w:lang w:val="en-US" w:eastAsia="zh-CN"/>
              </w:rPr>
              <w:t>0</w:t>
            </w:r>
            <w:r>
              <w:rPr>
                <w:sz w:val="24"/>
                <w:szCs w:val="24"/>
              </w:rPr>
              <w:t>000t/d，则运营期生产废水产生源强见下表：</w:t>
            </w:r>
          </w:p>
          <w:p>
            <w:pPr>
              <w:spacing w:line="360" w:lineRule="auto"/>
              <w:jc w:val="center"/>
              <w:rPr>
                <w:rFonts w:eastAsia="黑体" w:cs="Times New Roman"/>
                <w:szCs w:val="21"/>
              </w:rPr>
            </w:pPr>
            <w:r>
              <w:rPr>
                <w:rFonts w:eastAsia="黑体" w:cs="Times New Roman"/>
                <w:szCs w:val="21"/>
              </w:rPr>
              <w:t>表4</w:t>
            </w:r>
            <w:r>
              <w:rPr>
                <w:rFonts w:hint="eastAsia" w:eastAsia="黑体" w:cs="Times New Roman"/>
                <w:szCs w:val="21"/>
              </w:rPr>
              <w:t>-</w:t>
            </w:r>
            <w:r>
              <w:rPr>
                <w:rFonts w:eastAsia="黑体" w:cs="Times New Roman"/>
                <w:szCs w:val="21"/>
              </w:rPr>
              <w:t>2  生产</w:t>
            </w:r>
            <w:r>
              <w:rPr>
                <w:rFonts w:hint="eastAsia" w:eastAsia="黑体" w:cs="Times New Roman"/>
                <w:szCs w:val="21"/>
              </w:rPr>
              <w:t>废水产排污环节、类别、污染物种类、产生量</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1191"/>
              <w:gridCol w:w="1134"/>
              <w:gridCol w:w="1420"/>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944" w:type="pct"/>
                  <w:vMerge w:val="restart"/>
                  <w:vAlign w:val="center"/>
                </w:tcPr>
                <w:p>
                  <w:pPr>
                    <w:jc w:val="center"/>
                    <w:rPr>
                      <w:szCs w:val="21"/>
                    </w:rPr>
                  </w:pPr>
                  <w:r>
                    <w:rPr>
                      <w:rFonts w:hint="eastAsia"/>
                      <w:szCs w:val="21"/>
                    </w:rPr>
                    <w:t>废水产污环节</w:t>
                  </w:r>
                </w:p>
              </w:tc>
              <w:tc>
                <w:tcPr>
                  <w:tcW w:w="687" w:type="pct"/>
                  <w:vMerge w:val="restart"/>
                  <w:vAlign w:val="center"/>
                </w:tcPr>
                <w:p>
                  <w:pPr>
                    <w:jc w:val="center"/>
                    <w:rPr>
                      <w:szCs w:val="21"/>
                    </w:rPr>
                  </w:pPr>
                  <w:r>
                    <w:rPr>
                      <w:szCs w:val="21"/>
                    </w:rPr>
                    <w:t>废水类别</w:t>
                  </w:r>
                </w:p>
              </w:tc>
              <w:tc>
                <w:tcPr>
                  <w:tcW w:w="654" w:type="pct"/>
                  <w:vMerge w:val="restart"/>
                  <w:vAlign w:val="center"/>
                </w:tcPr>
                <w:p>
                  <w:pPr>
                    <w:jc w:val="center"/>
                    <w:rPr>
                      <w:szCs w:val="21"/>
                    </w:rPr>
                  </w:pPr>
                  <w:r>
                    <w:rPr>
                      <w:szCs w:val="21"/>
                    </w:rPr>
                    <w:t>废水量</w:t>
                  </w:r>
                  <w:r>
                    <w:rPr>
                      <w:rFonts w:hint="eastAsia"/>
                      <w:szCs w:val="21"/>
                    </w:rPr>
                    <w:t>（</w:t>
                  </w:r>
                  <w:r>
                    <w:rPr>
                      <w:szCs w:val="21"/>
                    </w:rPr>
                    <w:t>m</w:t>
                  </w:r>
                  <w:r>
                    <w:rPr>
                      <w:szCs w:val="21"/>
                      <w:vertAlign w:val="superscript"/>
                    </w:rPr>
                    <w:t>3</w:t>
                  </w:r>
                  <w:r>
                    <w:rPr>
                      <w:szCs w:val="21"/>
                    </w:rPr>
                    <w:t>/d</w:t>
                  </w:r>
                  <w:r>
                    <w:rPr>
                      <w:rFonts w:hint="eastAsia"/>
                      <w:szCs w:val="21"/>
                    </w:rPr>
                    <w:t>）</w:t>
                  </w:r>
                </w:p>
              </w:tc>
              <w:tc>
                <w:tcPr>
                  <w:tcW w:w="819" w:type="pct"/>
                  <w:vMerge w:val="restart"/>
                  <w:vAlign w:val="center"/>
                </w:tcPr>
                <w:p>
                  <w:pPr>
                    <w:jc w:val="center"/>
                    <w:rPr>
                      <w:szCs w:val="21"/>
                    </w:rPr>
                  </w:pPr>
                  <w:r>
                    <w:rPr>
                      <w:szCs w:val="21"/>
                    </w:rPr>
                    <w:t>污染物</w:t>
                  </w:r>
                  <w:r>
                    <w:rPr>
                      <w:rFonts w:hint="eastAsia"/>
                      <w:szCs w:val="21"/>
                    </w:rPr>
                    <w:t>种类</w:t>
                  </w:r>
                </w:p>
              </w:tc>
              <w:tc>
                <w:tcPr>
                  <w:tcW w:w="1896" w:type="pct"/>
                  <w:gridSpan w:val="2"/>
                  <w:vAlign w:val="center"/>
                </w:tcPr>
                <w:p>
                  <w:pPr>
                    <w:jc w:val="center"/>
                    <w:rPr>
                      <w:szCs w:val="21"/>
                    </w:rPr>
                  </w:pPr>
                  <w:r>
                    <w:rPr>
                      <w:szCs w:val="21"/>
                    </w:rPr>
                    <w:t>污染物产生量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pct"/>
                  <w:vMerge w:val="continue"/>
                  <w:vAlign w:val="center"/>
                </w:tcPr>
                <w:p>
                  <w:pPr>
                    <w:jc w:val="center"/>
                    <w:rPr>
                      <w:szCs w:val="21"/>
                    </w:rPr>
                  </w:pPr>
                </w:p>
              </w:tc>
              <w:tc>
                <w:tcPr>
                  <w:tcW w:w="687" w:type="pct"/>
                  <w:vMerge w:val="continue"/>
                  <w:vAlign w:val="center"/>
                </w:tcPr>
                <w:p>
                  <w:pPr>
                    <w:jc w:val="center"/>
                    <w:rPr>
                      <w:szCs w:val="21"/>
                    </w:rPr>
                  </w:pPr>
                </w:p>
              </w:tc>
              <w:tc>
                <w:tcPr>
                  <w:tcW w:w="654" w:type="pct"/>
                  <w:vMerge w:val="continue"/>
                  <w:vAlign w:val="center"/>
                </w:tcPr>
                <w:p>
                  <w:pPr>
                    <w:jc w:val="center"/>
                    <w:rPr>
                      <w:szCs w:val="21"/>
                    </w:rPr>
                  </w:pPr>
                </w:p>
              </w:tc>
              <w:tc>
                <w:tcPr>
                  <w:tcW w:w="819" w:type="pct"/>
                  <w:vMerge w:val="continue"/>
                  <w:vAlign w:val="center"/>
                </w:tcPr>
                <w:p>
                  <w:pPr>
                    <w:jc w:val="center"/>
                    <w:rPr>
                      <w:szCs w:val="21"/>
                    </w:rPr>
                  </w:pPr>
                </w:p>
              </w:tc>
              <w:tc>
                <w:tcPr>
                  <w:tcW w:w="948" w:type="pct"/>
                  <w:vAlign w:val="center"/>
                </w:tcPr>
                <w:p>
                  <w:pPr>
                    <w:jc w:val="center"/>
                    <w:rPr>
                      <w:szCs w:val="21"/>
                    </w:rPr>
                  </w:pPr>
                  <w:r>
                    <w:rPr>
                      <w:rFonts w:hint="eastAsia"/>
                      <w:szCs w:val="21"/>
                    </w:rPr>
                    <w:t>浓度（</w:t>
                  </w:r>
                  <w:r>
                    <w:rPr>
                      <w:szCs w:val="21"/>
                    </w:rPr>
                    <w:t>mg</w:t>
                  </w:r>
                  <w:r>
                    <w:rPr>
                      <w:rFonts w:hint="eastAsia"/>
                      <w:szCs w:val="21"/>
                    </w:rPr>
                    <w:t>/L）</w:t>
                  </w:r>
                </w:p>
              </w:tc>
              <w:tc>
                <w:tcPr>
                  <w:tcW w:w="948" w:type="pct"/>
                  <w:vAlign w:val="center"/>
                </w:tcPr>
                <w:p>
                  <w:pPr>
                    <w:jc w:val="center"/>
                    <w:rPr>
                      <w:szCs w:val="21"/>
                    </w:rPr>
                  </w:pPr>
                  <w:r>
                    <w:rPr>
                      <w:rFonts w:hint="eastAsia"/>
                      <w:szCs w:val="21"/>
                    </w:rPr>
                    <w:t>产生量（t</w:t>
                  </w:r>
                  <w:r>
                    <w:rPr>
                      <w:szCs w:val="21"/>
                    </w:rPr>
                    <w:t>/a</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pct"/>
                  <w:vMerge w:val="restart"/>
                  <w:vAlign w:val="center"/>
                </w:tcPr>
                <w:p>
                  <w:pPr>
                    <w:jc w:val="center"/>
                    <w:rPr>
                      <w:szCs w:val="21"/>
                    </w:rPr>
                  </w:pPr>
                  <w:r>
                    <w:rPr>
                      <w:rFonts w:hint="eastAsia"/>
                      <w:szCs w:val="21"/>
                    </w:rPr>
                    <w:t>混凝沉淀过滤一体化设备、活性炭过滤器</w:t>
                  </w:r>
                </w:p>
              </w:tc>
              <w:tc>
                <w:tcPr>
                  <w:tcW w:w="687" w:type="pct"/>
                  <w:vMerge w:val="restart"/>
                  <w:vAlign w:val="center"/>
                </w:tcPr>
                <w:p>
                  <w:pPr>
                    <w:jc w:val="center"/>
                    <w:rPr>
                      <w:szCs w:val="21"/>
                    </w:rPr>
                  </w:pPr>
                  <w:r>
                    <w:rPr>
                      <w:rFonts w:hint="eastAsia"/>
                      <w:szCs w:val="21"/>
                    </w:rPr>
                    <w:t>生产废水</w:t>
                  </w:r>
                </w:p>
              </w:tc>
              <w:tc>
                <w:tcPr>
                  <w:tcW w:w="654" w:type="pct"/>
                  <w:vMerge w:val="restart"/>
                  <w:vAlign w:val="center"/>
                </w:tcPr>
                <w:p>
                  <w:pPr>
                    <w:jc w:val="center"/>
                    <w:rPr>
                      <w:rFonts w:hint="eastAsia" w:eastAsia="宋体"/>
                      <w:szCs w:val="21"/>
                      <w:lang w:eastAsia="zh-CN"/>
                    </w:rPr>
                  </w:pPr>
                  <w:r>
                    <w:rPr>
                      <w:szCs w:val="21"/>
                    </w:rPr>
                    <w:t>123</w:t>
                  </w:r>
                  <w:r>
                    <w:rPr>
                      <w:rFonts w:hint="eastAsia"/>
                      <w:szCs w:val="21"/>
                      <w:lang w:val="en-US" w:eastAsia="zh-CN"/>
                    </w:rPr>
                    <w:t>2</w:t>
                  </w:r>
                </w:p>
              </w:tc>
              <w:tc>
                <w:tcPr>
                  <w:tcW w:w="819" w:type="pct"/>
                  <w:vAlign w:val="center"/>
                </w:tcPr>
                <w:p>
                  <w:pPr>
                    <w:jc w:val="center"/>
                    <w:rPr>
                      <w:szCs w:val="21"/>
                    </w:rPr>
                  </w:pPr>
                  <w:r>
                    <w:rPr>
                      <w:szCs w:val="21"/>
                    </w:rPr>
                    <w:t>COD</w:t>
                  </w:r>
                </w:p>
              </w:tc>
              <w:tc>
                <w:tcPr>
                  <w:tcW w:w="948" w:type="pct"/>
                  <w:vAlign w:val="center"/>
                </w:tcPr>
                <w:p>
                  <w:pPr>
                    <w:widowControl/>
                    <w:jc w:val="center"/>
                    <w:rPr>
                      <w:rFonts w:cs="Times New Roman"/>
                      <w:kern w:val="0"/>
                      <w:szCs w:val="21"/>
                    </w:rPr>
                  </w:pPr>
                  <w:r>
                    <w:rPr>
                      <w:rFonts w:hint="eastAsia" w:cs="Times New Roman"/>
                      <w:kern w:val="0"/>
                      <w:szCs w:val="21"/>
                    </w:rPr>
                    <w:t>1</w:t>
                  </w:r>
                  <w:r>
                    <w:rPr>
                      <w:rFonts w:cs="Times New Roman"/>
                      <w:kern w:val="0"/>
                      <w:szCs w:val="21"/>
                    </w:rPr>
                    <w:t>8.34</w:t>
                  </w:r>
                </w:p>
              </w:tc>
              <w:tc>
                <w:tcPr>
                  <w:tcW w:w="948" w:type="pct"/>
                  <w:vAlign w:val="center"/>
                </w:tcPr>
                <w:p>
                  <w:pPr>
                    <w:widowControl/>
                    <w:jc w:val="center"/>
                    <w:rPr>
                      <w:rFonts w:cs="Times New Roman"/>
                      <w:kern w:val="0"/>
                      <w:szCs w:val="21"/>
                    </w:rPr>
                  </w:pPr>
                  <w:r>
                    <w:rPr>
                      <w:rFonts w:cs="Times New Roman"/>
                      <w:kern w:val="0"/>
                      <w:szCs w:val="21"/>
                    </w:rPr>
                    <w:t>8</w:t>
                  </w:r>
                  <w:r>
                    <w:rPr>
                      <w:rFonts w:hint="eastAsia" w:cs="Times New Roman"/>
                      <w:kern w:val="0"/>
                      <w:szCs w:val="21"/>
                      <w:lang w:val="en-US" w:eastAsia="zh-CN"/>
                    </w:rPr>
                    <w:t>.</w:t>
                  </w:r>
                  <w:r>
                    <w:rPr>
                      <w:rFonts w:cs="Times New Roman"/>
                      <w:kern w:val="0"/>
                      <w:szCs w:val="21"/>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pct"/>
                  <w:vMerge w:val="continue"/>
                  <w:vAlign w:val="center"/>
                </w:tcPr>
                <w:p>
                  <w:pPr>
                    <w:jc w:val="center"/>
                    <w:rPr>
                      <w:szCs w:val="21"/>
                    </w:rPr>
                  </w:pPr>
                </w:p>
              </w:tc>
              <w:tc>
                <w:tcPr>
                  <w:tcW w:w="687" w:type="pct"/>
                  <w:vMerge w:val="continue"/>
                  <w:vAlign w:val="center"/>
                </w:tcPr>
                <w:p>
                  <w:pPr>
                    <w:jc w:val="center"/>
                    <w:rPr>
                      <w:szCs w:val="21"/>
                    </w:rPr>
                  </w:pPr>
                </w:p>
              </w:tc>
              <w:tc>
                <w:tcPr>
                  <w:tcW w:w="654" w:type="pct"/>
                  <w:vMerge w:val="continue"/>
                  <w:vAlign w:val="center"/>
                </w:tcPr>
                <w:p>
                  <w:pPr>
                    <w:jc w:val="center"/>
                    <w:rPr>
                      <w:szCs w:val="21"/>
                    </w:rPr>
                  </w:pPr>
                </w:p>
              </w:tc>
              <w:tc>
                <w:tcPr>
                  <w:tcW w:w="819" w:type="pct"/>
                  <w:vAlign w:val="center"/>
                </w:tcPr>
                <w:p>
                  <w:pPr>
                    <w:jc w:val="center"/>
                    <w:rPr>
                      <w:szCs w:val="21"/>
                    </w:rPr>
                  </w:pPr>
                  <w:r>
                    <w:rPr>
                      <w:szCs w:val="21"/>
                    </w:rPr>
                    <w:t>NH</w:t>
                  </w:r>
                  <w:r>
                    <w:rPr>
                      <w:szCs w:val="21"/>
                      <w:vertAlign w:val="subscript"/>
                    </w:rPr>
                    <w:t>3</w:t>
                  </w:r>
                  <w:r>
                    <w:rPr>
                      <w:rFonts w:hint="eastAsia"/>
                      <w:szCs w:val="21"/>
                    </w:rPr>
                    <w:t>-</w:t>
                  </w:r>
                  <w:r>
                    <w:rPr>
                      <w:szCs w:val="21"/>
                    </w:rPr>
                    <w:t>N</w:t>
                  </w:r>
                </w:p>
              </w:tc>
              <w:tc>
                <w:tcPr>
                  <w:tcW w:w="948" w:type="pct"/>
                  <w:vAlign w:val="center"/>
                </w:tcPr>
                <w:p>
                  <w:pPr>
                    <w:jc w:val="center"/>
                    <w:rPr>
                      <w:rFonts w:cs="Times New Roman"/>
                      <w:szCs w:val="21"/>
                    </w:rPr>
                  </w:pPr>
                  <w:r>
                    <w:rPr>
                      <w:rFonts w:hint="eastAsia" w:cs="Times New Roman"/>
                      <w:szCs w:val="21"/>
                    </w:rPr>
                    <w:t>0</w:t>
                  </w:r>
                  <w:r>
                    <w:rPr>
                      <w:rFonts w:cs="Times New Roman"/>
                      <w:szCs w:val="21"/>
                    </w:rPr>
                    <w:t>.47</w:t>
                  </w:r>
                </w:p>
              </w:tc>
              <w:tc>
                <w:tcPr>
                  <w:tcW w:w="948" w:type="pct"/>
                  <w:vAlign w:val="center"/>
                </w:tcPr>
                <w:p>
                  <w:pPr>
                    <w:jc w:val="center"/>
                    <w:rPr>
                      <w:rFonts w:cs="Times New Roman"/>
                      <w:szCs w:val="21"/>
                    </w:rPr>
                  </w:pPr>
                  <w:r>
                    <w:rPr>
                      <w:rFonts w:hint="eastAsia" w:cs="Times New Roman"/>
                      <w:szCs w:val="21"/>
                    </w:rPr>
                    <w:t>0</w:t>
                  </w:r>
                  <w:r>
                    <w:rPr>
                      <w:rFonts w:cs="Times New Roman"/>
                      <w:szCs w:val="21"/>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pct"/>
                  <w:vMerge w:val="continue"/>
                  <w:vAlign w:val="center"/>
                </w:tcPr>
                <w:p>
                  <w:pPr>
                    <w:jc w:val="center"/>
                    <w:rPr>
                      <w:szCs w:val="21"/>
                    </w:rPr>
                  </w:pPr>
                </w:p>
              </w:tc>
              <w:tc>
                <w:tcPr>
                  <w:tcW w:w="687" w:type="pct"/>
                  <w:vMerge w:val="continue"/>
                  <w:vAlign w:val="center"/>
                </w:tcPr>
                <w:p>
                  <w:pPr>
                    <w:jc w:val="center"/>
                    <w:rPr>
                      <w:szCs w:val="21"/>
                    </w:rPr>
                  </w:pPr>
                </w:p>
              </w:tc>
              <w:tc>
                <w:tcPr>
                  <w:tcW w:w="654" w:type="pct"/>
                  <w:vMerge w:val="continue"/>
                  <w:vAlign w:val="center"/>
                </w:tcPr>
                <w:p>
                  <w:pPr>
                    <w:jc w:val="center"/>
                    <w:rPr>
                      <w:szCs w:val="21"/>
                    </w:rPr>
                  </w:pPr>
                </w:p>
              </w:tc>
              <w:tc>
                <w:tcPr>
                  <w:tcW w:w="819" w:type="pct"/>
                  <w:vAlign w:val="center"/>
                </w:tcPr>
                <w:p>
                  <w:pPr>
                    <w:jc w:val="center"/>
                    <w:rPr>
                      <w:szCs w:val="21"/>
                    </w:rPr>
                  </w:pPr>
                  <w:r>
                    <w:rPr>
                      <w:szCs w:val="21"/>
                    </w:rPr>
                    <w:t>TP</w:t>
                  </w:r>
                </w:p>
              </w:tc>
              <w:tc>
                <w:tcPr>
                  <w:tcW w:w="948" w:type="pct"/>
                  <w:vAlign w:val="center"/>
                </w:tcPr>
                <w:p>
                  <w:pPr>
                    <w:jc w:val="center"/>
                    <w:rPr>
                      <w:rFonts w:cs="Times New Roman"/>
                      <w:szCs w:val="21"/>
                    </w:rPr>
                  </w:pPr>
                  <w:r>
                    <w:rPr>
                      <w:rFonts w:hint="eastAsia" w:cs="Times New Roman"/>
                      <w:szCs w:val="21"/>
                    </w:rPr>
                    <w:t>0</w:t>
                  </w:r>
                  <w:r>
                    <w:rPr>
                      <w:rFonts w:cs="Times New Roman"/>
                      <w:szCs w:val="21"/>
                    </w:rPr>
                    <w:t>.37</w:t>
                  </w:r>
                </w:p>
              </w:tc>
              <w:tc>
                <w:tcPr>
                  <w:tcW w:w="948" w:type="pct"/>
                  <w:vAlign w:val="center"/>
                </w:tcPr>
                <w:p>
                  <w:pPr>
                    <w:jc w:val="center"/>
                    <w:rPr>
                      <w:rFonts w:cs="Times New Roman"/>
                      <w:szCs w:val="21"/>
                    </w:rPr>
                  </w:pPr>
                  <w:r>
                    <w:rPr>
                      <w:rFonts w:hint="eastAsia" w:cs="Times New Roman"/>
                      <w:szCs w:val="21"/>
                    </w:rPr>
                    <w:t>0</w:t>
                  </w:r>
                  <w:r>
                    <w:rPr>
                      <w:rFonts w:cs="Times New Roman"/>
                      <w:szCs w:val="21"/>
                    </w:rPr>
                    <w:t>.166</w:t>
                  </w:r>
                </w:p>
              </w:tc>
            </w:tr>
          </w:tbl>
          <w:p>
            <w:pPr>
              <w:spacing w:line="360" w:lineRule="auto"/>
              <w:ind w:firstLine="482" w:firstLineChars="200"/>
              <w:rPr>
                <w:b/>
                <w:sz w:val="24"/>
                <w:szCs w:val="24"/>
              </w:rPr>
            </w:pPr>
            <w:r>
              <w:rPr>
                <w:rFonts w:hint="eastAsia"/>
                <w:b/>
                <w:sz w:val="24"/>
                <w:szCs w:val="24"/>
              </w:rPr>
              <w:t>②生活污水</w:t>
            </w:r>
          </w:p>
          <w:p>
            <w:pPr>
              <w:spacing w:line="360" w:lineRule="auto"/>
              <w:ind w:firstLine="480" w:firstLineChars="200"/>
              <w:rPr>
                <w:sz w:val="24"/>
                <w:szCs w:val="24"/>
              </w:rPr>
            </w:pPr>
            <w:r>
              <w:rPr>
                <w:rFonts w:hint="eastAsia"/>
                <w:kern w:val="24"/>
                <w:sz w:val="24"/>
                <w:szCs w:val="24"/>
              </w:rPr>
              <w:t>本项目劳动定员</w:t>
            </w:r>
            <w:r>
              <w:rPr>
                <w:rFonts w:hint="eastAsia"/>
                <w:kern w:val="24"/>
                <w:sz w:val="24"/>
                <w:szCs w:val="24"/>
                <w:lang w:val="en-US" w:eastAsia="zh-CN"/>
              </w:rPr>
              <w:t>6</w:t>
            </w:r>
            <w:r>
              <w:rPr>
                <w:rFonts w:hint="eastAsia"/>
                <w:kern w:val="24"/>
                <w:sz w:val="24"/>
                <w:szCs w:val="24"/>
              </w:rPr>
              <w:t>人，根据</w:t>
            </w:r>
            <w:r>
              <w:rPr>
                <w:rFonts w:cs="Times New Roman"/>
                <w:sz w:val="24"/>
                <w:szCs w:val="24"/>
              </w:rPr>
              <w:t>《四川省用水定额》（川府函〔2021〕8号），生活用水量按</w:t>
            </w:r>
            <w:r>
              <w:rPr>
                <w:rFonts w:hint="eastAsia" w:cs="Times New Roman"/>
                <w:sz w:val="24"/>
                <w:szCs w:val="24"/>
              </w:rPr>
              <w:t>1</w:t>
            </w:r>
            <w:r>
              <w:rPr>
                <w:rFonts w:cs="Times New Roman"/>
                <w:sz w:val="24"/>
                <w:szCs w:val="24"/>
              </w:rPr>
              <w:t>60L/人·d计，生活污水产生系数取0.85，</w:t>
            </w:r>
            <w:r>
              <w:rPr>
                <w:kern w:val="24"/>
                <w:sz w:val="24"/>
                <w:szCs w:val="24"/>
              </w:rPr>
              <w:t>则生活污水产生量</w:t>
            </w:r>
            <w:r>
              <w:rPr>
                <w:rFonts w:hint="eastAsia"/>
                <w:kern w:val="24"/>
                <w:sz w:val="24"/>
                <w:szCs w:val="24"/>
              </w:rPr>
              <w:t>约</w:t>
            </w:r>
            <w:r>
              <w:rPr>
                <w:kern w:val="24"/>
                <w:sz w:val="24"/>
                <w:szCs w:val="24"/>
              </w:rPr>
              <w:t>0.408</w:t>
            </w:r>
            <w:r>
              <w:rPr>
                <w:rFonts w:hint="eastAsia"/>
                <w:kern w:val="24"/>
                <w:sz w:val="24"/>
                <w:szCs w:val="24"/>
              </w:rPr>
              <w:t>m</w:t>
            </w:r>
            <w:r>
              <w:rPr>
                <w:rFonts w:hint="eastAsia"/>
                <w:kern w:val="24"/>
                <w:sz w:val="24"/>
                <w:szCs w:val="24"/>
                <w:vertAlign w:val="superscript"/>
              </w:rPr>
              <w:t>3</w:t>
            </w:r>
            <w:r>
              <w:rPr>
                <w:rFonts w:hint="eastAsia"/>
                <w:kern w:val="24"/>
                <w:sz w:val="24"/>
                <w:szCs w:val="24"/>
              </w:rPr>
              <w:t>/d。</w:t>
            </w:r>
            <w:r>
              <w:rPr>
                <w:sz w:val="24"/>
                <w:szCs w:val="24"/>
              </w:rPr>
              <w:t>根据</w:t>
            </w:r>
            <w:r>
              <w:rPr>
                <w:rFonts w:hint="eastAsia"/>
                <w:sz w:val="24"/>
                <w:szCs w:val="24"/>
              </w:rPr>
              <w:t>《排放源统计调查产排污核算方法和系数手册》（公告2021年第24号）中“</w:t>
            </w:r>
            <w:r>
              <w:rPr>
                <w:rFonts w:hint="eastAsia"/>
                <w:i/>
                <w:sz w:val="24"/>
                <w:szCs w:val="24"/>
              </w:rPr>
              <w:t>生活源产排污核算方法和系数手册</w:t>
            </w:r>
            <w:r>
              <w:rPr>
                <w:rFonts w:hint="eastAsia"/>
                <w:sz w:val="24"/>
                <w:szCs w:val="24"/>
              </w:rPr>
              <w:t>”，主要污染物浓度COD：</w:t>
            </w:r>
            <w:r>
              <w:rPr>
                <w:sz w:val="24"/>
                <w:szCs w:val="24"/>
              </w:rPr>
              <w:t>325</w:t>
            </w:r>
            <w:r>
              <w:rPr>
                <w:rFonts w:hint="eastAsia"/>
                <w:sz w:val="24"/>
                <w:szCs w:val="24"/>
              </w:rPr>
              <w:t>mg</w:t>
            </w:r>
            <w:r>
              <w:rPr>
                <w:sz w:val="24"/>
                <w:szCs w:val="24"/>
              </w:rPr>
              <w:t>/L</w:t>
            </w:r>
            <w:r>
              <w:rPr>
                <w:rFonts w:hint="eastAsia"/>
                <w:sz w:val="24"/>
                <w:szCs w:val="24"/>
              </w:rPr>
              <w:t>、BOD</w:t>
            </w:r>
            <w:r>
              <w:rPr>
                <w:rFonts w:hint="eastAsia"/>
                <w:sz w:val="24"/>
                <w:szCs w:val="24"/>
                <w:vertAlign w:val="subscript"/>
              </w:rPr>
              <w:t>5</w:t>
            </w:r>
            <w:r>
              <w:rPr>
                <w:rFonts w:hint="eastAsia"/>
                <w:sz w:val="24"/>
                <w:szCs w:val="24"/>
              </w:rPr>
              <w:t>：</w:t>
            </w:r>
            <w:r>
              <w:rPr>
                <w:sz w:val="24"/>
                <w:szCs w:val="24"/>
              </w:rPr>
              <w:t>140</w:t>
            </w:r>
            <w:r>
              <w:rPr>
                <w:rFonts w:hint="eastAsia"/>
                <w:sz w:val="24"/>
                <w:szCs w:val="24"/>
              </w:rPr>
              <w:t>mg</w:t>
            </w:r>
            <w:r>
              <w:rPr>
                <w:sz w:val="24"/>
                <w:szCs w:val="24"/>
              </w:rPr>
              <w:t>/L</w:t>
            </w:r>
            <w:r>
              <w:rPr>
                <w:rFonts w:hint="eastAsia"/>
                <w:sz w:val="24"/>
                <w:szCs w:val="24"/>
              </w:rPr>
              <w:t>、SS：</w:t>
            </w:r>
            <w:r>
              <w:rPr>
                <w:sz w:val="24"/>
                <w:szCs w:val="24"/>
              </w:rPr>
              <w:t>200</w:t>
            </w:r>
            <w:r>
              <w:rPr>
                <w:rFonts w:hint="eastAsia"/>
                <w:sz w:val="24"/>
                <w:szCs w:val="24"/>
              </w:rPr>
              <w:t>mg</w:t>
            </w:r>
            <w:r>
              <w:rPr>
                <w:sz w:val="24"/>
                <w:szCs w:val="24"/>
              </w:rPr>
              <w:t>/L</w:t>
            </w:r>
            <w:r>
              <w:rPr>
                <w:rFonts w:hint="eastAsia"/>
                <w:sz w:val="24"/>
                <w:szCs w:val="24"/>
              </w:rPr>
              <w:t>、NH</w:t>
            </w:r>
            <w:r>
              <w:rPr>
                <w:rFonts w:hint="eastAsia"/>
                <w:sz w:val="24"/>
                <w:szCs w:val="24"/>
                <w:vertAlign w:val="subscript"/>
              </w:rPr>
              <w:t>3</w:t>
            </w:r>
            <w:r>
              <w:rPr>
                <w:rFonts w:hint="eastAsia"/>
                <w:sz w:val="24"/>
                <w:szCs w:val="24"/>
              </w:rPr>
              <w:t>-N：</w:t>
            </w:r>
            <w:r>
              <w:rPr>
                <w:sz w:val="24"/>
                <w:szCs w:val="24"/>
              </w:rPr>
              <w:t>37.7</w:t>
            </w:r>
            <w:r>
              <w:rPr>
                <w:rFonts w:hint="eastAsia"/>
                <w:sz w:val="24"/>
                <w:szCs w:val="24"/>
              </w:rPr>
              <w:t>mg</w:t>
            </w:r>
            <w:r>
              <w:rPr>
                <w:sz w:val="24"/>
                <w:szCs w:val="24"/>
              </w:rPr>
              <w:t>/L</w:t>
            </w:r>
            <w:r>
              <w:rPr>
                <w:rFonts w:hint="eastAsia"/>
                <w:sz w:val="24"/>
                <w:szCs w:val="24"/>
              </w:rPr>
              <w:t>、TP：</w:t>
            </w:r>
            <w:r>
              <w:rPr>
                <w:sz w:val="24"/>
                <w:szCs w:val="24"/>
              </w:rPr>
              <w:t>4.28</w:t>
            </w:r>
            <w:r>
              <w:rPr>
                <w:rFonts w:hint="eastAsia"/>
                <w:sz w:val="24"/>
                <w:szCs w:val="24"/>
              </w:rPr>
              <w:t>mg</w:t>
            </w:r>
            <w:r>
              <w:rPr>
                <w:sz w:val="24"/>
                <w:szCs w:val="24"/>
              </w:rPr>
              <w:t>/L，则</w:t>
            </w:r>
            <w:r>
              <w:rPr>
                <w:rFonts w:hint="eastAsia"/>
                <w:sz w:val="24"/>
                <w:szCs w:val="24"/>
              </w:rPr>
              <w:t>生活</w:t>
            </w:r>
            <w:r>
              <w:rPr>
                <w:sz w:val="24"/>
                <w:szCs w:val="24"/>
              </w:rPr>
              <w:t>污水产生源强见下表：</w:t>
            </w:r>
          </w:p>
          <w:p>
            <w:pPr>
              <w:spacing w:line="360" w:lineRule="auto"/>
              <w:jc w:val="center"/>
              <w:rPr>
                <w:rFonts w:eastAsia="黑体" w:cs="Times New Roman"/>
                <w:color w:val="auto"/>
                <w:szCs w:val="21"/>
              </w:rPr>
            </w:pPr>
            <w:r>
              <w:rPr>
                <w:rFonts w:eastAsia="黑体" w:cs="Times New Roman"/>
                <w:color w:val="auto"/>
                <w:szCs w:val="21"/>
              </w:rPr>
              <w:t>表4</w:t>
            </w:r>
            <w:r>
              <w:rPr>
                <w:rFonts w:hint="eastAsia" w:eastAsia="黑体" w:cs="Times New Roman"/>
                <w:color w:val="auto"/>
                <w:szCs w:val="21"/>
              </w:rPr>
              <w:t>-</w:t>
            </w:r>
            <w:r>
              <w:rPr>
                <w:rFonts w:eastAsia="黑体" w:cs="Times New Roman"/>
                <w:color w:val="auto"/>
                <w:szCs w:val="21"/>
              </w:rPr>
              <w:t xml:space="preserve">3  </w:t>
            </w:r>
            <w:r>
              <w:rPr>
                <w:rFonts w:hint="eastAsia" w:eastAsia="黑体" w:cs="Times New Roman"/>
                <w:color w:val="auto"/>
                <w:szCs w:val="21"/>
              </w:rPr>
              <w:t>生活</w:t>
            </w:r>
            <w:r>
              <w:rPr>
                <w:rFonts w:eastAsia="黑体" w:cs="Times New Roman"/>
                <w:color w:val="auto"/>
                <w:szCs w:val="21"/>
              </w:rPr>
              <w:t>污水</w:t>
            </w:r>
            <w:r>
              <w:rPr>
                <w:rFonts w:hint="eastAsia" w:eastAsia="黑体" w:cs="Times New Roman"/>
                <w:color w:val="auto"/>
                <w:szCs w:val="21"/>
              </w:rPr>
              <w:t>产排污环节、类别、污染物种类、产生量</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3"/>
              <w:gridCol w:w="1134"/>
              <w:gridCol w:w="1274"/>
              <w:gridCol w:w="1420"/>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896" w:type="pct"/>
                  <w:vMerge w:val="restart"/>
                  <w:vAlign w:val="center"/>
                </w:tcPr>
                <w:p>
                  <w:pPr>
                    <w:jc w:val="center"/>
                    <w:rPr>
                      <w:color w:val="auto"/>
                      <w:szCs w:val="21"/>
                    </w:rPr>
                  </w:pPr>
                  <w:r>
                    <w:rPr>
                      <w:rFonts w:hint="eastAsia"/>
                      <w:color w:val="auto"/>
                      <w:szCs w:val="21"/>
                    </w:rPr>
                    <w:t>废水产污环节</w:t>
                  </w:r>
                </w:p>
              </w:tc>
              <w:tc>
                <w:tcPr>
                  <w:tcW w:w="654" w:type="pct"/>
                  <w:vMerge w:val="restart"/>
                  <w:vAlign w:val="center"/>
                </w:tcPr>
                <w:p>
                  <w:pPr>
                    <w:jc w:val="center"/>
                    <w:rPr>
                      <w:color w:val="auto"/>
                      <w:szCs w:val="21"/>
                    </w:rPr>
                  </w:pPr>
                  <w:r>
                    <w:rPr>
                      <w:color w:val="auto"/>
                      <w:szCs w:val="21"/>
                    </w:rPr>
                    <w:t>废水类别</w:t>
                  </w:r>
                </w:p>
              </w:tc>
              <w:tc>
                <w:tcPr>
                  <w:tcW w:w="735" w:type="pct"/>
                  <w:vMerge w:val="restart"/>
                  <w:vAlign w:val="center"/>
                </w:tcPr>
                <w:p>
                  <w:pPr>
                    <w:jc w:val="center"/>
                    <w:rPr>
                      <w:color w:val="auto"/>
                      <w:szCs w:val="21"/>
                    </w:rPr>
                  </w:pPr>
                  <w:r>
                    <w:rPr>
                      <w:color w:val="auto"/>
                      <w:szCs w:val="21"/>
                    </w:rPr>
                    <w:t>废水量</w:t>
                  </w:r>
                  <w:r>
                    <w:rPr>
                      <w:rFonts w:hint="eastAsia"/>
                      <w:color w:val="auto"/>
                      <w:szCs w:val="21"/>
                    </w:rPr>
                    <w:t>（</w:t>
                  </w:r>
                  <w:r>
                    <w:rPr>
                      <w:color w:val="auto"/>
                      <w:szCs w:val="21"/>
                    </w:rPr>
                    <w:t>m</w:t>
                  </w:r>
                  <w:r>
                    <w:rPr>
                      <w:color w:val="auto"/>
                      <w:szCs w:val="21"/>
                      <w:vertAlign w:val="superscript"/>
                    </w:rPr>
                    <w:t>3</w:t>
                  </w:r>
                  <w:r>
                    <w:rPr>
                      <w:color w:val="auto"/>
                      <w:szCs w:val="21"/>
                    </w:rPr>
                    <w:t>/d</w:t>
                  </w:r>
                  <w:r>
                    <w:rPr>
                      <w:rFonts w:hint="eastAsia"/>
                      <w:color w:val="auto"/>
                      <w:szCs w:val="21"/>
                    </w:rPr>
                    <w:t>）</w:t>
                  </w:r>
                </w:p>
              </w:tc>
              <w:tc>
                <w:tcPr>
                  <w:tcW w:w="819" w:type="pct"/>
                  <w:vMerge w:val="restart"/>
                  <w:vAlign w:val="center"/>
                </w:tcPr>
                <w:p>
                  <w:pPr>
                    <w:jc w:val="center"/>
                    <w:rPr>
                      <w:color w:val="auto"/>
                      <w:szCs w:val="21"/>
                    </w:rPr>
                  </w:pPr>
                  <w:r>
                    <w:rPr>
                      <w:color w:val="auto"/>
                      <w:szCs w:val="21"/>
                    </w:rPr>
                    <w:t>污染物</w:t>
                  </w:r>
                  <w:r>
                    <w:rPr>
                      <w:rFonts w:hint="eastAsia"/>
                      <w:color w:val="auto"/>
                      <w:szCs w:val="21"/>
                    </w:rPr>
                    <w:t>种类</w:t>
                  </w:r>
                </w:p>
              </w:tc>
              <w:tc>
                <w:tcPr>
                  <w:tcW w:w="1896" w:type="pct"/>
                  <w:gridSpan w:val="2"/>
                  <w:vAlign w:val="center"/>
                </w:tcPr>
                <w:p>
                  <w:pPr>
                    <w:jc w:val="center"/>
                    <w:rPr>
                      <w:color w:val="auto"/>
                      <w:szCs w:val="21"/>
                    </w:rPr>
                  </w:pPr>
                  <w:r>
                    <w:rPr>
                      <w:color w:val="auto"/>
                      <w:szCs w:val="21"/>
                    </w:rPr>
                    <w:t>污染物产生量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pct"/>
                  <w:vMerge w:val="continue"/>
                  <w:vAlign w:val="center"/>
                </w:tcPr>
                <w:p>
                  <w:pPr>
                    <w:jc w:val="center"/>
                    <w:rPr>
                      <w:color w:val="auto"/>
                      <w:szCs w:val="21"/>
                    </w:rPr>
                  </w:pPr>
                </w:p>
              </w:tc>
              <w:tc>
                <w:tcPr>
                  <w:tcW w:w="654" w:type="pct"/>
                  <w:vMerge w:val="continue"/>
                  <w:vAlign w:val="center"/>
                </w:tcPr>
                <w:p>
                  <w:pPr>
                    <w:jc w:val="center"/>
                    <w:rPr>
                      <w:color w:val="auto"/>
                      <w:szCs w:val="21"/>
                    </w:rPr>
                  </w:pPr>
                </w:p>
              </w:tc>
              <w:tc>
                <w:tcPr>
                  <w:tcW w:w="735" w:type="pct"/>
                  <w:vMerge w:val="continue"/>
                  <w:vAlign w:val="center"/>
                </w:tcPr>
                <w:p>
                  <w:pPr>
                    <w:jc w:val="center"/>
                    <w:rPr>
                      <w:color w:val="auto"/>
                      <w:szCs w:val="21"/>
                    </w:rPr>
                  </w:pPr>
                </w:p>
              </w:tc>
              <w:tc>
                <w:tcPr>
                  <w:tcW w:w="819" w:type="pct"/>
                  <w:vMerge w:val="continue"/>
                  <w:vAlign w:val="center"/>
                </w:tcPr>
                <w:p>
                  <w:pPr>
                    <w:jc w:val="center"/>
                    <w:rPr>
                      <w:color w:val="auto"/>
                      <w:szCs w:val="21"/>
                    </w:rPr>
                  </w:pPr>
                </w:p>
              </w:tc>
              <w:tc>
                <w:tcPr>
                  <w:tcW w:w="948" w:type="pct"/>
                  <w:vAlign w:val="center"/>
                </w:tcPr>
                <w:p>
                  <w:pPr>
                    <w:jc w:val="center"/>
                    <w:rPr>
                      <w:color w:val="auto"/>
                      <w:szCs w:val="21"/>
                    </w:rPr>
                  </w:pPr>
                  <w:r>
                    <w:rPr>
                      <w:rFonts w:hint="eastAsia"/>
                      <w:color w:val="auto"/>
                      <w:szCs w:val="21"/>
                    </w:rPr>
                    <w:t>浓度（</w:t>
                  </w:r>
                  <w:r>
                    <w:rPr>
                      <w:color w:val="auto"/>
                      <w:szCs w:val="21"/>
                    </w:rPr>
                    <w:t>mg</w:t>
                  </w:r>
                  <w:r>
                    <w:rPr>
                      <w:rFonts w:hint="eastAsia"/>
                      <w:color w:val="auto"/>
                      <w:szCs w:val="21"/>
                    </w:rPr>
                    <w:t>/L）</w:t>
                  </w:r>
                </w:p>
              </w:tc>
              <w:tc>
                <w:tcPr>
                  <w:tcW w:w="948" w:type="pct"/>
                  <w:vAlign w:val="center"/>
                </w:tcPr>
                <w:p>
                  <w:pPr>
                    <w:jc w:val="center"/>
                    <w:rPr>
                      <w:color w:val="auto"/>
                      <w:szCs w:val="21"/>
                    </w:rPr>
                  </w:pPr>
                  <w:r>
                    <w:rPr>
                      <w:rFonts w:hint="eastAsia"/>
                      <w:color w:val="auto"/>
                      <w:szCs w:val="21"/>
                    </w:rPr>
                    <w:t>产生量（t</w:t>
                  </w:r>
                  <w:r>
                    <w:rPr>
                      <w:color w:val="auto"/>
                      <w:szCs w:val="21"/>
                    </w:rPr>
                    <w:t>/a</w:t>
                  </w: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pct"/>
                  <w:vMerge w:val="restart"/>
                  <w:vAlign w:val="center"/>
                </w:tcPr>
                <w:p>
                  <w:pPr>
                    <w:jc w:val="center"/>
                    <w:rPr>
                      <w:color w:val="auto"/>
                      <w:szCs w:val="21"/>
                    </w:rPr>
                  </w:pPr>
                  <w:r>
                    <w:rPr>
                      <w:rFonts w:hint="eastAsia"/>
                      <w:color w:val="auto"/>
                      <w:szCs w:val="21"/>
                    </w:rPr>
                    <w:t>值班人员</w:t>
                  </w:r>
                </w:p>
              </w:tc>
              <w:tc>
                <w:tcPr>
                  <w:tcW w:w="654" w:type="pct"/>
                  <w:vMerge w:val="restart"/>
                  <w:vAlign w:val="center"/>
                </w:tcPr>
                <w:p>
                  <w:pPr>
                    <w:jc w:val="center"/>
                    <w:rPr>
                      <w:color w:val="auto"/>
                      <w:szCs w:val="21"/>
                    </w:rPr>
                  </w:pPr>
                  <w:r>
                    <w:rPr>
                      <w:rFonts w:hint="eastAsia"/>
                      <w:color w:val="auto"/>
                      <w:szCs w:val="21"/>
                    </w:rPr>
                    <w:t>生活污水</w:t>
                  </w:r>
                </w:p>
              </w:tc>
              <w:tc>
                <w:tcPr>
                  <w:tcW w:w="735" w:type="pct"/>
                  <w:vMerge w:val="restart"/>
                  <w:vAlign w:val="center"/>
                </w:tcPr>
                <w:p>
                  <w:pPr>
                    <w:jc w:val="center"/>
                    <w:rPr>
                      <w:rFonts w:hint="default" w:eastAsia="宋体"/>
                      <w:color w:val="auto"/>
                      <w:szCs w:val="21"/>
                      <w:lang w:val="en-US" w:eastAsia="zh-CN"/>
                    </w:rPr>
                  </w:pPr>
                  <w:r>
                    <w:rPr>
                      <w:color w:val="auto"/>
                      <w:szCs w:val="21"/>
                    </w:rPr>
                    <w:t>0.</w:t>
                  </w:r>
                  <w:r>
                    <w:rPr>
                      <w:rFonts w:hint="eastAsia"/>
                      <w:color w:val="auto"/>
                      <w:szCs w:val="21"/>
                      <w:lang w:val="en-US" w:eastAsia="zh-CN"/>
                    </w:rPr>
                    <w:t>816</w:t>
                  </w:r>
                </w:p>
              </w:tc>
              <w:tc>
                <w:tcPr>
                  <w:tcW w:w="819" w:type="pct"/>
                  <w:vAlign w:val="center"/>
                </w:tcPr>
                <w:p>
                  <w:pPr>
                    <w:jc w:val="center"/>
                    <w:rPr>
                      <w:color w:val="auto"/>
                      <w:szCs w:val="21"/>
                    </w:rPr>
                  </w:pPr>
                  <w:r>
                    <w:rPr>
                      <w:color w:val="auto"/>
                      <w:szCs w:val="21"/>
                    </w:rPr>
                    <w:t>COD</w:t>
                  </w:r>
                </w:p>
              </w:tc>
              <w:tc>
                <w:tcPr>
                  <w:tcW w:w="948" w:type="pct"/>
                  <w:vAlign w:val="center"/>
                </w:tcPr>
                <w:p>
                  <w:pPr>
                    <w:widowControl/>
                    <w:jc w:val="center"/>
                    <w:rPr>
                      <w:rFonts w:cs="Times New Roman"/>
                      <w:color w:val="auto"/>
                      <w:kern w:val="0"/>
                      <w:szCs w:val="21"/>
                    </w:rPr>
                  </w:pPr>
                  <w:r>
                    <w:rPr>
                      <w:rFonts w:hint="eastAsia" w:cs="Times New Roman"/>
                      <w:color w:val="auto"/>
                      <w:kern w:val="0"/>
                      <w:szCs w:val="21"/>
                    </w:rPr>
                    <w:t>3</w:t>
                  </w:r>
                  <w:r>
                    <w:rPr>
                      <w:rFonts w:cs="Times New Roman"/>
                      <w:color w:val="auto"/>
                      <w:kern w:val="0"/>
                      <w:szCs w:val="21"/>
                    </w:rPr>
                    <w:t>25</w:t>
                  </w:r>
                </w:p>
              </w:tc>
              <w:tc>
                <w:tcPr>
                  <w:tcW w:w="948" w:type="pct"/>
                  <w:vAlign w:val="center"/>
                </w:tcPr>
                <w:p>
                  <w:pPr>
                    <w:widowControl/>
                    <w:jc w:val="center"/>
                    <w:rPr>
                      <w:rFonts w:hint="default" w:eastAsia="宋体" w:cs="Times New Roman"/>
                      <w:color w:val="auto"/>
                      <w:kern w:val="0"/>
                      <w:szCs w:val="21"/>
                      <w:lang w:val="en-US" w:eastAsia="zh-CN"/>
                    </w:rPr>
                  </w:pPr>
                  <w:r>
                    <w:rPr>
                      <w:rFonts w:hint="eastAsia" w:cs="Times New Roman"/>
                      <w:color w:val="auto"/>
                      <w:kern w:val="0"/>
                      <w:szCs w:val="21"/>
                    </w:rPr>
                    <w:t>0</w:t>
                  </w:r>
                  <w:r>
                    <w:rPr>
                      <w:rFonts w:cs="Times New Roman"/>
                      <w:color w:val="auto"/>
                      <w:kern w:val="0"/>
                      <w:szCs w:val="21"/>
                    </w:rPr>
                    <w:t>.0</w:t>
                  </w:r>
                  <w:r>
                    <w:rPr>
                      <w:rFonts w:hint="eastAsia" w:cs="Times New Roman"/>
                      <w:color w:val="auto"/>
                      <w:kern w:val="0"/>
                      <w:szCs w:val="21"/>
                      <w:lang w:val="en-US" w:eastAsia="zh-CN"/>
                    </w:rPr>
                    <w:t>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pct"/>
                  <w:vMerge w:val="continue"/>
                  <w:vAlign w:val="center"/>
                </w:tcPr>
                <w:p>
                  <w:pPr>
                    <w:jc w:val="center"/>
                    <w:rPr>
                      <w:color w:val="auto"/>
                      <w:szCs w:val="21"/>
                    </w:rPr>
                  </w:pPr>
                </w:p>
              </w:tc>
              <w:tc>
                <w:tcPr>
                  <w:tcW w:w="654" w:type="pct"/>
                  <w:vMerge w:val="continue"/>
                  <w:vAlign w:val="center"/>
                </w:tcPr>
                <w:p>
                  <w:pPr>
                    <w:jc w:val="center"/>
                    <w:rPr>
                      <w:color w:val="auto"/>
                      <w:szCs w:val="21"/>
                    </w:rPr>
                  </w:pPr>
                </w:p>
              </w:tc>
              <w:tc>
                <w:tcPr>
                  <w:tcW w:w="735" w:type="pct"/>
                  <w:vMerge w:val="continue"/>
                  <w:vAlign w:val="center"/>
                </w:tcPr>
                <w:p>
                  <w:pPr>
                    <w:jc w:val="center"/>
                    <w:rPr>
                      <w:color w:val="auto"/>
                      <w:szCs w:val="21"/>
                    </w:rPr>
                  </w:pPr>
                </w:p>
              </w:tc>
              <w:tc>
                <w:tcPr>
                  <w:tcW w:w="819" w:type="pct"/>
                  <w:vAlign w:val="center"/>
                </w:tcPr>
                <w:p>
                  <w:pPr>
                    <w:jc w:val="center"/>
                    <w:rPr>
                      <w:color w:val="auto"/>
                      <w:szCs w:val="21"/>
                    </w:rPr>
                  </w:pPr>
                  <w:r>
                    <w:rPr>
                      <w:color w:val="auto"/>
                      <w:szCs w:val="21"/>
                    </w:rPr>
                    <w:t>BOD</w:t>
                  </w:r>
                  <w:r>
                    <w:rPr>
                      <w:color w:val="auto"/>
                      <w:szCs w:val="21"/>
                      <w:vertAlign w:val="subscript"/>
                    </w:rPr>
                    <w:t>5</w:t>
                  </w:r>
                </w:p>
              </w:tc>
              <w:tc>
                <w:tcPr>
                  <w:tcW w:w="948" w:type="pct"/>
                  <w:vAlign w:val="center"/>
                </w:tcPr>
                <w:p>
                  <w:pPr>
                    <w:jc w:val="center"/>
                    <w:rPr>
                      <w:rFonts w:cs="Times New Roman"/>
                      <w:color w:val="auto"/>
                      <w:szCs w:val="21"/>
                    </w:rPr>
                  </w:pPr>
                  <w:r>
                    <w:rPr>
                      <w:rFonts w:hint="eastAsia" w:cs="Times New Roman"/>
                      <w:color w:val="auto"/>
                      <w:szCs w:val="21"/>
                    </w:rPr>
                    <w:t>1</w:t>
                  </w:r>
                  <w:r>
                    <w:rPr>
                      <w:rFonts w:cs="Times New Roman"/>
                      <w:color w:val="auto"/>
                      <w:szCs w:val="21"/>
                    </w:rPr>
                    <w:t>40</w:t>
                  </w:r>
                </w:p>
              </w:tc>
              <w:tc>
                <w:tcPr>
                  <w:tcW w:w="948" w:type="pct"/>
                  <w:vAlign w:val="center"/>
                </w:tcPr>
                <w:p>
                  <w:pPr>
                    <w:jc w:val="center"/>
                    <w:rPr>
                      <w:rFonts w:hint="default" w:eastAsia="宋体" w:cs="Times New Roman"/>
                      <w:color w:val="auto"/>
                      <w:szCs w:val="21"/>
                      <w:lang w:val="en-US" w:eastAsia="zh-CN"/>
                    </w:rPr>
                  </w:pPr>
                  <w:r>
                    <w:rPr>
                      <w:rFonts w:hint="eastAsia" w:cs="Times New Roman"/>
                      <w:color w:val="auto"/>
                      <w:szCs w:val="21"/>
                    </w:rPr>
                    <w:t>0</w:t>
                  </w:r>
                  <w:r>
                    <w:rPr>
                      <w:rFonts w:cs="Times New Roman"/>
                      <w:color w:val="auto"/>
                      <w:szCs w:val="21"/>
                    </w:rPr>
                    <w:t>.0</w:t>
                  </w:r>
                  <w:r>
                    <w:rPr>
                      <w:rFonts w:hint="eastAsia" w:cs="Times New Roman"/>
                      <w:color w:val="auto"/>
                      <w:szCs w:val="21"/>
                      <w:lang w:val="en-US" w:eastAsia="zh-CN"/>
                    </w:rPr>
                    <w:t>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pct"/>
                  <w:vMerge w:val="continue"/>
                  <w:vAlign w:val="center"/>
                </w:tcPr>
                <w:p>
                  <w:pPr>
                    <w:jc w:val="center"/>
                    <w:rPr>
                      <w:color w:val="auto"/>
                      <w:szCs w:val="21"/>
                    </w:rPr>
                  </w:pPr>
                </w:p>
              </w:tc>
              <w:tc>
                <w:tcPr>
                  <w:tcW w:w="654" w:type="pct"/>
                  <w:vMerge w:val="continue"/>
                  <w:vAlign w:val="center"/>
                </w:tcPr>
                <w:p>
                  <w:pPr>
                    <w:jc w:val="center"/>
                    <w:rPr>
                      <w:color w:val="auto"/>
                      <w:szCs w:val="21"/>
                    </w:rPr>
                  </w:pPr>
                </w:p>
              </w:tc>
              <w:tc>
                <w:tcPr>
                  <w:tcW w:w="735" w:type="pct"/>
                  <w:vMerge w:val="continue"/>
                  <w:vAlign w:val="center"/>
                </w:tcPr>
                <w:p>
                  <w:pPr>
                    <w:jc w:val="center"/>
                    <w:rPr>
                      <w:color w:val="auto"/>
                      <w:szCs w:val="21"/>
                    </w:rPr>
                  </w:pPr>
                </w:p>
              </w:tc>
              <w:tc>
                <w:tcPr>
                  <w:tcW w:w="819" w:type="pct"/>
                  <w:vAlign w:val="center"/>
                </w:tcPr>
                <w:p>
                  <w:pPr>
                    <w:jc w:val="center"/>
                    <w:rPr>
                      <w:color w:val="auto"/>
                      <w:szCs w:val="21"/>
                    </w:rPr>
                  </w:pPr>
                  <w:r>
                    <w:rPr>
                      <w:color w:val="auto"/>
                      <w:szCs w:val="21"/>
                    </w:rPr>
                    <w:t>SS</w:t>
                  </w:r>
                </w:p>
              </w:tc>
              <w:tc>
                <w:tcPr>
                  <w:tcW w:w="948" w:type="pct"/>
                  <w:vAlign w:val="center"/>
                </w:tcPr>
                <w:p>
                  <w:pPr>
                    <w:jc w:val="center"/>
                    <w:rPr>
                      <w:rFonts w:cs="Times New Roman"/>
                      <w:color w:val="auto"/>
                      <w:szCs w:val="21"/>
                    </w:rPr>
                  </w:pPr>
                  <w:r>
                    <w:rPr>
                      <w:rFonts w:hint="eastAsia" w:cs="Times New Roman"/>
                      <w:color w:val="auto"/>
                      <w:szCs w:val="21"/>
                    </w:rPr>
                    <w:t>2</w:t>
                  </w:r>
                  <w:r>
                    <w:rPr>
                      <w:rFonts w:cs="Times New Roman"/>
                      <w:color w:val="auto"/>
                      <w:szCs w:val="21"/>
                    </w:rPr>
                    <w:t>00</w:t>
                  </w:r>
                </w:p>
              </w:tc>
              <w:tc>
                <w:tcPr>
                  <w:tcW w:w="948" w:type="pct"/>
                  <w:vAlign w:val="center"/>
                </w:tcPr>
                <w:p>
                  <w:pPr>
                    <w:jc w:val="center"/>
                    <w:rPr>
                      <w:rFonts w:hint="default" w:eastAsia="宋体" w:cs="Times New Roman"/>
                      <w:color w:val="auto"/>
                      <w:szCs w:val="21"/>
                      <w:lang w:val="en-US" w:eastAsia="zh-CN"/>
                    </w:rPr>
                  </w:pPr>
                  <w:r>
                    <w:rPr>
                      <w:rFonts w:hint="eastAsia" w:cs="Times New Roman"/>
                      <w:color w:val="auto"/>
                      <w:szCs w:val="21"/>
                    </w:rPr>
                    <w:t>0</w:t>
                  </w:r>
                  <w:r>
                    <w:rPr>
                      <w:rFonts w:cs="Times New Roman"/>
                      <w:color w:val="auto"/>
                      <w:szCs w:val="21"/>
                    </w:rPr>
                    <w:t>.0</w:t>
                  </w:r>
                  <w:r>
                    <w:rPr>
                      <w:rFonts w:hint="eastAsia" w:cs="Times New Roman"/>
                      <w:color w:val="auto"/>
                      <w:szCs w:val="21"/>
                      <w:lang w:val="en-US" w:eastAsia="zh-CN"/>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pct"/>
                  <w:vMerge w:val="continue"/>
                  <w:vAlign w:val="center"/>
                </w:tcPr>
                <w:p>
                  <w:pPr>
                    <w:jc w:val="center"/>
                    <w:rPr>
                      <w:color w:val="auto"/>
                      <w:szCs w:val="21"/>
                    </w:rPr>
                  </w:pPr>
                </w:p>
              </w:tc>
              <w:tc>
                <w:tcPr>
                  <w:tcW w:w="654" w:type="pct"/>
                  <w:vMerge w:val="continue"/>
                  <w:vAlign w:val="center"/>
                </w:tcPr>
                <w:p>
                  <w:pPr>
                    <w:jc w:val="center"/>
                    <w:rPr>
                      <w:color w:val="auto"/>
                      <w:szCs w:val="21"/>
                    </w:rPr>
                  </w:pPr>
                </w:p>
              </w:tc>
              <w:tc>
                <w:tcPr>
                  <w:tcW w:w="735" w:type="pct"/>
                  <w:vMerge w:val="continue"/>
                  <w:vAlign w:val="center"/>
                </w:tcPr>
                <w:p>
                  <w:pPr>
                    <w:jc w:val="center"/>
                    <w:rPr>
                      <w:color w:val="auto"/>
                      <w:szCs w:val="21"/>
                    </w:rPr>
                  </w:pPr>
                </w:p>
              </w:tc>
              <w:tc>
                <w:tcPr>
                  <w:tcW w:w="819" w:type="pct"/>
                  <w:vAlign w:val="center"/>
                </w:tcPr>
                <w:p>
                  <w:pPr>
                    <w:jc w:val="center"/>
                    <w:rPr>
                      <w:color w:val="auto"/>
                      <w:szCs w:val="21"/>
                    </w:rPr>
                  </w:pPr>
                  <w:r>
                    <w:rPr>
                      <w:color w:val="auto"/>
                      <w:szCs w:val="21"/>
                    </w:rPr>
                    <w:t>NH</w:t>
                  </w:r>
                  <w:r>
                    <w:rPr>
                      <w:color w:val="auto"/>
                      <w:szCs w:val="21"/>
                      <w:vertAlign w:val="subscript"/>
                    </w:rPr>
                    <w:t>3</w:t>
                  </w:r>
                  <w:r>
                    <w:rPr>
                      <w:rFonts w:hint="eastAsia"/>
                      <w:color w:val="auto"/>
                      <w:szCs w:val="21"/>
                    </w:rPr>
                    <w:t>-</w:t>
                  </w:r>
                  <w:r>
                    <w:rPr>
                      <w:color w:val="auto"/>
                      <w:szCs w:val="21"/>
                    </w:rPr>
                    <w:t>N</w:t>
                  </w:r>
                </w:p>
              </w:tc>
              <w:tc>
                <w:tcPr>
                  <w:tcW w:w="948" w:type="pct"/>
                  <w:vAlign w:val="center"/>
                </w:tcPr>
                <w:p>
                  <w:pPr>
                    <w:jc w:val="center"/>
                    <w:rPr>
                      <w:rFonts w:cs="Times New Roman"/>
                      <w:color w:val="auto"/>
                      <w:szCs w:val="21"/>
                    </w:rPr>
                  </w:pPr>
                  <w:r>
                    <w:rPr>
                      <w:rFonts w:hint="eastAsia" w:cs="Times New Roman"/>
                      <w:color w:val="auto"/>
                      <w:szCs w:val="21"/>
                    </w:rPr>
                    <w:t>3</w:t>
                  </w:r>
                  <w:r>
                    <w:rPr>
                      <w:rFonts w:cs="Times New Roman"/>
                      <w:color w:val="auto"/>
                      <w:szCs w:val="21"/>
                    </w:rPr>
                    <w:t>7.7</w:t>
                  </w:r>
                </w:p>
              </w:tc>
              <w:tc>
                <w:tcPr>
                  <w:tcW w:w="948" w:type="pct"/>
                  <w:vAlign w:val="center"/>
                </w:tcPr>
                <w:p>
                  <w:pPr>
                    <w:jc w:val="center"/>
                    <w:rPr>
                      <w:rFonts w:hint="default" w:eastAsia="宋体" w:cs="Times New Roman"/>
                      <w:color w:val="auto"/>
                      <w:szCs w:val="21"/>
                      <w:lang w:val="en-US" w:eastAsia="zh-CN"/>
                    </w:rPr>
                  </w:pPr>
                  <w:r>
                    <w:rPr>
                      <w:rFonts w:hint="eastAsia" w:cs="Times New Roman"/>
                      <w:color w:val="auto"/>
                      <w:szCs w:val="21"/>
                    </w:rPr>
                    <w:t>0</w:t>
                  </w:r>
                  <w:r>
                    <w:rPr>
                      <w:rFonts w:cs="Times New Roman"/>
                      <w:color w:val="auto"/>
                      <w:szCs w:val="21"/>
                    </w:rPr>
                    <w:t>.0</w:t>
                  </w:r>
                  <w:r>
                    <w:rPr>
                      <w:rFonts w:hint="eastAsia" w:cs="Times New Roman"/>
                      <w:color w:val="auto"/>
                      <w:szCs w:val="21"/>
                      <w:lang w:val="en-US" w:eastAsia="zh-C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pct"/>
                  <w:vMerge w:val="continue"/>
                  <w:vAlign w:val="center"/>
                </w:tcPr>
                <w:p>
                  <w:pPr>
                    <w:jc w:val="center"/>
                    <w:rPr>
                      <w:color w:val="auto"/>
                      <w:szCs w:val="21"/>
                    </w:rPr>
                  </w:pPr>
                </w:p>
              </w:tc>
              <w:tc>
                <w:tcPr>
                  <w:tcW w:w="654" w:type="pct"/>
                  <w:vMerge w:val="continue"/>
                  <w:vAlign w:val="center"/>
                </w:tcPr>
                <w:p>
                  <w:pPr>
                    <w:jc w:val="center"/>
                    <w:rPr>
                      <w:color w:val="auto"/>
                      <w:szCs w:val="21"/>
                    </w:rPr>
                  </w:pPr>
                </w:p>
              </w:tc>
              <w:tc>
                <w:tcPr>
                  <w:tcW w:w="735" w:type="pct"/>
                  <w:vMerge w:val="continue"/>
                  <w:vAlign w:val="center"/>
                </w:tcPr>
                <w:p>
                  <w:pPr>
                    <w:jc w:val="center"/>
                    <w:rPr>
                      <w:color w:val="auto"/>
                      <w:szCs w:val="21"/>
                    </w:rPr>
                  </w:pPr>
                </w:p>
              </w:tc>
              <w:tc>
                <w:tcPr>
                  <w:tcW w:w="819" w:type="pct"/>
                  <w:vAlign w:val="center"/>
                </w:tcPr>
                <w:p>
                  <w:pPr>
                    <w:jc w:val="center"/>
                    <w:rPr>
                      <w:color w:val="auto"/>
                      <w:szCs w:val="21"/>
                    </w:rPr>
                  </w:pPr>
                  <w:r>
                    <w:rPr>
                      <w:color w:val="auto"/>
                      <w:szCs w:val="21"/>
                    </w:rPr>
                    <w:t>TP</w:t>
                  </w:r>
                </w:p>
              </w:tc>
              <w:tc>
                <w:tcPr>
                  <w:tcW w:w="948" w:type="pct"/>
                  <w:vAlign w:val="center"/>
                </w:tcPr>
                <w:p>
                  <w:pPr>
                    <w:jc w:val="center"/>
                    <w:rPr>
                      <w:rFonts w:cs="Times New Roman"/>
                      <w:color w:val="auto"/>
                      <w:szCs w:val="21"/>
                    </w:rPr>
                  </w:pPr>
                  <w:r>
                    <w:rPr>
                      <w:rFonts w:hint="eastAsia" w:cs="Times New Roman"/>
                      <w:color w:val="auto"/>
                      <w:szCs w:val="21"/>
                    </w:rPr>
                    <w:t>4</w:t>
                  </w:r>
                  <w:r>
                    <w:rPr>
                      <w:rFonts w:cs="Times New Roman"/>
                      <w:color w:val="auto"/>
                      <w:szCs w:val="21"/>
                    </w:rPr>
                    <w:t>.28</w:t>
                  </w:r>
                </w:p>
              </w:tc>
              <w:tc>
                <w:tcPr>
                  <w:tcW w:w="948" w:type="pct"/>
                  <w:vAlign w:val="center"/>
                </w:tcPr>
                <w:p>
                  <w:pPr>
                    <w:jc w:val="center"/>
                    <w:rPr>
                      <w:rFonts w:hint="default" w:eastAsia="宋体" w:cs="Times New Roman"/>
                      <w:color w:val="auto"/>
                      <w:szCs w:val="21"/>
                      <w:lang w:val="en-US" w:eastAsia="zh-CN"/>
                    </w:rPr>
                  </w:pPr>
                  <w:r>
                    <w:rPr>
                      <w:rFonts w:hint="eastAsia" w:cs="Times New Roman"/>
                      <w:color w:val="auto"/>
                      <w:szCs w:val="21"/>
                    </w:rPr>
                    <w:t>0</w:t>
                  </w:r>
                  <w:r>
                    <w:rPr>
                      <w:rFonts w:cs="Times New Roman"/>
                      <w:color w:val="auto"/>
                      <w:szCs w:val="21"/>
                    </w:rPr>
                    <w:t>.00</w:t>
                  </w:r>
                  <w:r>
                    <w:rPr>
                      <w:rFonts w:hint="eastAsia" w:cs="Times New Roman"/>
                      <w:color w:val="auto"/>
                      <w:szCs w:val="21"/>
                      <w:lang w:val="en-US" w:eastAsia="zh-CN"/>
                    </w:rPr>
                    <w:t>12</w:t>
                  </w:r>
                </w:p>
              </w:tc>
            </w:tr>
          </w:tbl>
          <w:p>
            <w:pPr>
              <w:spacing w:line="360" w:lineRule="auto"/>
              <w:ind w:firstLine="482" w:firstLineChars="200"/>
              <w:rPr>
                <w:b/>
                <w:sz w:val="24"/>
                <w:szCs w:val="24"/>
              </w:rPr>
            </w:pPr>
            <w:r>
              <w:rPr>
                <w:rFonts w:hint="eastAsia"/>
                <w:b/>
                <w:sz w:val="24"/>
                <w:szCs w:val="24"/>
              </w:rPr>
              <w:t>（</w:t>
            </w:r>
            <w:r>
              <w:rPr>
                <w:b/>
                <w:sz w:val="24"/>
                <w:szCs w:val="24"/>
              </w:rPr>
              <w:t>2</w:t>
            </w:r>
            <w:r>
              <w:rPr>
                <w:rFonts w:hint="eastAsia"/>
                <w:b/>
                <w:sz w:val="24"/>
                <w:szCs w:val="24"/>
              </w:rPr>
              <w:t>）治理措施</w:t>
            </w:r>
          </w:p>
          <w:p>
            <w:pPr>
              <w:spacing w:line="360" w:lineRule="auto"/>
              <w:ind w:firstLine="480"/>
              <w:rPr>
                <w:color w:val="FF0000"/>
                <w:kern w:val="24"/>
                <w:sz w:val="24"/>
                <w:szCs w:val="24"/>
              </w:rPr>
            </w:pPr>
            <w:r>
              <w:rPr>
                <w:rFonts w:hint="eastAsia"/>
                <w:sz w:val="24"/>
                <w:szCs w:val="24"/>
              </w:rPr>
              <w:t>项目排水采用雨、污分流制</w:t>
            </w:r>
            <w:r>
              <w:rPr>
                <w:rFonts w:hint="eastAsia"/>
                <w:color w:val="auto"/>
                <w:sz w:val="24"/>
                <w:szCs w:val="24"/>
              </w:rPr>
              <w:t>，按照“分类收集、分质处理”的原则，</w:t>
            </w:r>
            <w:r>
              <w:rPr>
                <w:rFonts w:hint="eastAsia"/>
                <w:b/>
                <w:color w:val="auto"/>
                <w:sz w:val="24"/>
                <w:szCs w:val="24"/>
              </w:rPr>
              <w:t>项目设1个容积</w:t>
            </w:r>
            <w:r>
              <w:rPr>
                <w:rFonts w:hint="eastAsia"/>
                <w:b/>
                <w:color w:val="auto"/>
                <w:sz w:val="24"/>
                <w:szCs w:val="24"/>
                <w:lang w:val="en-US" w:eastAsia="zh-CN"/>
              </w:rPr>
              <w:t>200</w:t>
            </w:r>
            <w:r>
              <w:rPr>
                <w:b/>
                <w:color w:val="auto"/>
                <w:sz w:val="24"/>
                <w:szCs w:val="24"/>
              </w:rPr>
              <w:t>m</w:t>
            </w:r>
            <w:r>
              <w:rPr>
                <w:b/>
                <w:color w:val="auto"/>
                <w:sz w:val="24"/>
                <w:szCs w:val="24"/>
                <w:vertAlign w:val="superscript"/>
              </w:rPr>
              <w:t>3</w:t>
            </w:r>
            <w:r>
              <w:rPr>
                <w:b/>
                <w:color w:val="auto"/>
                <w:sz w:val="24"/>
                <w:szCs w:val="24"/>
              </w:rPr>
              <w:t>的废水池用于生产废水收集处理，设</w:t>
            </w:r>
            <w:r>
              <w:rPr>
                <w:rFonts w:hint="eastAsia"/>
                <w:b/>
                <w:color w:val="auto"/>
                <w:sz w:val="24"/>
                <w:szCs w:val="24"/>
              </w:rPr>
              <w:t>1个容积4m</w:t>
            </w:r>
            <w:r>
              <w:rPr>
                <w:b/>
                <w:color w:val="auto"/>
                <w:sz w:val="24"/>
                <w:szCs w:val="24"/>
                <w:vertAlign w:val="superscript"/>
              </w:rPr>
              <w:t>3</w:t>
            </w:r>
            <w:r>
              <w:rPr>
                <w:b/>
                <w:color w:val="auto"/>
                <w:sz w:val="24"/>
                <w:szCs w:val="24"/>
              </w:rPr>
              <w:t>的预处理池用于生活污水预处理。</w:t>
            </w:r>
            <w:r>
              <w:rPr>
                <w:color w:val="auto"/>
                <w:sz w:val="24"/>
                <w:szCs w:val="24"/>
              </w:rPr>
              <w:t>运营期生产废水（包括排泥废</w:t>
            </w:r>
            <w:r>
              <w:rPr>
                <w:sz w:val="24"/>
                <w:szCs w:val="24"/>
              </w:rPr>
              <w:t>水、反冲洗废水）经废水池收集</w:t>
            </w:r>
            <w:r>
              <w:rPr>
                <w:rFonts w:hint="eastAsia"/>
                <w:kern w:val="24"/>
                <w:sz w:val="24"/>
                <w:szCs w:val="24"/>
              </w:rPr>
              <w:t>沉淀</w:t>
            </w:r>
            <w:r>
              <w:rPr>
                <w:kern w:val="24"/>
                <w:sz w:val="24"/>
                <w:szCs w:val="24"/>
              </w:rPr>
              <w:t>后</w:t>
            </w:r>
            <w:r>
              <w:rPr>
                <w:sz w:val="24"/>
                <w:szCs w:val="24"/>
              </w:rPr>
              <w:t>后，上清液</w:t>
            </w:r>
            <w:r>
              <w:rPr>
                <w:rFonts w:hint="eastAsia"/>
                <w:sz w:val="24"/>
                <w:szCs w:val="24"/>
              </w:rPr>
              <w:t>排入</w:t>
            </w:r>
            <w:r>
              <w:rPr>
                <w:sz w:val="24"/>
                <w:szCs w:val="24"/>
              </w:rPr>
              <w:t>原水箱回用，</w:t>
            </w:r>
            <w:r>
              <w:rPr>
                <w:rFonts w:hint="eastAsia"/>
                <w:kern w:val="24"/>
                <w:sz w:val="24"/>
                <w:szCs w:val="24"/>
              </w:rPr>
              <w:t>浓缩液</w:t>
            </w:r>
            <w:r>
              <w:rPr>
                <w:kern w:val="24"/>
                <w:sz w:val="24"/>
                <w:szCs w:val="24"/>
              </w:rPr>
              <w:t>经</w:t>
            </w:r>
            <w:r>
              <w:rPr>
                <w:rFonts w:hint="eastAsia"/>
                <w:kern w:val="24"/>
                <w:sz w:val="24"/>
                <w:szCs w:val="24"/>
              </w:rPr>
              <w:t>脱水机房</w:t>
            </w:r>
            <w:r>
              <w:rPr>
                <w:kern w:val="24"/>
                <w:sz w:val="24"/>
                <w:szCs w:val="24"/>
              </w:rPr>
              <w:t>分离后</w:t>
            </w:r>
            <w:r>
              <w:rPr>
                <w:rFonts w:hint="eastAsia"/>
                <w:kern w:val="24"/>
                <w:sz w:val="24"/>
                <w:szCs w:val="24"/>
              </w:rPr>
              <w:t>污水</w:t>
            </w:r>
            <w:r>
              <w:rPr>
                <w:kern w:val="24"/>
                <w:sz w:val="24"/>
                <w:szCs w:val="24"/>
              </w:rPr>
              <w:t>排入市政污水管网，污泥</w:t>
            </w:r>
            <w:r>
              <w:rPr>
                <w:rFonts w:hint="eastAsia"/>
                <w:sz w:val="24"/>
                <w:szCs w:val="24"/>
              </w:rPr>
              <w:t>交由环卫部门清运处理。生活污水</w:t>
            </w:r>
            <w:r>
              <w:rPr>
                <w:rFonts w:hint="eastAsia"/>
                <w:kern w:val="24"/>
                <w:sz w:val="24"/>
                <w:szCs w:val="24"/>
              </w:rPr>
              <w:t>经预处理池处理达到《污水综合排放标准》（GB8978-1996）三级标准（NH</w:t>
            </w:r>
            <w:r>
              <w:rPr>
                <w:rFonts w:hint="eastAsia"/>
                <w:kern w:val="24"/>
                <w:sz w:val="24"/>
                <w:szCs w:val="24"/>
                <w:vertAlign w:val="subscript"/>
              </w:rPr>
              <w:t>3</w:t>
            </w:r>
            <w:r>
              <w:rPr>
                <w:rFonts w:hint="eastAsia"/>
                <w:kern w:val="24"/>
                <w:sz w:val="24"/>
                <w:szCs w:val="24"/>
              </w:rPr>
              <w:t>-N、TP参照《污水排入城镇下水道水质标准》（GB/T31962-2015）表1中B级</w:t>
            </w:r>
            <w:r>
              <w:rPr>
                <w:rFonts w:hint="eastAsia"/>
                <w:color w:val="auto"/>
                <w:kern w:val="24"/>
                <w:sz w:val="24"/>
                <w:szCs w:val="24"/>
              </w:rPr>
              <w:t>标准）后与脱水机房污水一起排入市政污水管网，经</w:t>
            </w:r>
            <w:r>
              <w:rPr>
                <w:rFonts w:hint="eastAsia"/>
                <w:color w:val="auto"/>
                <w:kern w:val="24"/>
                <w:sz w:val="24"/>
                <w:szCs w:val="24"/>
                <w:lang w:eastAsia="zh-CN"/>
              </w:rPr>
              <w:t>宣汉县城市生活污水处理厂</w:t>
            </w:r>
            <w:r>
              <w:rPr>
                <w:rFonts w:hint="eastAsia"/>
                <w:color w:val="auto"/>
                <w:kern w:val="24"/>
                <w:sz w:val="24"/>
                <w:szCs w:val="24"/>
              </w:rPr>
              <w:t>处理达到《城镇污水处理厂污染物排放标准》（GB18918-2002）一级标准的A类标准后排入</w:t>
            </w:r>
            <w:r>
              <w:rPr>
                <w:rFonts w:hint="eastAsia"/>
                <w:color w:val="auto"/>
                <w:kern w:val="24"/>
                <w:sz w:val="24"/>
                <w:szCs w:val="24"/>
                <w:lang w:eastAsia="zh-CN"/>
              </w:rPr>
              <w:t>后河</w:t>
            </w:r>
            <w:r>
              <w:rPr>
                <w:rFonts w:hint="eastAsia"/>
                <w:color w:val="auto"/>
                <w:kern w:val="24"/>
                <w:sz w:val="24"/>
                <w:szCs w:val="24"/>
              </w:rPr>
              <w:t>。</w:t>
            </w:r>
          </w:p>
          <w:p>
            <w:pPr>
              <w:spacing w:line="360" w:lineRule="auto"/>
              <w:ind w:firstLine="482" w:firstLineChars="200"/>
              <w:rPr>
                <w:b/>
                <w:sz w:val="24"/>
                <w:szCs w:val="24"/>
              </w:rPr>
            </w:pPr>
            <w:r>
              <w:rPr>
                <w:rFonts w:hint="eastAsia"/>
                <w:b/>
                <w:sz w:val="24"/>
                <w:szCs w:val="24"/>
              </w:rPr>
              <w:t>（</w:t>
            </w:r>
            <w:r>
              <w:rPr>
                <w:b/>
                <w:sz w:val="24"/>
                <w:szCs w:val="24"/>
              </w:rPr>
              <w:t>3</w:t>
            </w:r>
            <w:r>
              <w:rPr>
                <w:rFonts w:hint="eastAsia"/>
                <w:b/>
                <w:sz w:val="24"/>
                <w:szCs w:val="24"/>
              </w:rPr>
              <w:t>）废水源强核算结果</w:t>
            </w:r>
          </w:p>
          <w:p>
            <w:pPr>
              <w:spacing w:line="360" w:lineRule="auto"/>
              <w:ind w:firstLine="480" w:firstLineChars="200"/>
              <w:rPr>
                <w:color w:val="auto"/>
                <w:kern w:val="24"/>
                <w:sz w:val="24"/>
                <w:szCs w:val="24"/>
              </w:rPr>
            </w:pPr>
            <w:r>
              <w:rPr>
                <w:rFonts w:hint="eastAsia"/>
                <w:kern w:val="24"/>
                <w:sz w:val="24"/>
                <w:szCs w:val="24"/>
              </w:rPr>
              <w:t>运营期废水污染源源强核</w:t>
            </w:r>
            <w:r>
              <w:rPr>
                <w:rFonts w:hint="eastAsia"/>
                <w:color w:val="auto"/>
                <w:kern w:val="24"/>
                <w:sz w:val="24"/>
                <w:szCs w:val="24"/>
              </w:rPr>
              <w:t>算结果及相关参数见下表：</w:t>
            </w:r>
          </w:p>
          <w:p>
            <w:pPr>
              <w:spacing w:line="360" w:lineRule="auto"/>
              <w:jc w:val="center"/>
              <w:rPr>
                <w:rFonts w:eastAsia="黑体" w:cs="Times New Roman"/>
                <w:color w:val="auto"/>
                <w:kern w:val="24"/>
                <w:szCs w:val="21"/>
              </w:rPr>
            </w:pPr>
            <w:r>
              <w:rPr>
                <w:rFonts w:eastAsia="黑体" w:cs="Times New Roman"/>
                <w:color w:val="auto"/>
                <w:kern w:val="24"/>
                <w:szCs w:val="21"/>
              </w:rPr>
              <w:t>表4.3-4  废水污染源源强核算结果及相关参数表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770"/>
              <w:gridCol w:w="1037"/>
              <w:gridCol w:w="798"/>
              <w:gridCol w:w="865"/>
              <w:gridCol w:w="794"/>
              <w:gridCol w:w="657"/>
              <w:gridCol w:w="881"/>
              <w:gridCol w:w="829"/>
              <w:gridCol w:w="933"/>
              <w:gridCol w:w="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Merge w:val="restart"/>
                  <w:vAlign w:val="center"/>
                </w:tcPr>
                <w:p>
                  <w:pPr>
                    <w:jc w:val="center"/>
                    <w:rPr>
                      <w:color w:val="auto"/>
                      <w:kern w:val="24"/>
                      <w:sz w:val="18"/>
                      <w:szCs w:val="18"/>
                    </w:rPr>
                  </w:pPr>
                  <w:r>
                    <w:rPr>
                      <w:color w:val="auto"/>
                      <w:kern w:val="24"/>
                      <w:sz w:val="18"/>
                      <w:szCs w:val="18"/>
                    </w:rPr>
                    <w:t>废水类别</w:t>
                  </w:r>
                </w:p>
              </w:tc>
              <w:tc>
                <w:tcPr>
                  <w:tcW w:w="444" w:type="pct"/>
                  <w:vMerge w:val="restart"/>
                  <w:vAlign w:val="center"/>
                </w:tcPr>
                <w:p>
                  <w:pPr>
                    <w:jc w:val="center"/>
                    <w:rPr>
                      <w:color w:val="auto"/>
                      <w:kern w:val="24"/>
                      <w:sz w:val="18"/>
                      <w:szCs w:val="18"/>
                    </w:rPr>
                  </w:pPr>
                  <w:r>
                    <w:rPr>
                      <w:color w:val="auto"/>
                      <w:kern w:val="24"/>
                      <w:sz w:val="18"/>
                      <w:szCs w:val="18"/>
                    </w:rPr>
                    <w:t>污染物</w:t>
                  </w:r>
                </w:p>
              </w:tc>
              <w:tc>
                <w:tcPr>
                  <w:tcW w:w="1557" w:type="pct"/>
                  <w:gridSpan w:val="3"/>
                  <w:vAlign w:val="center"/>
                </w:tcPr>
                <w:p>
                  <w:pPr>
                    <w:jc w:val="center"/>
                    <w:rPr>
                      <w:color w:val="auto"/>
                      <w:kern w:val="24"/>
                      <w:sz w:val="18"/>
                      <w:szCs w:val="18"/>
                    </w:rPr>
                  </w:pPr>
                  <w:r>
                    <w:rPr>
                      <w:color w:val="auto"/>
                      <w:kern w:val="24"/>
                      <w:sz w:val="18"/>
                      <w:szCs w:val="18"/>
                    </w:rPr>
                    <w:t>污染物产生</w:t>
                  </w:r>
                </w:p>
              </w:tc>
              <w:tc>
                <w:tcPr>
                  <w:tcW w:w="837" w:type="pct"/>
                  <w:gridSpan w:val="2"/>
                  <w:vAlign w:val="center"/>
                </w:tcPr>
                <w:p>
                  <w:pPr>
                    <w:jc w:val="center"/>
                    <w:rPr>
                      <w:color w:val="auto"/>
                      <w:kern w:val="24"/>
                      <w:sz w:val="18"/>
                      <w:szCs w:val="18"/>
                    </w:rPr>
                  </w:pPr>
                  <w:r>
                    <w:rPr>
                      <w:color w:val="auto"/>
                      <w:kern w:val="24"/>
                      <w:sz w:val="18"/>
                      <w:szCs w:val="18"/>
                    </w:rPr>
                    <w:t>治理措施</w:t>
                  </w:r>
                </w:p>
              </w:tc>
              <w:tc>
                <w:tcPr>
                  <w:tcW w:w="1900" w:type="pct"/>
                  <w:gridSpan w:val="4"/>
                  <w:vAlign w:val="center"/>
                </w:tcPr>
                <w:p>
                  <w:pPr>
                    <w:jc w:val="center"/>
                    <w:rPr>
                      <w:color w:val="auto"/>
                      <w:kern w:val="24"/>
                      <w:sz w:val="18"/>
                      <w:szCs w:val="18"/>
                    </w:rPr>
                  </w:pPr>
                  <w:r>
                    <w:rPr>
                      <w:color w:val="auto"/>
                      <w:kern w:val="24"/>
                      <w:sz w:val="18"/>
                      <w:szCs w:val="18"/>
                    </w:rPr>
                    <w:t>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Merge w:val="continue"/>
                  <w:vAlign w:val="center"/>
                </w:tcPr>
                <w:p>
                  <w:pPr>
                    <w:jc w:val="center"/>
                    <w:rPr>
                      <w:color w:val="auto"/>
                      <w:kern w:val="24"/>
                      <w:sz w:val="18"/>
                      <w:szCs w:val="18"/>
                    </w:rPr>
                  </w:pPr>
                </w:p>
              </w:tc>
              <w:tc>
                <w:tcPr>
                  <w:tcW w:w="444" w:type="pct"/>
                  <w:vMerge w:val="continue"/>
                  <w:vAlign w:val="center"/>
                </w:tcPr>
                <w:p>
                  <w:pPr>
                    <w:jc w:val="center"/>
                    <w:rPr>
                      <w:color w:val="auto"/>
                      <w:kern w:val="24"/>
                      <w:sz w:val="18"/>
                      <w:szCs w:val="18"/>
                    </w:rPr>
                  </w:pPr>
                </w:p>
              </w:tc>
              <w:tc>
                <w:tcPr>
                  <w:tcW w:w="598" w:type="pct"/>
                  <w:vAlign w:val="center"/>
                </w:tcPr>
                <w:p>
                  <w:pPr>
                    <w:jc w:val="center"/>
                    <w:rPr>
                      <w:color w:val="auto"/>
                      <w:kern w:val="24"/>
                      <w:sz w:val="18"/>
                      <w:szCs w:val="18"/>
                    </w:rPr>
                  </w:pPr>
                  <w:r>
                    <w:rPr>
                      <w:rFonts w:cstheme="minorHAnsi"/>
                      <w:color w:val="auto"/>
                      <w:sz w:val="18"/>
                      <w:szCs w:val="18"/>
                    </w:rPr>
                    <w:t>废水量</w:t>
                  </w:r>
                  <w:r>
                    <w:rPr>
                      <w:rFonts w:hint="eastAsia" w:cstheme="minorHAnsi"/>
                      <w:color w:val="auto"/>
                      <w:sz w:val="18"/>
                      <w:szCs w:val="18"/>
                    </w:rPr>
                    <w:t>(</w:t>
                  </w:r>
                  <w:r>
                    <w:rPr>
                      <w:rFonts w:cstheme="minorHAnsi"/>
                      <w:color w:val="auto"/>
                      <w:sz w:val="18"/>
                      <w:szCs w:val="18"/>
                    </w:rPr>
                    <w:t>m</w:t>
                  </w:r>
                  <w:r>
                    <w:rPr>
                      <w:rFonts w:cstheme="minorHAnsi"/>
                      <w:color w:val="auto"/>
                      <w:sz w:val="18"/>
                      <w:szCs w:val="18"/>
                      <w:vertAlign w:val="superscript"/>
                    </w:rPr>
                    <w:t>3</w:t>
                  </w:r>
                  <w:r>
                    <w:rPr>
                      <w:rFonts w:cstheme="minorHAnsi"/>
                      <w:color w:val="auto"/>
                      <w:sz w:val="18"/>
                      <w:szCs w:val="18"/>
                    </w:rPr>
                    <w:t>/a</w:t>
                  </w:r>
                  <w:r>
                    <w:rPr>
                      <w:rFonts w:hint="eastAsia" w:cstheme="minorHAnsi"/>
                      <w:color w:val="auto"/>
                      <w:sz w:val="18"/>
                      <w:szCs w:val="18"/>
                    </w:rPr>
                    <w:t>)</w:t>
                  </w:r>
                </w:p>
              </w:tc>
              <w:tc>
                <w:tcPr>
                  <w:tcW w:w="460" w:type="pct"/>
                  <w:vAlign w:val="center"/>
                </w:tcPr>
                <w:p>
                  <w:pPr>
                    <w:jc w:val="center"/>
                    <w:rPr>
                      <w:color w:val="auto"/>
                      <w:kern w:val="24"/>
                      <w:sz w:val="18"/>
                      <w:szCs w:val="18"/>
                    </w:rPr>
                  </w:pPr>
                  <w:r>
                    <w:rPr>
                      <w:rFonts w:cstheme="minorHAnsi"/>
                      <w:color w:val="auto"/>
                      <w:sz w:val="18"/>
                      <w:szCs w:val="18"/>
                    </w:rPr>
                    <w:t>浓度</w:t>
                  </w:r>
                  <w:r>
                    <w:rPr>
                      <w:rFonts w:hint="eastAsia" w:cstheme="minorHAnsi"/>
                      <w:color w:val="auto"/>
                      <w:sz w:val="18"/>
                      <w:szCs w:val="18"/>
                    </w:rPr>
                    <w:t>(mg/L)</w:t>
                  </w:r>
                </w:p>
              </w:tc>
              <w:tc>
                <w:tcPr>
                  <w:tcW w:w="497" w:type="pct"/>
                  <w:vAlign w:val="center"/>
                </w:tcPr>
                <w:p>
                  <w:pPr>
                    <w:jc w:val="center"/>
                    <w:rPr>
                      <w:color w:val="auto"/>
                      <w:kern w:val="24"/>
                      <w:sz w:val="18"/>
                      <w:szCs w:val="18"/>
                    </w:rPr>
                  </w:pPr>
                  <w:r>
                    <w:rPr>
                      <w:rFonts w:hint="eastAsia" w:cstheme="minorHAnsi"/>
                      <w:color w:val="auto"/>
                      <w:sz w:val="18"/>
                      <w:szCs w:val="18"/>
                    </w:rPr>
                    <w:t>产生量(t/a)</w:t>
                  </w:r>
                </w:p>
              </w:tc>
              <w:tc>
                <w:tcPr>
                  <w:tcW w:w="458" w:type="pct"/>
                  <w:vAlign w:val="center"/>
                </w:tcPr>
                <w:p>
                  <w:pPr>
                    <w:jc w:val="center"/>
                    <w:rPr>
                      <w:color w:val="auto"/>
                      <w:kern w:val="24"/>
                      <w:sz w:val="18"/>
                      <w:szCs w:val="18"/>
                    </w:rPr>
                  </w:pPr>
                  <w:r>
                    <w:rPr>
                      <w:rFonts w:hint="eastAsia" w:cstheme="minorHAnsi"/>
                      <w:color w:val="auto"/>
                      <w:sz w:val="18"/>
                      <w:szCs w:val="18"/>
                    </w:rPr>
                    <w:t>治理工艺</w:t>
                  </w:r>
                </w:p>
              </w:tc>
              <w:tc>
                <w:tcPr>
                  <w:tcW w:w="379" w:type="pct"/>
                  <w:vAlign w:val="center"/>
                </w:tcPr>
                <w:p>
                  <w:pPr>
                    <w:jc w:val="center"/>
                    <w:rPr>
                      <w:color w:val="auto"/>
                      <w:kern w:val="24"/>
                      <w:sz w:val="18"/>
                      <w:szCs w:val="18"/>
                    </w:rPr>
                  </w:pPr>
                  <w:r>
                    <w:rPr>
                      <w:rFonts w:cstheme="minorHAnsi"/>
                      <w:color w:val="auto"/>
                      <w:sz w:val="18"/>
                      <w:szCs w:val="18"/>
                    </w:rPr>
                    <w:t>处理效率</w:t>
                  </w:r>
                  <w:r>
                    <w:rPr>
                      <w:rFonts w:hint="eastAsia" w:cstheme="minorHAnsi"/>
                      <w:color w:val="auto"/>
                      <w:sz w:val="18"/>
                      <w:szCs w:val="18"/>
                    </w:rPr>
                    <w:t>(%)</w:t>
                  </w:r>
                </w:p>
              </w:tc>
              <w:tc>
                <w:tcPr>
                  <w:tcW w:w="508" w:type="pct"/>
                  <w:vAlign w:val="center"/>
                </w:tcPr>
                <w:p>
                  <w:pPr>
                    <w:jc w:val="center"/>
                    <w:rPr>
                      <w:color w:val="auto"/>
                      <w:kern w:val="24"/>
                      <w:sz w:val="18"/>
                      <w:szCs w:val="18"/>
                    </w:rPr>
                  </w:pPr>
                  <w:r>
                    <w:rPr>
                      <w:rFonts w:cstheme="minorHAnsi"/>
                      <w:color w:val="auto"/>
                      <w:sz w:val="18"/>
                      <w:szCs w:val="18"/>
                    </w:rPr>
                    <w:t>废水量</w:t>
                  </w:r>
                  <w:r>
                    <w:rPr>
                      <w:rFonts w:hint="eastAsia" w:cstheme="minorHAnsi"/>
                      <w:color w:val="auto"/>
                      <w:sz w:val="18"/>
                      <w:szCs w:val="18"/>
                    </w:rPr>
                    <w:t>(</w:t>
                  </w:r>
                  <w:r>
                    <w:rPr>
                      <w:rFonts w:cstheme="minorHAnsi"/>
                      <w:color w:val="auto"/>
                      <w:sz w:val="18"/>
                      <w:szCs w:val="18"/>
                    </w:rPr>
                    <w:t>m</w:t>
                  </w:r>
                  <w:r>
                    <w:rPr>
                      <w:rFonts w:cstheme="minorHAnsi"/>
                      <w:color w:val="auto"/>
                      <w:sz w:val="18"/>
                      <w:szCs w:val="18"/>
                      <w:vertAlign w:val="superscript"/>
                    </w:rPr>
                    <w:t>3</w:t>
                  </w:r>
                  <w:r>
                    <w:rPr>
                      <w:rFonts w:cstheme="minorHAnsi"/>
                      <w:color w:val="auto"/>
                      <w:sz w:val="18"/>
                      <w:szCs w:val="18"/>
                    </w:rPr>
                    <w:t>/a</w:t>
                  </w:r>
                  <w:r>
                    <w:rPr>
                      <w:rFonts w:hint="eastAsia" w:cstheme="minorHAnsi"/>
                      <w:color w:val="auto"/>
                      <w:sz w:val="18"/>
                      <w:szCs w:val="18"/>
                    </w:rPr>
                    <w:t>)</w:t>
                  </w:r>
                </w:p>
              </w:tc>
              <w:tc>
                <w:tcPr>
                  <w:tcW w:w="478" w:type="pct"/>
                  <w:vAlign w:val="center"/>
                </w:tcPr>
                <w:p>
                  <w:pPr>
                    <w:jc w:val="center"/>
                    <w:rPr>
                      <w:color w:val="auto"/>
                      <w:kern w:val="24"/>
                      <w:sz w:val="18"/>
                      <w:szCs w:val="18"/>
                    </w:rPr>
                  </w:pPr>
                  <w:r>
                    <w:rPr>
                      <w:rFonts w:cstheme="minorHAnsi"/>
                      <w:color w:val="auto"/>
                      <w:sz w:val="18"/>
                      <w:szCs w:val="18"/>
                    </w:rPr>
                    <w:t>浓度</w:t>
                  </w:r>
                  <w:r>
                    <w:rPr>
                      <w:rFonts w:hint="eastAsia" w:cstheme="minorHAnsi"/>
                      <w:color w:val="auto"/>
                      <w:sz w:val="18"/>
                      <w:szCs w:val="18"/>
                    </w:rPr>
                    <w:t>(mg/L)</w:t>
                  </w:r>
                </w:p>
              </w:tc>
              <w:tc>
                <w:tcPr>
                  <w:tcW w:w="538" w:type="pct"/>
                  <w:vAlign w:val="center"/>
                </w:tcPr>
                <w:p>
                  <w:pPr>
                    <w:jc w:val="center"/>
                    <w:rPr>
                      <w:color w:val="auto"/>
                      <w:kern w:val="24"/>
                      <w:sz w:val="18"/>
                      <w:szCs w:val="18"/>
                    </w:rPr>
                  </w:pPr>
                  <w:r>
                    <w:rPr>
                      <w:rFonts w:hint="eastAsia" w:cstheme="minorHAnsi"/>
                      <w:color w:val="auto"/>
                      <w:sz w:val="18"/>
                      <w:szCs w:val="18"/>
                    </w:rPr>
                    <w:t>排放量(t/a)</w:t>
                  </w:r>
                </w:p>
              </w:tc>
              <w:tc>
                <w:tcPr>
                  <w:tcW w:w="374" w:type="pct"/>
                  <w:vAlign w:val="center"/>
                </w:tcPr>
                <w:p>
                  <w:pPr>
                    <w:jc w:val="center"/>
                    <w:rPr>
                      <w:color w:val="auto"/>
                      <w:kern w:val="24"/>
                      <w:sz w:val="18"/>
                      <w:szCs w:val="18"/>
                    </w:rPr>
                  </w:pPr>
                  <w:r>
                    <w:rPr>
                      <w:color w:val="auto"/>
                      <w:kern w:val="24"/>
                      <w:sz w:val="18"/>
                      <w:szCs w:val="18"/>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Merge w:val="restart"/>
                  <w:vAlign w:val="center"/>
                </w:tcPr>
                <w:p>
                  <w:pPr>
                    <w:jc w:val="center"/>
                    <w:rPr>
                      <w:color w:val="auto"/>
                      <w:kern w:val="24"/>
                      <w:sz w:val="18"/>
                      <w:szCs w:val="18"/>
                    </w:rPr>
                  </w:pPr>
                  <w:r>
                    <w:rPr>
                      <w:color w:val="auto"/>
                      <w:kern w:val="24"/>
                      <w:sz w:val="18"/>
                      <w:szCs w:val="18"/>
                    </w:rPr>
                    <w:t>生产废水</w:t>
                  </w:r>
                </w:p>
              </w:tc>
              <w:tc>
                <w:tcPr>
                  <w:tcW w:w="444" w:type="pct"/>
                  <w:vAlign w:val="center"/>
                </w:tcPr>
                <w:p>
                  <w:pPr>
                    <w:jc w:val="center"/>
                    <w:rPr>
                      <w:color w:val="auto"/>
                      <w:kern w:val="24"/>
                      <w:sz w:val="18"/>
                      <w:szCs w:val="18"/>
                    </w:rPr>
                  </w:pPr>
                  <w:r>
                    <w:rPr>
                      <w:color w:val="auto"/>
                      <w:kern w:val="24"/>
                      <w:sz w:val="18"/>
                      <w:szCs w:val="18"/>
                    </w:rPr>
                    <w:t>COD</w:t>
                  </w:r>
                </w:p>
              </w:tc>
              <w:tc>
                <w:tcPr>
                  <w:tcW w:w="598" w:type="pct"/>
                  <w:vMerge w:val="restart"/>
                  <w:vAlign w:val="center"/>
                </w:tcPr>
                <w:p>
                  <w:pPr>
                    <w:jc w:val="center"/>
                    <w:rPr>
                      <w:rFonts w:hint="default" w:eastAsia="宋体" w:cstheme="minorHAnsi"/>
                      <w:color w:val="auto"/>
                      <w:sz w:val="18"/>
                      <w:szCs w:val="18"/>
                      <w:lang w:val="en-US" w:eastAsia="zh-CN"/>
                    </w:rPr>
                  </w:pPr>
                  <w:r>
                    <w:rPr>
                      <w:rFonts w:hint="eastAsia" w:cstheme="minorHAnsi"/>
                      <w:color w:val="auto"/>
                      <w:sz w:val="18"/>
                      <w:szCs w:val="18"/>
                      <w:lang w:val="en-US" w:eastAsia="zh-CN"/>
                    </w:rPr>
                    <w:t>73000</w:t>
                  </w:r>
                </w:p>
              </w:tc>
              <w:tc>
                <w:tcPr>
                  <w:tcW w:w="460" w:type="pct"/>
                  <w:vAlign w:val="center"/>
                </w:tcPr>
                <w:p>
                  <w:pPr>
                    <w:jc w:val="center"/>
                    <w:rPr>
                      <w:rFonts w:cstheme="minorHAnsi"/>
                      <w:color w:val="auto"/>
                      <w:sz w:val="18"/>
                      <w:szCs w:val="18"/>
                    </w:rPr>
                  </w:pPr>
                  <w:r>
                    <w:rPr>
                      <w:rFonts w:hint="eastAsia" w:cs="Times New Roman"/>
                      <w:color w:val="auto"/>
                      <w:kern w:val="0"/>
                      <w:sz w:val="18"/>
                      <w:szCs w:val="18"/>
                    </w:rPr>
                    <w:t>1</w:t>
                  </w:r>
                  <w:r>
                    <w:rPr>
                      <w:rFonts w:cs="Times New Roman"/>
                      <w:color w:val="auto"/>
                      <w:kern w:val="0"/>
                      <w:sz w:val="18"/>
                      <w:szCs w:val="18"/>
                    </w:rPr>
                    <w:t>8.34</w:t>
                  </w:r>
                </w:p>
              </w:tc>
              <w:tc>
                <w:tcPr>
                  <w:tcW w:w="497" w:type="pct"/>
                  <w:vAlign w:val="center"/>
                </w:tcPr>
                <w:p>
                  <w:pPr>
                    <w:keepNext w:val="0"/>
                    <w:keepLines w:val="0"/>
                    <w:widowControl/>
                    <w:suppressLineNumbers w:val="0"/>
                    <w:jc w:val="center"/>
                    <w:textAlignment w:val="center"/>
                    <w:rPr>
                      <w:rFonts w:cstheme="minorHAnsi"/>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1.3388 </w:t>
                  </w:r>
                </w:p>
              </w:tc>
              <w:tc>
                <w:tcPr>
                  <w:tcW w:w="458" w:type="pct"/>
                  <w:vMerge w:val="restart"/>
                  <w:vAlign w:val="center"/>
                </w:tcPr>
                <w:p>
                  <w:pPr>
                    <w:jc w:val="center"/>
                    <w:rPr>
                      <w:rFonts w:cstheme="minorHAnsi"/>
                      <w:color w:val="auto"/>
                      <w:sz w:val="18"/>
                      <w:szCs w:val="18"/>
                    </w:rPr>
                  </w:pPr>
                  <w:r>
                    <w:rPr>
                      <w:rFonts w:hint="eastAsia" w:cstheme="minorHAnsi"/>
                      <w:color w:val="auto"/>
                      <w:sz w:val="18"/>
                      <w:szCs w:val="18"/>
                    </w:rPr>
                    <w:t>废水池+脱水机房</w:t>
                  </w:r>
                </w:p>
              </w:tc>
              <w:tc>
                <w:tcPr>
                  <w:tcW w:w="379" w:type="pct"/>
                  <w:vAlign w:val="center"/>
                </w:tcPr>
                <w:p>
                  <w:pPr>
                    <w:jc w:val="center"/>
                    <w:rPr>
                      <w:rFonts w:cstheme="minorHAnsi"/>
                      <w:color w:val="auto"/>
                      <w:sz w:val="18"/>
                      <w:szCs w:val="18"/>
                    </w:rPr>
                  </w:pPr>
                  <w:r>
                    <w:rPr>
                      <w:rFonts w:hint="eastAsia" w:cstheme="minorHAnsi"/>
                      <w:color w:val="auto"/>
                      <w:sz w:val="18"/>
                      <w:szCs w:val="18"/>
                    </w:rPr>
                    <w:t>0</w:t>
                  </w:r>
                </w:p>
              </w:tc>
              <w:tc>
                <w:tcPr>
                  <w:tcW w:w="508" w:type="pct"/>
                  <w:vMerge w:val="restart"/>
                  <w:vAlign w:val="center"/>
                </w:tcPr>
                <w:p>
                  <w:pPr>
                    <w:jc w:val="center"/>
                    <w:rPr>
                      <w:rFonts w:cstheme="minorHAnsi"/>
                      <w:color w:val="auto"/>
                      <w:sz w:val="18"/>
                      <w:szCs w:val="18"/>
                    </w:rPr>
                  </w:pPr>
                  <w:r>
                    <w:rPr>
                      <w:rFonts w:cstheme="minorHAnsi"/>
                      <w:color w:val="auto"/>
                      <w:sz w:val="18"/>
                      <w:szCs w:val="18"/>
                    </w:rPr>
                    <w:t>192.355</w:t>
                  </w:r>
                </w:p>
              </w:tc>
              <w:tc>
                <w:tcPr>
                  <w:tcW w:w="478" w:type="pct"/>
                  <w:vAlign w:val="center"/>
                </w:tcPr>
                <w:p>
                  <w:pPr>
                    <w:jc w:val="center"/>
                    <w:rPr>
                      <w:color w:val="auto"/>
                      <w:kern w:val="24"/>
                      <w:sz w:val="18"/>
                      <w:szCs w:val="18"/>
                    </w:rPr>
                  </w:pPr>
                  <w:r>
                    <w:rPr>
                      <w:rFonts w:hint="eastAsia" w:cs="Times New Roman"/>
                      <w:color w:val="auto"/>
                      <w:kern w:val="0"/>
                      <w:sz w:val="18"/>
                      <w:szCs w:val="18"/>
                    </w:rPr>
                    <w:t>1</w:t>
                  </w:r>
                  <w:r>
                    <w:rPr>
                      <w:rFonts w:cs="Times New Roman"/>
                      <w:color w:val="auto"/>
                      <w:kern w:val="0"/>
                      <w:sz w:val="18"/>
                      <w:szCs w:val="18"/>
                    </w:rPr>
                    <w:t>8.34</w:t>
                  </w:r>
                </w:p>
              </w:tc>
              <w:tc>
                <w:tcPr>
                  <w:tcW w:w="538" w:type="pct"/>
                  <w:vAlign w:val="center"/>
                </w:tcPr>
                <w:p>
                  <w:pPr>
                    <w:keepNext w:val="0"/>
                    <w:keepLines w:val="0"/>
                    <w:widowControl/>
                    <w:suppressLineNumbers w:val="0"/>
                    <w:jc w:val="center"/>
                    <w:textAlignment w:val="center"/>
                    <w:rPr>
                      <w:color w:val="auto"/>
                      <w:kern w:val="24"/>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0.0412 </w:t>
                  </w:r>
                </w:p>
              </w:tc>
              <w:tc>
                <w:tcPr>
                  <w:tcW w:w="374" w:type="pct"/>
                  <w:vMerge w:val="restart"/>
                  <w:vAlign w:val="center"/>
                </w:tcPr>
                <w:p>
                  <w:pPr>
                    <w:jc w:val="center"/>
                    <w:rPr>
                      <w:color w:val="auto"/>
                      <w:kern w:val="24"/>
                      <w:sz w:val="18"/>
                      <w:szCs w:val="18"/>
                    </w:rPr>
                  </w:pPr>
                  <w:r>
                    <w:rPr>
                      <w:color w:val="auto"/>
                      <w:kern w:val="24"/>
                      <w:sz w:val="18"/>
                      <w:szCs w:val="18"/>
                    </w:rPr>
                    <w:t>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Merge w:val="continue"/>
                  <w:vAlign w:val="center"/>
                </w:tcPr>
                <w:p>
                  <w:pPr>
                    <w:jc w:val="center"/>
                    <w:rPr>
                      <w:color w:val="auto"/>
                      <w:kern w:val="24"/>
                      <w:sz w:val="18"/>
                      <w:szCs w:val="18"/>
                    </w:rPr>
                  </w:pPr>
                </w:p>
              </w:tc>
              <w:tc>
                <w:tcPr>
                  <w:tcW w:w="444" w:type="pct"/>
                  <w:vAlign w:val="center"/>
                </w:tcPr>
                <w:p>
                  <w:pPr>
                    <w:jc w:val="center"/>
                    <w:rPr>
                      <w:color w:val="auto"/>
                      <w:kern w:val="24"/>
                      <w:sz w:val="18"/>
                      <w:szCs w:val="18"/>
                    </w:rPr>
                  </w:pPr>
                  <w:r>
                    <w:rPr>
                      <w:rFonts w:hint="eastAsia"/>
                      <w:color w:val="auto"/>
                      <w:kern w:val="24"/>
                      <w:sz w:val="18"/>
                      <w:szCs w:val="18"/>
                    </w:rPr>
                    <w:t>氨氮</w:t>
                  </w:r>
                </w:p>
              </w:tc>
              <w:tc>
                <w:tcPr>
                  <w:tcW w:w="598" w:type="pct"/>
                  <w:vMerge w:val="continue"/>
                  <w:vAlign w:val="center"/>
                </w:tcPr>
                <w:p>
                  <w:pPr>
                    <w:jc w:val="center"/>
                    <w:rPr>
                      <w:rFonts w:cstheme="minorHAnsi"/>
                      <w:color w:val="auto"/>
                      <w:sz w:val="18"/>
                      <w:szCs w:val="18"/>
                    </w:rPr>
                  </w:pPr>
                </w:p>
              </w:tc>
              <w:tc>
                <w:tcPr>
                  <w:tcW w:w="460" w:type="pct"/>
                  <w:vAlign w:val="center"/>
                </w:tcPr>
                <w:p>
                  <w:pPr>
                    <w:jc w:val="center"/>
                    <w:rPr>
                      <w:rFonts w:cstheme="minorHAnsi"/>
                      <w:color w:val="auto"/>
                      <w:sz w:val="18"/>
                      <w:szCs w:val="18"/>
                    </w:rPr>
                  </w:pPr>
                  <w:r>
                    <w:rPr>
                      <w:rFonts w:hint="eastAsia" w:cs="Times New Roman"/>
                      <w:color w:val="auto"/>
                      <w:sz w:val="18"/>
                      <w:szCs w:val="18"/>
                    </w:rPr>
                    <w:t>0</w:t>
                  </w:r>
                  <w:r>
                    <w:rPr>
                      <w:rFonts w:cs="Times New Roman"/>
                      <w:color w:val="auto"/>
                      <w:sz w:val="18"/>
                      <w:szCs w:val="18"/>
                    </w:rPr>
                    <w:t>.47</w:t>
                  </w:r>
                </w:p>
              </w:tc>
              <w:tc>
                <w:tcPr>
                  <w:tcW w:w="497" w:type="pct"/>
                  <w:vAlign w:val="center"/>
                </w:tcPr>
                <w:p>
                  <w:pPr>
                    <w:keepNext w:val="0"/>
                    <w:keepLines w:val="0"/>
                    <w:widowControl/>
                    <w:suppressLineNumbers w:val="0"/>
                    <w:jc w:val="center"/>
                    <w:textAlignment w:val="center"/>
                    <w:rPr>
                      <w:rFonts w:cstheme="minorHAnsi"/>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0.0343 </w:t>
                  </w:r>
                </w:p>
              </w:tc>
              <w:tc>
                <w:tcPr>
                  <w:tcW w:w="458" w:type="pct"/>
                  <w:vMerge w:val="continue"/>
                  <w:vAlign w:val="center"/>
                </w:tcPr>
                <w:p>
                  <w:pPr>
                    <w:jc w:val="center"/>
                    <w:rPr>
                      <w:rFonts w:cstheme="minorHAnsi"/>
                      <w:color w:val="auto"/>
                      <w:sz w:val="18"/>
                      <w:szCs w:val="18"/>
                    </w:rPr>
                  </w:pPr>
                </w:p>
              </w:tc>
              <w:tc>
                <w:tcPr>
                  <w:tcW w:w="379" w:type="pct"/>
                  <w:vAlign w:val="center"/>
                </w:tcPr>
                <w:p>
                  <w:pPr>
                    <w:jc w:val="center"/>
                    <w:rPr>
                      <w:rFonts w:cstheme="minorHAnsi"/>
                      <w:color w:val="auto"/>
                      <w:sz w:val="18"/>
                      <w:szCs w:val="18"/>
                    </w:rPr>
                  </w:pPr>
                  <w:r>
                    <w:rPr>
                      <w:rFonts w:hint="eastAsia" w:cstheme="minorHAnsi"/>
                      <w:color w:val="auto"/>
                      <w:sz w:val="18"/>
                      <w:szCs w:val="18"/>
                    </w:rPr>
                    <w:t>0</w:t>
                  </w:r>
                </w:p>
              </w:tc>
              <w:tc>
                <w:tcPr>
                  <w:tcW w:w="508" w:type="pct"/>
                  <w:vMerge w:val="continue"/>
                  <w:vAlign w:val="center"/>
                </w:tcPr>
                <w:p>
                  <w:pPr>
                    <w:jc w:val="center"/>
                    <w:rPr>
                      <w:rFonts w:cstheme="minorHAnsi"/>
                      <w:color w:val="auto"/>
                      <w:sz w:val="18"/>
                      <w:szCs w:val="18"/>
                    </w:rPr>
                  </w:pPr>
                </w:p>
              </w:tc>
              <w:tc>
                <w:tcPr>
                  <w:tcW w:w="478" w:type="pct"/>
                  <w:vAlign w:val="center"/>
                </w:tcPr>
                <w:p>
                  <w:pPr>
                    <w:jc w:val="center"/>
                    <w:rPr>
                      <w:color w:val="auto"/>
                      <w:kern w:val="24"/>
                      <w:sz w:val="18"/>
                      <w:szCs w:val="18"/>
                    </w:rPr>
                  </w:pPr>
                  <w:r>
                    <w:rPr>
                      <w:rFonts w:hint="eastAsia" w:cs="Times New Roman"/>
                      <w:color w:val="auto"/>
                      <w:sz w:val="18"/>
                      <w:szCs w:val="18"/>
                    </w:rPr>
                    <w:t>0</w:t>
                  </w:r>
                  <w:r>
                    <w:rPr>
                      <w:rFonts w:cs="Times New Roman"/>
                      <w:color w:val="auto"/>
                      <w:sz w:val="18"/>
                      <w:szCs w:val="18"/>
                    </w:rPr>
                    <w:t>.47</w:t>
                  </w:r>
                </w:p>
              </w:tc>
              <w:tc>
                <w:tcPr>
                  <w:tcW w:w="538" w:type="pct"/>
                  <w:vAlign w:val="center"/>
                </w:tcPr>
                <w:p>
                  <w:pPr>
                    <w:keepNext w:val="0"/>
                    <w:keepLines w:val="0"/>
                    <w:widowControl/>
                    <w:suppressLineNumbers w:val="0"/>
                    <w:jc w:val="center"/>
                    <w:textAlignment w:val="center"/>
                    <w:rPr>
                      <w:color w:val="auto"/>
                      <w:kern w:val="24"/>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0.0011 </w:t>
                  </w:r>
                </w:p>
              </w:tc>
              <w:tc>
                <w:tcPr>
                  <w:tcW w:w="374" w:type="pct"/>
                  <w:vMerge w:val="continue"/>
                  <w:vAlign w:val="center"/>
                </w:tcPr>
                <w:p>
                  <w:pPr>
                    <w:jc w:val="center"/>
                    <w:rPr>
                      <w:color w:val="auto"/>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Merge w:val="continue"/>
                  <w:vAlign w:val="center"/>
                </w:tcPr>
                <w:p>
                  <w:pPr>
                    <w:jc w:val="center"/>
                    <w:rPr>
                      <w:color w:val="auto"/>
                      <w:kern w:val="24"/>
                      <w:sz w:val="18"/>
                      <w:szCs w:val="18"/>
                    </w:rPr>
                  </w:pPr>
                </w:p>
              </w:tc>
              <w:tc>
                <w:tcPr>
                  <w:tcW w:w="444" w:type="pct"/>
                  <w:vAlign w:val="center"/>
                </w:tcPr>
                <w:p>
                  <w:pPr>
                    <w:jc w:val="center"/>
                    <w:rPr>
                      <w:color w:val="auto"/>
                      <w:kern w:val="24"/>
                      <w:sz w:val="18"/>
                      <w:szCs w:val="18"/>
                    </w:rPr>
                  </w:pPr>
                  <w:r>
                    <w:rPr>
                      <w:color w:val="auto"/>
                      <w:kern w:val="24"/>
                      <w:sz w:val="18"/>
                      <w:szCs w:val="18"/>
                    </w:rPr>
                    <w:t>总磷</w:t>
                  </w:r>
                </w:p>
              </w:tc>
              <w:tc>
                <w:tcPr>
                  <w:tcW w:w="598" w:type="pct"/>
                  <w:vMerge w:val="continue"/>
                  <w:vAlign w:val="center"/>
                </w:tcPr>
                <w:p>
                  <w:pPr>
                    <w:jc w:val="center"/>
                    <w:rPr>
                      <w:rFonts w:cstheme="minorHAnsi"/>
                      <w:color w:val="auto"/>
                      <w:sz w:val="18"/>
                      <w:szCs w:val="18"/>
                    </w:rPr>
                  </w:pPr>
                </w:p>
              </w:tc>
              <w:tc>
                <w:tcPr>
                  <w:tcW w:w="460" w:type="pct"/>
                  <w:vAlign w:val="center"/>
                </w:tcPr>
                <w:p>
                  <w:pPr>
                    <w:jc w:val="center"/>
                    <w:rPr>
                      <w:rFonts w:cstheme="minorHAnsi"/>
                      <w:color w:val="auto"/>
                      <w:sz w:val="18"/>
                      <w:szCs w:val="18"/>
                    </w:rPr>
                  </w:pPr>
                  <w:r>
                    <w:rPr>
                      <w:rFonts w:hint="eastAsia" w:cs="Times New Roman"/>
                      <w:color w:val="auto"/>
                      <w:sz w:val="18"/>
                      <w:szCs w:val="18"/>
                    </w:rPr>
                    <w:t>0</w:t>
                  </w:r>
                  <w:r>
                    <w:rPr>
                      <w:rFonts w:cs="Times New Roman"/>
                      <w:color w:val="auto"/>
                      <w:sz w:val="18"/>
                      <w:szCs w:val="18"/>
                    </w:rPr>
                    <w:t>.37</w:t>
                  </w:r>
                </w:p>
              </w:tc>
              <w:tc>
                <w:tcPr>
                  <w:tcW w:w="497" w:type="pct"/>
                  <w:vAlign w:val="center"/>
                </w:tcPr>
                <w:p>
                  <w:pPr>
                    <w:keepNext w:val="0"/>
                    <w:keepLines w:val="0"/>
                    <w:widowControl/>
                    <w:suppressLineNumbers w:val="0"/>
                    <w:jc w:val="center"/>
                    <w:textAlignment w:val="center"/>
                    <w:rPr>
                      <w:rFonts w:cstheme="minorHAnsi"/>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0.0270 </w:t>
                  </w:r>
                </w:p>
              </w:tc>
              <w:tc>
                <w:tcPr>
                  <w:tcW w:w="458" w:type="pct"/>
                  <w:vMerge w:val="continue"/>
                  <w:vAlign w:val="center"/>
                </w:tcPr>
                <w:p>
                  <w:pPr>
                    <w:jc w:val="center"/>
                    <w:rPr>
                      <w:rFonts w:cstheme="minorHAnsi"/>
                      <w:color w:val="auto"/>
                      <w:sz w:val="18"/>
                      <w:szCs w:val="18"/>
                    </w:rPr>
                  </w:pPr>
                </w:p>
              </w:tc>
              <w:tc>
                <w:tcPr>
                  <w:tcW w:w="379" w:type="pct"/>
                  <w:vAlign w:val="center"/>
                </w:tcPr>
                <w:p>
                  <w:pPr>
                    <w:jc w:val="center"/>
                    <w:rPr>
                      <w:rFonts w:cstheme="minorHAnsi"/>
                      <w:color w:val="auto"/>
                      <w:sz w:val="18"/>
                      <w:szCs w:val="18"/>
                    </w:rPr>
                  </w:pPr>
                  <w:r>
                    <w:rPr>
                      <w:rFonts w:hint="eastAsia" w:cstheme="minorHAnsi"/>
                      <w:color w:val="auto"/>
                      <w:sz w:val="18"/>
                      <w:szCs w:val="18"/>
                    </w:rPr>
                    <w:t>0</w:t>
                  </w:r>
                </w:p>
              </w:tc>
              <w:tc>
                <w:tcPr>
                  <w:tcW w:w="508" w:type="pct"/>
                  <w:vMerge w:val="continue"/>
                  <w:vAlign w:val="center"/>
                </w:tcPr>
                <w:p>
                  <w:pPr>
                    <w:jc w:val="center"/>
                    <w:rPr>
                      <w:rFonts w:cstheme="minorHAnsi"/>
                      <w:color w:val="auto"/>
                      <w:sz w:val="18"/>
                      <w:szCs w:val="18"/>
                    </w:rPr>
                  </w:pPr>
                </w:p>
              </w:tc>
              <w:tc>
                <w:tcPr>
                  <w:tcW w:w="478" w:type="pct"/>
                  <w:vAlign w:val="center"/>
                </w:tcPr>
                <w:p>
                  <w:pPr>
                    <w:jc w:val="center"/>
                    <w:rPr>
                      <w:color w:val="auto"/>
                      <w:kern w:val="24"/>
                      <w:sz w:val="18"/>
                      <w:szCs w:val="18"/>
                    </w:rPr>
                  </w:pPr>
                  <w:r>
                    <w:rPr>
                      <w:rFonts w:hint="eastAsia" w:cs="Times New Roman"/>
                      <w:color w:val="auto"/>
                      <w:sz w:val="18"/>
                      <w:szCs w:val="18"/>
                    </w:rPr>
                    <w:t>0</w:t>
                  </w:r>
                  <w:r>
                    <w:rPr>
                      <w:rFonts w:cs="Times New Roman"/>
                      <w:color w:val="auto"/>
                      <w:sz w:val="18"/>
                      <w:szCs w:val="18"/>
                    </w:rPr>
                    <w:t>.37</w:t>
                  </w:r>
                </w:p>
              </w:tc>
              <w:tc>
                <w:tcPr>
                  <w:tcW w:w="538" w:type="pct"/>
                  <w:vAlign w:val="center"/>
                </w:tcPr>
                <w:p>
                  <w:pPr>
                    <w:keepNext w:val="0"/>
                    <w:keepLines w:val="0"/>
                    <w:widowControl/>
                    <w:suppressLineNumbers w:val="0"/>
                    <w:jc w:val="center"/>
                    <w:textAlignment w:val="center"/>
                    <w:rPr>
                      <w:color w:val="auto"/>
                      <w:kern w:val="24"/>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0.0008 </w:t>
                  </w:r>
                </w:p>
              </w:tc>
              <w:tc>
                <w:tcPr>
                  <w:tcW w:w="374" w:type="pct"/>
                  <w:vMerge w:val="continue"/>
                  <w:vAlign w:val="center"/>
                </w:tcPr>
                <w:p>
                  <w:pPr>
                    <w:jc w:val="center"/>
                    <w:rPr>
                      <w:color w:val="auto"/>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Merge w:val="restart"/>
                  <w:vAlign w:val="center"/>
                </w:tcPr>
                <w:p>
                  <w:pPr>
                    <w:jc w:val="center"/>
                    <w:rPr>
                      <w:color w:val="auto"/>
                      <w:kern w:val="24"/>
                      <w:sz w:val="18"/>
                      <w:szCs w:val="18"/>
                    </w:rPr>
                  </w:pPr>
                  <w:r>
                    <w:rPr>
                      <w:color w:val="auto"/>
                      <w:kern w:val="24"/>
                      <w:sz w:val="18"/>
                      <w:szCs w:val="18"/>
                    </w:rPr>
                    <w:t>生活污水</w:t>
                  </w:r>
                </w:p>
              </w:tc>
              <w:tc>
                <w:tcPr>
                  <w:tcW w:w="444" w:type="pct"/>
                  <w:vAlign w:val="center"/>
                </w:tcPr>
                <w:p>
                  <w:pPr>
                    <w:jc w:val="center"/>
                    <w:rPr>
                      <w:color w:val="auto"/>
                      <w:kern w:val="24"/>
                      <w:sz w:val="18"/>
                      <w:szCs w:val="18"/>
                    </w:rPr>
                  </w:pPr>
                  <w:r>
                    <w:rPr>
                      <w:color w:val="auto"/>
                      <w:kern w:val="24"/>
                      <w:sz w:val="18"/>
                      <w:szCs w:val="18"/>
                    </w:rPr>
                    <w:t>COD</w:t>
                  </w:r>
                </w:p>
              </w:tc>
              <w:tc>
                <w:tcPr>
                  <w:tcW w:w="598" w:type="pct"/>
                  <w:vMerge w:val="restart"/>
                  <w:vAlign w:val="center"/>
                </w:tcPr>
                <w:p>
                  <w:pPr>
                    <w:jc w:val="center"/>
                    <w:rPr>
                      <w:rFonts w:hint="default" w:eastAsia="宋体" w:cstheme="minorHAnsi"/>
                      <w:color w:val="auto"/>
                      <w:sz w:val="18"/>
                      <w:szCs w:val="18"/>
                      <w:lang w:val="en-US" w:eastAsia="zh-CN"/>
                    </w:rPr>
                  </w:pPr>
                  <w:r>
                    <w:rPr>
                      <w:rFonts w:hint="eastAsia" w:cstheme="minorHAnsi"/>
                      <w:color w:val="auto"/>
                      <w:sz w:val="18"/>
                      <w:szCs w:val="18"/>
                      <w:lang w:val="en-US" w:eastAsia="zh-CN"/>
                    </w:rPr>
                    <w:t>297.84</w:t>
                  </w:r>
                </w:p>
              </w:tc>
              <w:tc>
                <w:tcPr>
                  <w:tcW w:w="460" w:type="pct"/>
                  <w:vAlign w:val="center"/>
                </w:tcPr>
                <w:p>
                  <w:pPr>
                    <w:jc w:val="center"/>
                    <w:rPr>
                      <w:rFonts w:cstheme="minorHAnsi"/>
                      <w:color w:val="auto"/>
                      <w:sz w:val="18"/>
                      <w:szCs w:val="18"/>
                    </w:rPr>
                  </w:pPr>
                  <w:r>
                    <w:rPr>
                      <w:rFonts w:hint="eastAsia" w:cs="Times New Roman"/>
                      <w:color w:val="auto"/>
                      <w:kern w:val="0"/>
                      <w:sz w:val="18"/>
                      <w:szCs w:val="18"/>
                    </w:rPr>
                    <w:t>3</w:t>
                  </w:r>
                  <w:r>
                    <w:rPr>
                      <w:rFonts w:cs="Times New Roman"/>
                      <w:color w:val="auto"/>
                      <w:kern w:val="0"/>
                      <w:sz w:val="18"/>
                      <w:szCs w:val="18"/>
                    </w:rPr>
                    <w:t>25</w:t>
                  </w:r>
                </w:p>
              </w:tc>
              <w:tc>
                <w:tcPr>
                  <w:tcW w:w="497" w:type="pct"/>
                  <w:vAlign w:val="center"/>
                </w:tcPr>
                <w:p>
                  <w:pPr>
                    <w:keepNext w:val="0"/>
                    <w:keepLines w:val="0"/>
                    <w:widowControl/>
                    <w:suppressLineNumbers w:val="0"/>
                    <w:jc w:val="center"/>
                    <w:textAlignment w:val="center"/>
                    <w:rPr>
                      <w:rFonts w:cstheme="minorHAnsi"/>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0.0968 </w:t>
                  </w:r>
                </w:p>
              </w:tc>
              <w:tc>
                <w:tcPr>
                  <w:tcW w:w="458" w:type="pct"/>
                  <w:vMerge w:val="restart"/>
                  <w:vAlign w:val="center"/>
                </w:tcPr>
                <w:p>
                  <w:pPr>
                    <w:jc w:val="center"/>
                    <w:rPr>
                      <w:rFonts w:cstheme="minorHAnsi"/>
                      <w:color w:val="auto"/>
                      <w:sz w:val="18"/>
                      <w:szCs w:val="18"/>
                    </w:rPr>
                  </w:pPr>
                  <w:r>
                    <w:rPr>
                      <w:rFonts w:hint="eastAsia" w:cstheme="minorHAnsi"/>
                      <w:color w:val="auto"/>
                      <w:sz w:val="18"/>
                      <w:szCs w:val="18"/>
                    </w:rPr>
                    <w:t>预处理池</w:t>
                  </w:r>
                </w:p>
              </w:tc>
              <w:tc>
                <w:tcPr>
                  <w:tcW w:w="379" w:type="pct"/>
                  <w:vAlign w:val="center"/>
                </w:tcPr>
                <w:p>
                  <w:pPr>
                    <w:jc w:val="center"/>
                    <w:rPr>
                      <w:rFonts w:cstheme="minorHAnsi"/>
                      <w:color w:val="auto"/>
                      <w:sz w:val="18"/>
                      <w:szCs w:val="18"/>
                    </w:rPr>
                  </w:pPr>
                  <w:r>
                    <w:rPr>
                      <w:rFonts w:hint="eastAsia" w:cstheme="minorHAnsi"/>
                      <w:color w:val="auto"/>
                      <w:sz w:val="18"/>
                      <w:szCs w:val="18"/>
                    </w:rPr>
                    <w:t>1</w:t>
                  </w:r>
                  <w:r>
                    <w:rPr>
                      <w:rFonts w:cstheme="minorHAnsi"/>
                      <w:color w:val="auto"/>
                      <w:sz w:val="18"/>
                      <w:szCs w:val="18"/>
                    </w:rPr>
                    <w:t>5</w:t>
                  </w:r>
                </w:p>
              </w:tc>
              <w:tc>
                <w:tcPr>
                  <w:tcW w:w="508" w:type="pct"/>
                  <w:vMerge w:val="restart"/>
                  <w:vAlign w:val="center"/>
                </w:tcPr>
                <w:p>
                  <w:pPr>
                    <w:jc w:val="center"/>
                    <w:rPr>
                      <w:rFonts w:hint="default" w:eastAsia="宋体" w:cstheme="minorHAnsi"/>
                      <w:color w:val="auto"/>
                      <w:sz w:val="18"/>
                      <w:szCs w:val="18"/>
                      <w:lang w:val="en-US" w:eastAsia="zh-CN"/>
                    </w:rPr>
                  </w:pPr>
                  <w:r>
                    <w:rPr>
                      <w:rFonts w:hint="eastAsia" w:cstheme="minorHAnsi"/>
                      <w:color w:val="auto"/>
                      <w:sz w:val="18"/>
                      <w:szCs w:val="18"/>
                      <w:lang w:val="en-US" w:eastAsia="zh-CN"/>
                    </w:rPr>
                    <w:t>297.84</w:t>
                  </w:r>
                </w:p>
              </w:tc>
              <w:tc>
                <w:tcPr>
                  <w:tcW w:w="478" w:type="pct"/>
                  <w:vAlign w:val="center"/>
                </w:tcPr>
                <w:p>
                  <w:pPr>
                    <w:jc w:val="center"/>
                    <w:rPr>
                      <w:rFonts w:cstheme="minorHAnsi"/>
                      <w:color w:val="auto"/>
                      <w:sz w:val="18"/>
                      <w:szCs w:val="18"/>
                    </w:rPr>
                  </w:pPr>
                  <w:r>
                    <w:rPr>
                      <w:rFonts w:cs="Times New Roman"/>
                      <w:color w:val="auto"/>
                      <w:sz w:val="18"/>
                      <w:szCs w:val="18"/>
                    </w:rPr>
                    <w:t>276.25</w:t>
                  </w:r>
                </w:p>
              </w:tc>
              <w:tc>
                <w:tcPr>
                  <w:tcW w:w="538" w:type="pct"/>
                  <w:vAlign w:val="center"/>
                </w:tcPr>
                <w:p>
                  <w:pPr>
                    <w:keepNext w:val="0"/>
                    <w:keepLines w:val="0"/>
                    <w:widowControl/>
                    <w:suppressLineNumbers w:val="0"/>
                    <w:jc w:val="center"/>
                    <w:textAlignment w:val="center"/>
                    <w:rPr>
                      <w:rFonts w:cstheme="minorHAnsi"/>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0.0823 </w:t>
                  </w:r>
                </w:p>
              </w:tc>
              <w:tc>
                <w:tcPr>
                  <w:tcW w:w="374" w:type="pct"/>
                  <w:vMerge w:val="restart"/>
                  <w:vAlign w:val="center"/>
                </w:tcPr>
                <w:p>
                  <w:pPr>
                    <w:jc w:val="center"/>
                    <w:rPr>
                      <w:color w:val="auto"/>
                      <w:kern w:val="24"/>
                      <w:sz w:val="18"/>
                      <w:szCs w:val="18"/>
                    </w:rPr>
                  </w:pPr>
                  <w:r>
                    <w:rPr>
                      <w:color w:val="auto"/>
                      <w:kern w:val="24"/>
                      <w:sz w:val="18"/>
                      <w:szCs w:val="18"/>
                    </w:rPr>
                    <w:t>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Merge w:val="continue"/>
                  <w:vAlign w:val="center"/>
                </w:tcPr>
                <w:p>
                  <w:pPr>
                    <w:jc w:val="center"/>
                    <w:rPr>
                      <w:color w:val="auto"/>
                      <w:kern w:val="24"/>
                      <w:sz w:val="18"/>
                      <w:szCs w:val="18"/>
                    </w:rPr>
                  </w:pPr>
                </w:p>
              </w:tc>
              <w:tc>
                <w:tcPr>
                  <w:tcW w:w="444" w:type="pct"/>
                  <w:vAlign w:val="center"/>
                </w:tcPr>
                <w:p>
                  <w:pPr>
                    <w:jc w:val="center"/>
                    <w:rPr>
                      <w:color w:val="auto"/>
                      <w:kern w:val="24"/>
                      <w:sz w:val="18"/>
                      <w:szCs w:val="18"/>
                    </w:rPr>
                  </w:pPr>
                  <w:r>
                    <w:rPr>
                      <w:color w:val="auto"/>
                      <w:kern w:val="24"/>
                      <w:sz w:val="18"/>
                      <w:szCs w:val="18"/>
                    </w:rPr>
                    <w:t>BOD</w:t>
                  </w:r>
                  <w:r>
                    <w:rPr>
                      <w:color w:val="auto"/>
                      <w:kern w:val="24"/>
                      <w:sz w:val="18"/>
                      <w:szCs w:val="18"/>
                      <w:vertAlign w:val="subscript"/>
                    </w:rPr>
                    <w:t>5</w:t>
                  </w:r>
                </w:p>
              </w:tc>
              <w:tc>
                <w:tcPr>
                  <w:tcW w:w="598" w:type="pct"/>
                  <w:vMerge w:val="continue"/>
                  <w:vAlign w:val="center"/>
                </w:tcPr>
                <w:p>
                  <w:pPr>
                    <w:jc w:val="center"/>
                    <w:rPr>
                      <w:rFonts w:cstheme="minorHAnsi"/>
                      <w:color w:val="auto"/>
                      <w:sz w:val="18"/>
                      <w:szCs w:val="18"/>
                    </w:rPr>
                  </w:pPr>
                </w:p>
              </w:tc>
              <w:tc>
                <w:tcPr>
                  <w:tcW w:w="460" w:type="pct"/>
                  <w:vAlign w:val="center"/>
                </w:tcPr>
                <w:p>
                  <w:pPr>
                    <w:jc w:val="center"/>
                    <w:rPr>
                      <w:rFonts w:cstheme="minorHAnsi"/>
                      <w:color w:val="auto"/>
                      <w:sz w:val="18"/>
                      <w:szCs w:val="18"/>
                    </w:rPr>
                  </w:pPr>
                  <w:r>
                    <w:rPr>
                      <w:rFonts w:hint="eastAsia" w:cs="Times New Roman"/>
                      <w:color w:val="auto"/>
                      <w:sz w:val="18"/>
                      <w:szCs w:val="18"/>
                    </w:rPr>
                    <w:t>1</w:t>
                  </w:r>
                  <w:r>
                    <w:rPr>
                      <w:rFonts w:cs="Times New Roman"/>
                      <w:color w:val="auto"/>
                      <w:sz w:val="18"/>
                      <w:szCs w:val="18"/>
                    </w:rPr>
                    <w:t>40</w:t>
                  </w:r>
                </w:p>
              </w:tc>
              <w:tc>
                <w:tcPr>
                  <w:tcW w:w="497" w:type="pct"/>
                  <w:vAlign w:val="center"/>
                </w:tcPr>
                <w:p>
                  <w:pPr>
                    <w:keepNext w:val="0"/>
                    <w:keepLines w:val="0"/>
                    <w:widowControl/>
                    <w:suppressLineNumbers w:val="0"/>
                    <w:jc w:val="center"/>
                    <w:textAlignment w:val="center"/>
                    <w:rPr>
                      <w:rFonts w:cstheme="minorHAnsi"/>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0.0417 </w:t>
                  </w:r>
                </w:p>
              </w:tc>
              <w:tc>
                <w:tcPr>
                  <w:tcW w:w="458" w:type="pct"/>
                  <w:vMerge w:val="continue"/>
                  <w:vAlign w:val="center"/>
                </w:tcPr>
                <w:p>
                  <w:pPr>
                    <w:jc w:val="center"/>
                    <w:rPr>
                      <w:rFonts w:cstheme="minorHAnsi"/>
                      <w:color w:val="auto"/>
                      <w:sz w:val="18"/>
                      <w:szCs w:val="18"/>
                    </w:rPr>
                  </w:pPr>
                </w:p>
              </w:tc>
              <w:tc>
                <w:tcPr>
                  <w:tcW w:w="379" w:type="pct"/>
                  <w:vAlign w:val="center"/>
                </w:tcPr>
                <w:p>
                  <w:pPr>
                    <w:jc w:val="center"/>
                    <w:rPr>
                      <w:rFonts w:cstheme="minorHAnsi"/>
                      <w:color w:val="auto"/>
                      <w:sz w:val="18"/>
                      <w:szCs w:val="18"/>
                    </w:rPr>
                  </w:pPr>
                  <w:r>
                    <w:rPr>
                      <w:rFonts w:hint="eastAsia" w:cstheme="minorHAnsi"/>
                      <w:color w:val="auto"/>
                      <w:sz w:val="18"/>
                      <w:szCs w:val="18"/>
                    </w:rPr>
                    <w:t>9</w:t>
                  </w:r>
                </w:p>
              </w:tc>
              <w:tc>
                <w:tcPr>
                  <w:tcW w:w="508" w:type="pct"/>
                  <w:vMerge w:val="continue"/>
                  <w:vAlign w:val="center"/>
                </w:tcPr>
                <w:p>
                  <w:pPr>
                    <w:jc w:val="center"/>
                    <w:rPr>
                      <w:rFonts w:cstheme="minorHAnsi"/>
                      <w:color w:val="auto"/>
                      <w:sz w:val="18"/>
                      <w:szCs w:val="18"/>
                    </w:rPr>
                  </w:pPr>
                </w:p>
              </w:tc>
              <w:tc>
                <w:tcPr>
                  <w:tcW w:w="478" w:type="pct"/>
                  <w:vAlign w:val="center"/>
                </w:tcPr>
                <w:p>
                  <w:pPr>
                    <w:jc w:val="center"/>
                    <w:rPr>
                      <w:rFonts w:cstheme="minorHAnsi"/>
                      <w:color w:val="auto"/>
                      <w:sz w:val="18"/>
                      <w:szCs w:val="18"/>
                    </w:rPr>
                  </w:pPr>
                  <w:r>
                    <w:rPr>
                      <w:rFonts w:cs="Times New Roman"/>
                      <w:color w:val="auto"/>
                      <w:sz w:val="18"/>
                      <w:szCs w:val="18"/>
                    </w:rPr>
                    <w:t>127.40</w:t>
                  </w:r>
                </w:p>
              </w:tc>
              <w:tc>
                <w:tcPr>
                  <w:tcW w:w="538" w:type="pct"/>
                  <w:vAlign w:val="center"/>
                </w:tcPr>
                <w:p>
                  <w:pPr>
                    <w:keepNext w:val="0"/>
                    <w:keepLines w:val="0"/>
                    <w:widowControl/>
                    <w:suppressLineNumbers w:val="0"/>
                    <w:jc w:val="center"/>
                    <w:textAlignment w:val="center"/>
                    <w:rPr>
                      <w:rFonts w:cstheme="minorHAnsi"/>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0.0379 </w:t>
                  </w:r>
                </w:p>
              </w:tc>
              <w:tc>
                <w:tcPr>
                  <w:tcW w:w="374" w:type="pct"/>
                  <w:vMerge w:val="continue"/>
                  <w:vAlign w:val="center"/>
                </w:tcPr>
                <w:p>
                  <w:pPr>
                    <w:jc w:val="center"/>
                    <w:rPr>
                      <w:color w:val="auto"/>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Merge w:val="continue"/>
                  <w:vAlign w:val="center"/>
                </w:tcPr>
                <w:p>
                  <w:pPr>
                    <w:jc w:val="center"/>
                    <w:rPr>
                      <w:color w:val="auto"/>
                      <w:kern w:val="24"/>
                      <w:sz w:val="18"/>
                      <w:szCs w:val="18"/>
                    </w:rPr>
                  </w:pPr>
                </w:p>
              </w:tc>
              <w:tc>
                <w:tcPr>
                  <w:tcW w:w="444" w:type="pct"/>
                  <w:vAlign w:val="center"/>
                </w:tcPr>
                <w:p>
                  <w:pPr>
                    <w:jc w:val="center"/>
                    <w:rPr>
                      <w:color w:val="auto"/>
                      <w:kern w:val="24"/>
                      <w:sz w:val="18"/>
                      <w:szCs w:val="18"/>
                    </w:rPr>
                  </w:pPr>
                  <w:r>
                    <w:rPr>
                      <w:color w:val="auto"/>
                      <w:kern w:val="24"/>
                      <w:sz w:val="18"/>
                      <w:szCs w:val="18"/>
                    </w:rPr>
                    <w:t>SS</w:t>
                  </w:r>
                </w:p>
              </w:tc>
              <w:tc>
                <w:tcPr>
                  <w:tcW w:w="598" w:type="pct"/>
                  <w:vMerge w:val="continue"/>
                  <w:vAlign w:val="center"/>
                </w:tcPr>
                <w:p>
                  <w:pPr>
                    <w:jc w:val="center"/>
                    <w:rPr>
                      <w:rFonts w:cstheme="minorHAnsi"/>
                      <w:color w:val="auto"/>
                      <w:sz w:val="18"/>
                      <w:szCs w:val="18"/>
                    </w:rPr>
                  </w:pPr>
                </w:p>
              </w:tc>
              <w:tc>
                <w:tcPr>
                  <w:tcW w:w="460" w:type="pct"/>
                  <w:vAlign w:val="center"/>
                </w:tcPr>
                <w:p>
                  <w:pPr>
                    <w:jc w:val="center"/>
                    <w:rPr>
                      <w:rFonts w:cstheme="minorHAnsi"/>
                      <w:color w:val="auto"/>
                      <w:sz w:val="18"/>
                      <w:szCs w:val="18"/>
                    </w:rPr>
                  </w:pPr>
                  <w:r>
                    <w:rPr>
                      <w:rFonts w:hint="eastAsia" w:cs="Times New Roman"/>
                      <w:color w:val="auto"/>
                      <w:sz w:val="18"/>
                      <w:szCs w:val="18"/>
                    </w:rPr>
                    <w:t>2</w:t>
                  </w:r>
                  <w:r>
                    <w:rPr>
                      <w:rFonts w:cs="Times New Roman"/>
                      <w:color w:val="auto"/>
                      <w:sz w:val="18"/>
                      <w:szCs w:val="18"/>
                    </w:rPr>
                    <w:t>00</w:t>
                  </w:r>
                </w:p>
              </w:tc>
              <w:tc>
                <w:tcPr>
                  <w:tcW w:w="497" w:type="pct"/>
                  <w:vAlign w:val="center"/>
                </w:tcPr>
                <w:p>
                  <w:pPr>
                    <w:keepNext w:val="0"/>
                    <w:keepLines w:val="0"/>
                    <w:widowControl/>
                    <w:suppressLineNumbers w:val="0"/>
                    <w:jc w:val="center"/>
                    <w:textAlignment w:val="center"/>
                    <w:rPr>
                      <w:rFonts w:cstheme="minorHAnsi"/>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0.0596 </w:t>
                  </w:r>
                </w:p>
              </w:tc>
              <w:tc>
                <w:tcPr>
                  <w:tcW w:w="458" w:type="pct"/>
                  <w:vMerge w:val="continue"/>
                  <w:vAlign w:val="center"/>
                </w:tcPr>
                <w:p>
                  <w:pPr>
                    <w:jc w:val="center"/>
                    <w:rPr>
                      <w:rFonts w:cstheme="minorHAnsi"/>
                      <w:color w:val="auto"/>
                      <w:sz w:val="18"/>
                      <w:szCs w:val="18"/>
                    </w:rPr>
                  </w:pPr>
                </w:p>
              </w:tc>
              <w:tc>
                <w:tcPr>
                  <w:tcW w:w="379" w:type="pct"/>
                  <w:vAlign w:val="center"/>
                </w:tcPr>
                <w:p>
                  <w:pPr>
                    <w:jc w:val="center"/>
                    <w:rPr>
                      <w:rFonts w:cstheme="minorHAnsi"/>
                      <w:color w:val="auto"/>
                      <w:sz w:val="18"/>
                      <w:szCs w:val="18"/>
                    </w:rPr>
                  </w:pPr>
                  <w:r>
                    <w:rPr>
                      <w:rFonts w:hint="eastAsia" w:cstheme="minorHAnsi"/>
                      <w:color w:val="auto"/>
                      <w:sz w:val="18"/>
                      <w:szCs w:val="18"/>
                    </w:rPr>
                    <w:t>3</w:t>
                  </w:r>
                  <w:r>
                    <w:rPr>
                      <w:rFonts w:cstheme="minorHAnsi"/>
                      <w:color w:val="auto"/>
                      <w:sz w:val="18"/>
                      <w:szCs w:val="18"/>
                    </w:rPr>
                    <w:t>0</w:t>
                  </w:r>
                </w:p>
              </w:tc>
              <w:tc>
                <w:tcPr>
                  <w:tcW w:w="508" w:type="pct"/>
                  <w:vMerge w:val="continue"/>
                  <w:vAlign w:val="center"/>
                </w:tcPr>
                <w:p>
                  <w:pPr>
                    <w:jc w:val="center"/>
                    <w:rPr>
                      <w:rFonts w:cstheme="minorHAnsi"/>
                      <w:color w:val="auto"/>
                      <w:sz w:val="18"/>
                      <w:szCs w:val="18"/>
                    </w:rPr>
                  </w:pPr>
                </w:p>
              </w:tc>
              <w:tc>
                <w:tcPr>
                  <w:tcW w:w="478" w:type="pct"/>
                  <w:vAlign w:val="center"/>
                </w:tcPr>
                <w:p>
                  <w:pPr>
                    <w:jc w:val="center"/>
                    <w:rPr>
                      <w:rFonts w:cstheme="minorHAnsi"/>
                      <w:color w:val="auto"/>
                      <w:sz w:val="18"/>
                      <w:szCs w:val="18"/>
                    </w:rPr>
                  </w:pPr>
                  <w:r>
                    <w:rPr>
                      <w:rFonts w:cs="Times New Roman"/>
                      <w:color w:val="auto"/>
                      <w:sz w:val="18"/>
                      <w:szCs w:val="18"/>
                    </w:rPr>
                    <w:t>140.00</w:t>
                  </w:r>
                </w:p>
              </w:tc>
              <w:tc>
                <w:tcPr>
                  <w:tcW w:w="538" w:type="pct"/>
                  <w:vAlign w:val="center"/>
                </w:tcPr>
                <w:p>
                  <w:pPr>
                    <w:keepNext w:val="0"/>
                    <w:keepLines w:val="0"/>
                    <w:widowControl/>
                    <w:suppressLineNumbers w:val="0"/>
                    <w:jc w:val="center"/>
                    <w:textAlignment w:val="center"/>
                    <w:rPr>
                      <w:rFonts w:cstheme="minorHAnsi"/>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0.0417 </w:t>
                  </w:r>
                </w:p>
              </w:tc>
              <w:tc>
                <w:tcPr>
                  <w:tcW w:w="374" w:type="pct"/>
                  <w:vMerge w:val="continue"/>
                  <w:vAlign w:val="center"/>
                </w:tcPr>
                <w:p>
                  <w:pPr>
                    <w:jc w:val="center"/>
                    <w:rPr>
                      <w:color w:val="auto"/>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Merge w:val="continue"/>
                  <w:vAlign w:val="center"/>
                </w:tcPr>
                <w:p>
                  <w:pPr>
                    <w:jc w:val="center"/>
                    <w:rPr>
                      <w:color w:val="auto"/>
                      <w:kern w:val="24"/>
                      <w:sz w:val="18"/>
                      <w:szCs w:val="18"/>
                    </w:rPr>
                  </w:pPr>
                </w:p>
              </w:tc>
              <w:tc>
                <w:tcPr>
                  <w:tcW w:w="444" w:type="pct"/>
                  <w:vAlign w:val="center"/>
                </w:tcPr>
                <w:p>
                  <w:pPr>
                    <w:jc w:val="center"/>
                    <w:rPr>
                      <w:color w:val="auto"/>
                      <w:kern w:val="24"/>
                      <w:sz w:val="18"/>
                      <w:szCs w:val="18"/>
                    </w:rPr>
                  </w:pPr>
                  <w:r>
                    <w:rPr>
                      <w:rFonts w:hint="eastAsia"/>
                      <w:color w:val="auto"/>
                      <w:kern w:val="24"/>
                      <w:sz w:val="18"/>
                      <w:szCs w:val="18"/>
                    </w:rPr>
                    <w:t>氨氮</w:t>
                  </w:r>
                </w:p>
              </w:tc>
              <w:tc>
                <w:tcPr>
                  <w:tcW w:w="598" w:type="pct"/>
                  <w:vMerge w:val="continue"/>
                  <w:vAlign w:val="center"/>
                </w:tcPr>
                <w:p>
                  <w:pPr>
                    <w:jc w:val="center"/>
                    <w:rPr>
                      <w:rFonts w:cstheme="minorHAnsi"/>
                      <w:color w:val="auto"/>
                      <w:sz w:val="18"/>
                      <w:szCs w:val="18"/>
                    </w:rPr>
                  </w:pPr>
                </w:p>
              </w:tc>
              <w:tc>
                <w:tcPr>
                  <w:tcW w:w="460" w:type="pct"/>
                  <w:vAlign w:val="center"/>
                </w:tcPr>
                <w:p>
                  <w:pPr>
                    <w:jc w:val="center"/>
                    <w:rPr>
                      <w:rFonts w:cstheme="minorHAnsi"/>
                      <w:color w:val="auto"/>
                      <w:sz w:val="18"/>
                      <w:szCs w:val="18"/>
                    </w:rPr>
                  </w:pPr>
                  <w:r>
                    <w:rPr>
                      <w:rFonts w:hint="eastAsia" w:cs="Times New Roman"/>
                      <w:color w:val="auto"/>
                      <w:sz w:val="18"/>
                      <w:szCs w:val="18"/>
                    </w:rPr>
                    <w:t>3</w:t>
                  </w:r>
                  <w:r>
                    <w:rPr>
                      <w:rFonts w:cs="Times New Roman"/>
                      <w:color w:val="auto"/>
                      <w:sz w:val="18"/>
                      <w:szCs w:val="18"/>
                    </w:rPr>
                    <w:t>7.7</w:t>
                  </w:r>
                </w:p>
              </w:tc>
              <w:tc>
                <w:tcPr>
                  <w:tcW w:w="497" w:type="pct"/>
                  <w:vAlign w:val="center"/>
                </w:tcPr>
                <w:p>
                  <w:pPr>
                    <w:keepNext w:val="0"/>
                    <w:keepLines w:val="0"/>
                    <w:widowControl/>
                    <w:suppressLineNumbers w:val="0"/>
                    <w:jc w:val="center"/>
                    <w:textAlignment w:val="center"/>
                    <w:rPr>
                      <w:rFonts w:cstheme="minorHAnsi"/>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0.0112 </w:t>
                  </w:r>
                </w:p>
              </w:tc>
              <w:tc>
                <w:tcPr>
                  <w:tcW w:w="458" w:type="pct"/>
                  <w:vMerge w:val="continue"/>
                  <w:vAlign w:val="center"/>
                </w:tcPr>
                <w:p>
                  <w:pPr>
                    <w:jc w:val="center"/>
                    <w:rPr>
                      <w:rFonts w:cstheme="minorHAnsi"/>
                      <w:color w:val="auto"/>
                      <w:sz w:val="18"/>
                      <w:szCs w:val="18"/>
                    </w:rPr>
                  </w:pPr>
                </w:p>
              </w:tc>
              <w:tc>
                <w:tcPr>
                  <w:tcW w:w="379" w:type="pct"/>
                  <w:vAlign w:val="center"/>
                </w:tcPr>
                <w:p>
                  <w:pPr>
                    <w:jc w:val="center"/>
                    <w:rPr>
                      <w:rFonts w:cstheme="minorHAnsi"/>
                      <w:color w:val="auto"/>
                      <w:sz w:val="18"/>
                      <w:szCs w:val="18"/>
                    </w:rPr>
                  </w:pPr>
                  <w:r>
                    <w:rPr>
                      <w:rFonts w:hint="eastAsia" w:cstheme="minorHAnsi"/>
                      <w:color w:val="auto"/>
                      <w:sz w:val="18"/>
                      <w:szCs w:val="18"/>
                    </w:rPr>
                    <w:t>3</w:t>
                  </w:r>
                </w:p>
              </w:tc>
              <w:tc>
                <w:tcPr>
                  <w:tcW w:w="508" w:type="pct"/>
                  <w:vMerge w:val="continue"/>
                  <w:vAlign w:val="center"/>
                </w:tcPr>
                <w:p>
                  <w:pPr>
                    <w:jc w:val="center"/>
                    <w:rPr>
                      <w:rFonts w:cstheme="minorHAnsi"/>
                      <w:color w:val="auto"/>
                      <w:sz w:val="18"/>
                      <w:szCs w:val="18"/>
                    </w:rPr>
                  </w:pPr>
                </w:p>
              </w:tc>
              <w:tc>
                <w:tcPr>
                  <w:tcW w:w="478" w:type="pct"/>
                  <w:vAlign w:val="center"/>
                </w:tcPr>
                <w:p>
                  <w:pPr>
                    <w:jc w:val="center"/>
                    <w:rPr>
                      <w:rFonts w:cstheme="minorHAnsi"/>
                      <w:color w:val="auto"/>
                      <w:sz w:val="18"/>
                      <w:szCs w:val="18"/>
                    </w:rPr>
                  </w:pPr>
                  <w:r>
                    <w:rPr>
                      <w:rFonts w:cs="Times New Roman"/>
                      <w:color w:val="auto"/>
                      <w:sz w:val="18"/>
                      <w:szCs w:val="18"/>
                    </w:rPr>
                    <w:t>36.57</w:t>
                  </w:r>
                </w:p>
              </w:tc>
              <w:tc>
                <w:tcPr>
                  <w:tcW w:w="538" w:type="pct"/>
                  <w:vAlign w:val="center"/>
                </w:tcPr>
                <w:p>
                  <w:pPr>
                    <w:keepNext w:val="0"/>
                    <w:keepLines w:val="0"/>
                    <w:widowControl/>
                    <w:suppressLineNumbers w:val="0"/>
                    <w:jc w:val="center"/>
                    <w:textAlignment w:val="center"/>
                    <w:rPr>
                      <w:rFonts w:cstheme="minorHAnsi"/>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0.0109 </w:t>
                  </w:r>
                </w:p>
              </w:tc>
              <w:tc>
                <w:tcPr>
                  <w:tcW w:w="374" w:type="pct"/>
                  <w:vMerge w:val="continue"/>
                  <w:vAlign w:val="center"/>
                </w:tcPr>
                <w:p>
                  <w:pPr>
                    <w:jc w:val="center"/>
                    <w:rPr>
                      <w:color w:val="auto"/>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Merge w:val="continue"/>
                  <w:vAlign w:val="center"/>
                </w:tcPr>
                <w:p>
                  <w:pPr>
                    <w:jc w:val="center"/>
                    <w:rPr>
                      <w:color w:val="auto"/>
                      <w:kern w:val="24"/>
                      <w:sz w:val="18"/>
                      <w:szCs w:val="18"/>
                    </w:rPr>
                  </w:pPr>
                </w:p>
              </w:tc>
              <w:tc>
                <w:tcPr>
                  <w:tcW w:w="444" w:type="pct"/>
                  <w:vAlign w:val="center"/>
                </w:tcPr>
                <w:p>
                  <w:pPr>
                    <w:jc w:val="center"/>
                    <w:rPr>
                      <w:color w:val="auto"/>
                      <w:kern w:val="24"/>
                      <w:sz w:val="18"/>
                      <w:szCs w:val="18"/>
                    </w:rPr>
                  </w:pPr>
                  <w:r>
                    <w:rPr>
                      <w:color w:val="auto"/>
                      <w:kern w:val="24"/>
                      <w:sz w:val="18"/>
                      <w:szCs w:val="18"/>
                    </w:rPr>
                    <w:t>总磷</w:t>
                  </w:r>
                </w:p>
              </w:tc>
              <w:tc>
                <w:tcPr>
                  <w:tcW w:w="598" w:type="pct"/>
                  <w:vMerge w:val="continue"/>
                  <w:vAlign w:val="center"/>
                </w:tcPr>
                <w:p>
                  <w:pPr>
                    <w:jc w:val="center"/>
                    <w:rPr>
                      <w:rFonts w:cstheme="minorHAnsi"/>
                      <w:color w:val="auto"/>
                      <w:sz w:val="18"/>
                      <w:szCs w:val="18"/>
                    </w:rPr>
                  </w:pPr>
                </w:p>
              </w:tc>
              <w:tc>
                <w:tcPr>
                  <w:tcW w:w="460" w:type="pct"/>
                  <w:vAlign w:val="center"/>
                </w:tcPr>
                <w:p>
                  <w:pPr>
                    <w:jc w:val="center"/>
                    <w:rPr>
                      <w:rFonts w:cstheme="minorHAnsi"/>
                      <w:color w:val="auto"/>
                      <w:sz w:val="18"/>
                      <w:szCs w:val="18"/>
                    </w:rPr>
                  </w:pPr>
                  <w:r>
                    <w:rPr>
                      <w:rFonts w:hint="eastAsia" w:cs="Times New Roman"/>
                      <w:color w:val="auto"/>
                      <w:sz w:val="18"/>
                      <w:szCs w:val="18"/>
                    </w:rPr>
                    <w:t>4</w:t>
                  </w:r>
                  <w:r>
                    <w:rPr>
                      <w:rFonts w:cs="Times New Roman"/>
                      <w:color w:val="auto"/>
                      <w:sz w:val="18"/>
                      <w:szCs w:val="18"/>
                    </w:rPr>
                    <w:t>.28</w:t>
                  </w:r>
                </w:p>
              </w:tc>
              <w:tc>
                <w:tcPr>
                  <w:tcW w:w="497" w:type="pct"/>
                  <w:vAlign w:val="center"/>
                </w:tcPr>
                <w:p>
                  <w:pPr>
                    <w:keepNext w:val="0"/>
                    <w:keepLines w:val="0"/>
                    <w:widowControl/>
                    <w:suppressLineNumbers w:val="0"/>
                    <w:jc w:val="center"/>
                    <w:textAlignment w:val="center"/>
                    <w:rPr>
                      <w:rFonts w:cstheme="minorHAnsi"/>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0.0013 </w:t>
                  </w:r>
                </w:p>
              </w:tc>
              <w:tc>
                <w:tcPr>
                  <w:tcW w:w="458" w:type="pct"/>
                  <w:vMerge w:val="continue"/>
                  <w:vAlign w:val="center"/>
                </w:tcPr>
                <w:p>
                  <w:pPr>
                    <w:jc w:val="center"/>
                    <w:rPr>
                      <w:rFonts w:cstheme="minorHAnsi"/>
                      <w:color w:val="auto"/>
                      <w:sz w:val="18"/>
                      <w:szCs w:val="18"/>
                    </w:rPr>
                  </w:pPr>
                </w:p>
              </w:tc>
              <w:tc>
                <w:tcPr>
                  <w:tcW w:w="379" w:type="pct"/>
                  <w:vAlign w:val="center"/>
                </w:tcPr>
                <w:p>
                  <w:pPr>
                    <w:jc w:val="center"/>
                    <w:rPr>
                      <w:rFonts w:cstheme="minorHAnsi"/>
                      <w:color w:val="auto"/>
                      <w:sz w:val="18"/>
                      <w:szCs w:val="18"/>
                    </w:rPr>
                  </w:pPr>
                  <w:r>
                    <w:rPr>
                      <w:rFonts w:hint="eastAsia" w:cstheme="minorHAnsi"/>
                      <w:color w:val="auto"/>
                      <w:sz w:val="18"/>
                      <w:szCs w:val="18"/>
                    </w:rPr>
                    <w:t>2</w:t>
                  </w:r>
                </w:p>
              </w:tc>
              <w:tc>
                <w:tcPr>
                  <w:tcW w:w="508" w:type="pct"/>
                  <w:vMerge w:val="continue"/>
                  <w:vAlign w:val="center"/>
                </w:tcPr>
                <w:p>
                  <w:pPr>
                    <w:jc w:val="center"/>
                    <w:rPr>
                      <w:rFonts w:cstheme="minorHAnsi"/>
                      <w:color w:val="auto"/>
                      <w:sz w:val="18"/>
                      <w:szCs w:val="18"/>
                    </w:rPr>
                  </w:pPr>
                </w:p>
              </w:tc>
              <w:tc>
                <w:tcPr>
                  <w:tcW w:w="478" w:type="pct"/>
                  <w:vAlign w:val="center"/>
                </w:tcPr>
                <w:p>
                  <w:pPr>
                    <w:jc w:val="center"/>
                    <w:rPr>
                      <w:rFonts w:cstheme="minorHAnsi"/>
                      <w:color w:val="auto"/>
                      <w:sz w:val="18"/>
                      <w:szCs w:val="18"/>
                    </w:rPr>
                  </w:pPr>
                  <w:r>
                    <w:rPr>
                      <w:rFonts w:cs="Times New Roman"/>
                      <w:color w:val="auto"/>
                      <w:sz w:val="18"/>
                      <w:szCs w:val="18"/>
                    </w:rPr>
                    <w:t>4.19</w:t>
                  </w:r>
                </w:p>
              </w:tc>
              <w:tc>
                <w:tcPr>
                  <w:tcW w:w="538" w:type="pct"/>
                  <w:vAlign w:val="center"/>
                </w:tcPr>
                <w:p>
                  <w:pPr>
                    <w:keepNext w:val="0"/>
                    <w:keepLines w:val="0"/>
                    <w:widowControl/>
                    <w:suppressLineNumbers w:val="0"/>
                    <w:jc w:val="center"/>
                    <w:textAlignment w:val="center"/>
                    <w:rPr>
                      <w:rFonts w:cstheme="minorHAnsi"/>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0.0012 </w:t>
                  </w:r>
                </w:p>
              </w:tc>
              <w:tc>
                <w:tcPr>
                  <w:tcW w:w="374" w:type="pct"/>
                  <w:vMerge w:val="continue"/>
                  <w:vAlign w:val="center"/>
                </w:tcPr>
                <w:p>
                  <w:pPr>
                    <w:jc w:val="center"/>
                    <w:rPr>
                      <w:color w:val="auto"/>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Merge w:val="restart"/>
                  <w:vAlign w:val="center"/>
                </w:tcPr>
                <w:p>
                  <w:pPr>
                    <w:jc w:val="center"/>
                    <w:rPr>
                      <w:color w:val="auto"/>
                      <w:kern w:val="24"/>
                      <w:sz w:val="18"/>
                      <w:szCs w:val="18"/>
                    </w:rPr>
                  </w:pPr>
                  <w:r>
                    <w:rPr>
                      <w:color w:val="auto"/>
                      <w:kern w:val="24"/>
                      <w:sz w:val="18"/>
                      <w:szCs w:val="18"/>
                    </w:rPr>
                    <w:t>合计</w:t>
                  </w:r>
                </w:p>
              </w:tc>
              <w:tc>
                <w:tcPr>
                  <w:tcW w:w="444" w:type="pct"/>
                  <w:vAlign w:val="center"/>
                </w:tcPr>
                <w:p>
                  <w:pPr>
                    <w:jc w:val="center"/>
                    <w:rPr>
                      <w:color w:val="auto"/>
                      <w:kern w:val="24"/>
                      <w:sz w:val="18"/>
                      <w:szCs w:val="18"/>
                    </w:rPr>
                  </w:pPr>
                  <w:r>
                    <w:rPr>
                      <w:color w:val="auto"/>
                      <w:kern w:val="24"/>
                      <w:sz w:val="18"/>
                      <w:szCs w:val="18"/>
                    </w:rPr>
                    <w:t>COD</w:t>
                  </w:r>
                </w:p>
              </w:tc>
              <w:tc>
                <w:tcPr>
                  <w:tcW w:w="2394" w:type="pct"/>
                  <w:gridSpan w:val="5"/>
                  <w:vMerge w:val="restart"/>
                  <w:vAlign w:val="center"/>
                </w:tcPr>
                <w:p>
                  <w:pPr>
                    <w:jc w:val="center"/>
                    <w:rPr>
                      <w:rFonts w:cstheme="minorHAnsi"/>
                      <w:color w:val="auto"/>
                      <w:sz w:val="18"/>
                      <w:szCs w:val="18"/>
                    </w:rPr>
                  </w:pPr>
                  <w:r>
                    <w:rPr>
                      <w:rFonts w:hint="eastAsia" w:cstheme="minorHAnsi"/>
                      <w:color w:val="auto"/>
                      <w:sz w:val="18"/>
                      <w:szCs w:val="18"/>
                    </w:rPr>
                    <w:t>/</w:t>
                  </w:r>
                </w:p>
              </w:tc>
              <w:tc>
                <w:tcPr>
                  <w:tcW w:w="508" w:type="pct"/>
                  <w:vMerge w:val="restar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2546.24</w:t>
                  </w:r>
                </w:p>
              </w:tc>
              <w:tc>
                <w:tcPr>
                  <w:tcW w:w="478" w:type="pct"/>
                  <w:vAlign w:val="center"/>
                </w:tcPr>
                <w:p>
                  <w:pPr>
                    <w:jc w:val="center"/>
                    <w:rPr>
                      <w:rFonts w:cs="Times New Roman"/>
                      <w:color w:val="auto"/>
                      <w:sz w:val="18"/>
                      <w:szCs w:val="18"/>
                    </w:rPr>
                  </w:pPr>
                  <w:r>
                    <w:rPr>
                      <w:rFonts w:cs="Times New Roman"/>
                      <w:color w:val="auto"/>
                      <w:sz w:val="18"/>
                      <w:szCs w:val="18"/>
                    </w:rPr>
                    <w:t>130.69</w:t>
                  </w:r>
                </w:p>
              </w:tc>
              <w:tc>
                <w:tcPr>
                  <w:tcW w:w="538" w:type="pct"/>
                  <w:vAlign w:val="center"/>
                </w:tcPr>
                <w:p>
                  <w:pPr>
                    <w:keepNext w:val="0"/>
                    <w:keepLines w:val="0"/>
                    <w:widowControl/>
                    <w:suppressLineNumbers w:val="0"/>
                    <w:jc w:val="center"/>
                    <w:textAlignment w:val="center"/>
                    <w:rPr>
                      <w:rFonts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0.3328 </w:t>
                  </w:r>
                </w:p>
              </w:tc>
              <w:tc>
                <w:tcPr>
                  <w:tcW w:w="374" w:type="pct"/>
                  <w:vMerge w:val="restart"/>
                  <w:vAlign w:val="center"/>
                </w:tcPr>
                <w:p>
                  <w:pPr>
                    <w:jc w:val="center"/>
                    <w:rPr>
                      <w:color w:val="auto"/>
                      <w:kern w:val="24"/>
                      <w:sz w:val="18"/>
                      <w:szCs w:val="18"/>
                    </w:rPr>
                  </w:pPr>
                  <w:r>
                    <w:rPr>
                      <w:color w:val="auto"/>
                      <w:kern w:val="24"/>
                      <w:sz w:val="18"/>
                      <w:szCs w:val="18"/>
                    </w:rPr>
                    <w:t>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Merge w:val="continue"/>
                  <w:vAlign w:val="center"/>
                </w:tcPr>
                <w:p>
                  <w:pPr>
                    <w:jc w:val="center"/>
                    <w:rPr>
                      <w:color w:val="auto"/>
                      <w:kern w:val="24"/>
                      <w:sz w:val="18"/>
                      <w:szCs w:val="18"/>
                    </w:rPr>
                  </w:pPr>
                </w:p>
              </w:tc>
              <w:tc>
                <w:tcPr>
                  <w:tcW w:w="444" w:type="pct"/>
                  <w:vAlign w:val="center"/>
                </w:tcPr>
                <w:p>
                  <w:pPr>
                    <w:jc w:val="center"/>
                    <w:rPr>
                      <w:color w:val="auto"/>
                      <w:kern w:val="24"/>
                      <w:sz w:val="18"/>
                      <w:szCs w:val="18"/>
                    </w:rPr>
                  </w:pPr>
                  <w:r>
                    <w:rPr>
                      <w:color w:val="auto"/>
                      <w:kern w:val="24"/>
                      <w:sz w:val="18"/>
                      <w:szCs w:val="18"/>
                    </w:rPr>
                    <w:t>BOD</w:t>
                  </w:r>
                  <w:r>
                    <w:rPr>
                      <w:color w:val="auto"/>
                      <w:kern w:val="24"/>
                      <w:sz w:val="18"/>
                      <w:szCs w:val="18"/>
                      <w:vertAlign w:val="subscript"/>
                    </w:rPr>
                    <w:t>5</w:t>
                  </w:r>
                </w:p>
              </w:tc>
              <w:tc>
                <w:tcPr>
                  <w:tcW w:w="2394" w:type="pct"/>
                  <w:gridSpan w:val="5"/>
                  <w:vMerge w:val="continue"/>
                  <w:vAlign w:val="center"/>
                </w:tcPr>
                <w:p>
                  <w:pPr>
                    <w:jc w:val="center"/>
                    <w:rPr>
                      <w:rFonts w:cstheme="minorHAnsi"/>
                      <w:color w:val="auto"/>
                      <w:sz w:val="18"/>
                      <w:szCs w:val="18"/>
                    </w:rPr>
                  </w:pPr>
                </w:p>
              </w:tc>
              <w:tc>
                <w:tcPr>
                  <w:tcW w:w="508" w:type="pct"/>
                  <w:vMerge w:val="continue"/>
                  <w:vAlign w:val="center"/>
                </w:tcPr>
                <w:p>
                  <w:pPr>
                    <w:jc w:val="center"/>
                    <w:rPr>
                      <w:rFonts w:cstheme="minorHAnsi"/>
                      <w:color w:val="auto"/>
                      <w:sz w:val="18"/>
                      <w:szCs w:val="18"/>
                    </w:rPr>
                  </w:pPr>
                </w:p>
              </w:tc>
              <w:tc>
                <w:tcPr>
                  <w:tcW w:w="478" w:type="pct"/>
                  <w:vAlign w:val="center"/>
                </w:tcPr>
                <w:p>
                  <w:pPr>
                    <w:jc w:val="center"/>
                    <w:rPr>
                      <w:rFonts w:cs="Times New Roman"/>
                      <w:color w:val="auto"/>
                      <w:sz w:val="18"/>
                      <w:szCs w:val="18"/>
                    </w:rPr>
                  </w:pPr>
                  <w:r>
                    <w:rPr>
                      <w:rFonts w:cs="Times New Roman"/>
                      <w:color w:val="auto"/>
                      <w:sz w:val="18"/>
                      <w:szCs w:val="18"/>
                    </w:rPr>
                    <w:t>55.67</w:t>
                  </w:r>
                </w:p>
              </w:tc>
              <w:tc>
                <w:tcPr>
                  <w:tcW w:w="538" w:type="pct"/>
                  <w:vAlign w:val="center"/>
                </w:tcPr>
                <w:p>
                  <w:pPr>
                    <w:keepNext w:val="0"/>
                    <w:keepLines w:val="0"/>
                    <w:widowControl/>
                    <w:suppressLineNumbers w:val="0"/>
                    <w:jc w:val="center"/>
                    <w:textAlignment w:val="center"/>
                    <w:rPr>
                      <w:rFonts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0.1417 </w:t>
                  </w:r>
                </w:p>
              </w:tc>
              <w:tc>
                <w:tcPr>
                  <w:tcW w:w="374" w:type="pct"/>
                  <w:vMerge w:val="continue"/>
                  <w:vAlign w:val="center"/>
                </w:tcPr>
                <w:p>
                  <w:pPr>
                    <w:jc w:val="center"/>
                    <w:rPr>
                      <w:color w:val="auto"/>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Merge w:val="continue"/>
                  <w:vAlign w:val="center"/>
                </w:tcPr>
                <w:p>
                  <w:pPr>
                    <w:jc w:val="center"/>
                    <w:rPr>
                      <w:color w:val="auto"/>
                      <w:kern w:val="24"/>
                      <w:sz w:val="18"/>
                      <w:szCs w:val="18"/>
                    </w:rPr>
                  </w:pPr>
                </w:p>
              </w:tc>
              <w:tc>
                <w:tcPr>
                  <w:tcW w:w="444" w:type="pct"/>
                  <w:vAlign w:val="center"/>
                </w:tcPr>
                <w:p>
                  <w:pPr>
                    <w:jc w:val="center"/>
                    <w:rPr>
                      <w:color w:val="auto"/>
                      <w:kern w:val="24"/>
                      <w:sz w:val="18"/>
                      <w:szCs w:val="18"/>
                    </w:rPr>
                  </w:pPr>
                  <w:r>
                    <w:rPr>
                      <w:color w:val="auto"/>
                      <w:kern w:val="24"/>
                      <w:sz w:val="18"/>
                      <w:szCs w:val="18"/>
                    </w:rPr>
                    <w:t>SS</w:t>
                  </w:r>
                </w:p>
              </w:tc>
              <w:tc>
                <w:tcPr>
                  <w:tcW w:w="2394" w:type="pct"/>
                  <w:gridSpan w:val="5"/>
                  <w:vMerge w:val="continue"/>
                  <w:vAlign w:val="center"/>
                </w:tcPr>
                <w:p>
                  <w:pPr>
                    <w:jc w:val="center"/>
                    <w:rPr>
                      <w:rFonts w:cstheme="minorHAnsi"/>
                      <w:color w:val="auto"/>
                      <w:sz w:val="18"/>
                      <w:szCs w:val="18"/>
                    </w:rPr>
                  </w:pPr>
                </w:p>
              </w:tc>
              <w:tc>
                <w:tcPr>
                  <w:tcW w:w="508" w:type="pct"/>
                  <w:vMerge w:val="continue"/>
                  <w:vAlign w:val="center"/>
                </w:tcPr>
                <w:p>
                  <w:pPr>
                    <w:jc w:val="center"/>
                    <w:rPr>
                      <w:rFonts w:cstheme="minorHAnsi"/>
                      <w:color w:val="auto"/>
                      <w:sz w:val="18"/>
                      <w:szCs w:val="18"/>
                    </w:rPr>
                  </w:pPr>
                </w:p>
              </w:tc>
              <w:tc>
                <w:tcPr>
                  <w:tcW w:w="478" w:type="pct"/>
                  <w:vAlign w:val="center"/>
                </w:tcPr>
                <w:p>
                  <w:pPr>
                    <w:jc w:val="center"/>
                    <w:rPr>
                      <w:rFonts w:cs="Times New Roman"/>
                      <w:color w:val="auto"/>
                      <w:sz w:val="18"/>
                      <w:szCs w:val="18"/>
                    </w:rPr>
                  </w:pPr>
                  <w:r>
                    <w:rPr>
                      <w:rFonts w:cs="Times New Roman"/>
                      <w:color w:val="auto"/>
                      <w:sz w:val="18"/>
                      <w:szCs w:val="18"/>
                    </w:rPr>
                    <w:t>60.95</w:t>
                  </w:r>
                </w:p>
              </w:tc>
              <w:tc>
                <w:tcPr>
                  <w:tcW w:w="538" w:type="pct"/>
                  <w:vAlign w:val="center"/>
                </w:tcPr>
                <w:p>
                  <w:pPr>
                    <w:keepNext w:val="0"/>
                    <w:keepLines w:val="0"/>
                    <w:widowControl/>
                    <w:suppressLineNumbers w:val="0"/>
                    <w:jc w:val="center"/>
                    <w:textAlignment w:val="center"/>
                    <w:rPr>
                      <w:rFonts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0.1552 </w:t>
                  </w:r>
                </w:p>
              </w:tc>
              <w:tc>
                <w:tcPr>
                  <w:tcW w:w="374" w:type="pct"/>
                  <w:vMerge w:val="continue"/>
                  <w:vAlign w:val="center"/>
                </w:tcPr>
                <w:p>
                  <w:pPr>
                    <w:jc w:val="center"/>
                    <w:rPr>
                      <w:color w:val="auto"/>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Merge w:val="continue"/>
                  <w:vAlign w:val="center"/>
                </w:tcPr>
                <w:p>
                  <w:pPr>
                    <w:jc w:val="center"/>
                    <w:rPr>
                      <w:color w:val="auto"/>
                      <w:kern w:val="24"/>
                      <w:sz w:val="18"/>
                      <w:szCs w:val="18"/>
                    </w:rPr>
                  </w:pPr>
                </w:p>
              </w:tc>
              <w:tc>
                <w:tcPr>
                  <w:tcW w:w="444" w:type="pct"/>
                  <w:vAlign w:val="center"/>
                </w:tcPr>
                <w:p>
                  <w:pPr>
                    <w:jc w:val="center"/>
                    <w:rPr>
                      <w:color w:val="auto"/>
                      <w:kern w:val="24"/>
                      <w:sz w:val="18"/>
                      <w:szCs w:val="18"/>
                    </w:rPr>
                  </w:pPr>
                  <w:r>
                    <w:rPr>
                      <w:rFonts w:hint="eastAsia"/>
                      <w:color w:val="auto"/>
                      <w:kern w:val="24"/>
                      <w:sz w:val="18"/>
                      <w:szCs w:val="18"/>
                    </w:rPr>
                    <w:t>氨氮</w:t>
                  </w:r>
                </w:p>
              </w:tc>
              <w:tc>
                <w:tcPr>
                  <w:tcW w:w="2394" w:type="pct"/>
                  <w:gridSpan w:val="5"/>
                  <w:vMerge w:val="continue"/>
                  <w:vAlign w:val="center"/>
                </w:tcPr>
                <w:p>
                  <w:pPr>
                    <w:jc w:val="center"/>
                    <w:rPr>
                      <w:rFonts w:cstheme="minorHAnsi"/>
                      <w:color w:val="auto"/>
                      <w:sz w:val="18"/>
                      <w:szCs w:val="18"/>
                    </w:rPr>
                  </w:pPr>
                </w:p>
              </w:tc>
              <w:tc>
                <w:tcPr>
                  <w:tcW w:w="508" w:type="pct"/>
                  <w:vMerge w:val="continue"/>
                  <w:vAlign w:val="center"/>
                </w:tcPr>
                <w:p>
                  <w:pPr>
                    <w:jc w:val="center"/>
                    <w:rPr>
                      <w:rFonts w:cstheme="minorHAnsi"/>
                      <w:color w:val="auto"/>
                      <w:sz w:val="18"/>
                      <w:szCs w:val="18"/>
                    </w:rPr>
                  </w:pPr>
                </w:p>
              </w:tc>
              <w:tc>
                <w:tcPr>
                  <w:tcW w:w="478" w:type="pct"/>
                  <w:vAlign w:val="center"/>
                </w:tcPr>
                <w:p>
                  <w:pPr>
                    <w:jc w:val="center"/>
                    <w:rPr>
                      <w:rFonts w:cs="Times New Roman"/>
                      <w:color w:val="auto"/>
                      <w:sz w:val="18"/>
                      <w:szCs w:val="18"/>
                    </w:rPr>
                  </w:pPr>
                  <w:r>
                    <w:rPr>
                      <w:rFonts w:cs="Times New Roman"/>
                      <w:color w:val="auto"/>
                      <w:sz w:val="18"/>
                      <w:szCs w:val="18"/>
                    </w:rPr>
                    <w:t>16.12</w:t>
                  </w:r>
                </w:p>
              </w:tc>
              <w:tc>
                <w:tcPr>
                  <w:tcW w:w="538" w:type="pct"/>
                  <w:vAlign w:val="center"/>
                </w:tcPr>
                <w:p>
                  <w:pPr>
                    <w:keepNext w:val="0"/>
                    <w:keepLines w:val="0"/>
                    <w:widowControl/>
                    <w:suppressLineNumbers w:val="0"/>
                    <w:jc w:val="center"/>
                    <w:textAlignment w:val="center"/>
                    <w:rPr>
                      <w:rFonts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0.0410 </w:t>
                  </w:r>
                </w:p>
              </w:tc>
              <w:tc>
                <w:tcPr>
                  <w:tcW w:w="374" w:type="pct"/>
                  <w:vMerge w:val="continue"/>
                  <w:vAlign w:val="center"/>
                </w:tcPr>
                <w:p>
                  <w:pPr>
                    <w:jc w:val="center"/>
                    <w:rPr>
                      <w:color w:val="auto"/>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Merge w:val="continue"/>
                  <w:vAlign w:val="center"/>
                </w:tcPr>
                <w:p>
                  <w:pPr>
                    <w:jc w:val="center"/>
                    <w:rPr>
                      <w:color w:val="auto"/>
                      <w:kern w:val="24"/>
                      <w:sz w:val="18"/>
                      <w:szCs w:val="18"/>
                    </w:rPr>
                  </w:pPr>
                </w:p>
              </w:tc>
              <w:tc>
                <w:tcPr>
                  <w:tcW w:w="444" w:type="pct"/>
                  <w:vAlign w:val="center"/>
                </w:tcPr>
                <w:p>
                  <w:pPr>
                    <w:jc w:val="center"/>
                    <w:rPr>
                      <w:color w:val="auto"/>
                      <w:kern w:val="24"/>
                      <w:sz w:val="18"/>
                      <w:szCs w:val="18"/>
                    </w:rPr>
                  </w:pPr>
                  <w:r>
                    <w:rPr>
                      <w:color w:val="auto"/>
                      <w:kern w:val="24"/>
                      <w:sz w:val="18"/>
                      <w:szCs w:val="18"/>
                    </w:rPr>
                    <w:t>总磷</w:t>
                  </w:r>
                </w:p>
              </w:tc>
              <w:tc>
                <w:tcPr>
                  <w:tcW w:w="2394" w:type="pct"/>
                  <w:gridSpan w:val="5"/>
                  <w:vMerge w:val="continue"/>
                  <w:vAlign w:val="center"/>
                </w:tcPr>
                <w:p>
                  <w:pPr>
                    <w:jc w:val="center"/>
                    <w:rPr>
                      <w:rFonts w:cstheme="minorHAnsi"/>
                      <w:color w:val="auto"/>
                      <w:sz w:val="18"/>
                      <w:szCs w:val="18"/>
                    </w:rPr>
                  </w:pPr>
                </w:p>
              </w:tc>
              <w:tc>
                <w:tcPr>
                  <w:tcW w:w="508" w:type="pct"/>
                  <w:vMerge w:val="continue"/>
                  <w:vAlign w:val="center"/>
                </w:tcPr>
                <w:p>
                  <w:pPr>
                    <w:jc w:val="center"/>
                    <w:rPr>
                      <w:rFonts w:cstheme="minorHAnsi"/>
                      <w:color w:val="auto"/>
                      <w:sz w:val="18"/>
                      <w:szCs w:val="18"/>
                    </w:rPr>
                  </w:pPr>
                </w:p>
              </w:tc>
              <w:tc>
                <w:tcPr>
                  <w:tcW w:w="478" w:type="pct"/>
                  <w:vAlign w:val="center"/>
                </w:tcPr>
                <w:p>
                  <w:pPr>
                    <w:jc w:val="center"/>
                    <w:rPr>
                      <w:rFonts w:cs="Times New Roman"/>
                      <w:color w:val="auto"/>
                      <w:sz w:val="18"/>
                      <w:szCs w:val="18"/>
                    </w:rPr>
                  </w:pPr>
                  <w:r>
                    <w:rPr>
                      <w:rFonts w:cs="Times New Roman"/>
                      <w:color w:val="auto"/>
                      <w:sz w:val="18"/>
                      <w:szCs w:val="18"/>
                    </w:rPr>
                    <w:t>2.05</w:t>
                  </w:r>
                </w:p>
              </w:tc>
              <w:tc>
                <w:tcPr>
                  <w:tcW w:w="538" w:type="pct"/>
                  <w:vAlign w:val="center"/>
                </w:tcPr>
                <w:p>
                  <w:pPr>
                    <w:keepNext w:val="0"/>
                    <w:keepLines w:val="0"/>
                    <w:widowControl/>
                    <w:suppressLineNumbers w:val="0"/>
                    <w:jc w:val="center"/>
                    <w:textAlignment w:val="center"/>
                    <w:rPr>
                      <w:rFonts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0.0052 </w:t>
                  </w:r>
                </w:p>
              </w:tc>
              <w:tc>
                <w:tcPr>
                  <w:tcW w:w="374" w:type="pct"/>
                  <w:vMerge w:val="continue"/>
                  <w:vAlign w:val="center"/>
                </w:tcPr>
                <w:p>
                  <w:pPr>
                    <w:jc w:val="center"/>
                    <w:rPr>
                      <w:color w:val="auto"/>
                      <w:kern w:val="24"/>
                      <w:sz w:val="18"/>
                      <w:szCs w:val="18"/>
                    </w:rPr>
                  </w:pPr>
                </w:p>
              </w:tc>
            </w:tr>
          </w:tbl>
          <w:p>
            <w:pPr>
              <w:spacing w:line="360" w:lineRule="auto"/>
              <w:ind w:firstLine="482" w:firstLineChars="200"/>
              <w:rPr>
                <w:b/>
                <w:color w:val="auto"/>
                <w:sz w:val="24"/>
                <w:szCs w:val="24"/>
              </w:rPr>
            </w:pPr>
            <w:r>
              <w:rPr>
                <w:rFonts w:hint="eastAsia"/>
                <w:b/>
                <w:color w:val="auto"/>
                <w:sz w:val="24"/>
                <w:szCs w:val="24"/>
              </w:rPr>
              <w:t>（</w:t>
            </w:r>
            <w:r>
              <w:rPr>
                <w:b/>
                <w:color w:val="auto"/>
                <w:sz w:val="24"/>
                <w:szCs w:val="24"/>
              </w:rPr>
              <w:t>4</w:t>
            </w:r>
            <w:r>
              <w:rPr>
                <w:rFonts w:hint="eastAsia"/>
                <w:b/>
                <w:color w:val="auto"/>
                <w:sz w:val="24"/>
                <w:szCs w:val="24"/>
              </w:rPr>
              <w:t>）废水治理设施、排放口基本信息</w:t>
            </w:r>
          </w:p>
          <w:p>
            <w:pPr>
              <w:spacing w:line="360" w:lineRule="auto"/>
              <w:ind w:firstLine="480" w:firstLineChars="200"/>
              <w:rPr>
                <w:sz w:val="24"/>
                <w:szCs w:val="24"/>
              </w:rPr>
            </w:pPr>
            <w:r>
              <w:rPr>
                <w:sz w:val="24"/>
                <w:szCs w:val="24"/>
              </w:rPr>
              <w:t>项目</w:t>
            </w:r>
            <w:r>
              <w:rPr>
                <w:rFonts w:hint="eastAsia"/>
                <w:sz w:val="24"/>
                <w:szCs w:val="24"/>
              </w:rPr>
              <w:t>废水治理设施、排放口基本信息见下表：</w:t>
            </w:r>
          </w:p>
          <w:p>
            <w:pPr>
              <w:spacing w:line="360" w:lineRule="auto"/>
              <w:jc w:val="center"/>
              <w:rPr>
                <w:rFonts w:eastAsia="黑体" w:cs="Times New Roman"/>
                <w:szCs w:val="21"/>
              </w:rPr>
            </w:pPr>
            <w:r>
              <w:rPr>
                <w:rFonts w:eastAsia="黑体" w:cs="Times New Roman"/>
                <w:szCs w:val="21"/>
              </w:rPr>
              <w:t>表4</w:t>
            </w:r>
            <w:r>
              <w:rPr>
                <w:rFonts w:hint="eastAsia" w:eastAsia="黑体" w:cs="Times New Roman"/>
                <w:szCs w:val="21"/>
              </w:rPr>
              <w:t>-</w:t>
            </w:r>
            <w:r>
              <w:rPr>
                <w:rFonts w:eastAsia="黑体" w:cs="Times New Roman"/>
                <w:szCs w:val="21"/>
              </w:rPr>
              <w:t xml:space="preserve">5  </w:t>
            </w:r>
            <w:r>
              <w:rPr>
                <w:rFonts w:hint="eastAsia" w:eastAsia="黑体" w:cs="Times New Roman"/>
                <w:szCs w:val="21"/>
              </w:rPr>
              <w:t>废水治理设施信息表</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277"/>
              <w:gridCol w:w="1134"/>
              <w:gridCol w:w="1133"/>
              <w:gridCol w:w="1058"/>
              <w:gridCol w:w="1169"/>
              <w:gridCol w:w="730"/>
              <w:gridCol w:w="90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restart"/>
                  <w:vAlign w:val="center"/>
                </w:tcPr>
                <w:p>
                  <w:pPr>
                    <w:jc w:val="center"/>
                    <w:rPr>
                      <w:color w:val="auto"/>
                      <w:szCs w:val="21"/>
                    </w:rPr>
                  </w:pPr>
                  <w:r>
                    <w:rPr>
                      <w:color w:val="auto"/>
                      <w:szCs w:val="21"/>
                    </w:rPr>
                    <w:t>废水类别</w:t>
                  </w:r>
                </w:p>
              </w:tc>
              <w:tc>
                <w:tcPr>
                  <w:tcW w:w="736" w:type="pct"/>
                  <w:vMerge w:val="restart"/>
                  <w:vAlign w:val="center"/>
                </w:tcPr>
                <w:p>
                  <w:pPr>
                    <w:jc w:val="center"/>
                    <w:rPr>
                      <w:color w:val="auto"/>
                      <w:szCs w:val="21"/>
                    </w:rPr>
                  </w:pPr>
                  <w:r>
                    <w:rPr>
                      <w:color w:val="auto"/>
                      <w:szCs w:val="21"/>
                    </w:rPr>
                    <w:t>污染物种类</w:t>
                  </w:r>
                </w:p>
              </w:tc>
              <w:tc>
                <w:tcPr>
                  <w:tcW w:w="2591" w:type="pct"/>
                  <w:gridSpan w:val="4"/>
                  <w:vAlign w:val="center"/>
                </w:tcPr>
                <w:p>
                  <w:pPr>
                    <w:jc w:val="center"/>
                    <w:rPr>
                      <w:color w:val="auto"/>
                      <w:szCs w:val="21"/>
                    </w:rPr>
                  </w:pPr>
                  <w:r>
                    <w:rPr>
                      <w:color w:val="auto"/>
                      <w:szCs w:val="21"/>
                    </w:rPr>
                    <w:t>污染治理设施</w:t>
                  </w:r>
                </w:p>
              </w:tc>
              <w:tc>
                <w:tcPr>
                  <w:tcW w:w="421" w:type="pct"/>
                  <w:vMerge w:val="restart"/>
                  <w:vAlign w:val="center"/>
                </w:tcPr>
                <w:p>
                  <w:pPr>
                    <w:jc w:val="center"/>
                    <w:rPr>
                      <w:color w:val="auto"/>
                      <w:szCs w:val="21"/>
                    </w:rPr>
                  </w:pPr>
                  <w:r>
                    <w:rPr>
                      <w:color w:val="auto"/>
                      <w:szCs w:val="21"/>
                    </w:rPr>
                    <w:t>排放</w:t>
                  </w:r>
                </w:p>
                <w:p>
                  <w:pPr>
                    <w:jc w:val="center"/>
                    <w:rPr>
                      <w:color w:val="auto"/>
                      <w:szCs w:val="21"/>
                    </w:rPr>
                  </w:pPr>
                  <w:r>
                    <w:rPr>
                      <w:color w:val="auto"/>
                      <w:szCs w:val="21"/>
                    </w:rPr>
                    <w:t>方式</w:t>
                  </w:r>
                </w:p>
              </w:tc>
              <w:tc>
                <w:tcPr>
                  <w:tcW w:w="519" w:type="pct"/>
                  <w:vMerge w:val="restart"/>
                  <w:vAlign w:val="center"/>
                </w:tcPr>
                <w:p>
                  <w:pPr>
                    <w:jc w:val="center"/>
                    <w:rPr>
                      <w:color w:val="auto"/>
                      <w:szCs w:val="21"/>
                    </w:rPr>
                  </w:pPr>
                  <w:r>
                    <w:rPr>
                      <w:color w:val="auto"/>
                      <w:szCs w:val="21"/>
                    </w:rPr>
                    <w:t>排放</w:t>
                  </w:r>
                </w:p>
                <w:p>
                  <w:pPr>
                    <w:jc w:val="center"/>
                    <w:rPr>
                      <w:color w:val="auto"/>
                      <w:szCs w:val="21"/>
                    </w:rPr>
                  </w:pPr>
                  <w:r>
                    <w:rPr>
                      <w:color w:val="auto"/>
                      <w:szCs w:val="21"/>
                    </w:rPr>
                    <w:t>去向</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continue"/>
                  <w:vAlign w:val="center"/>
                </w:tcPr>
                <w:p>
                  <w:pPr>
                    <w:jc w:val="center"/>
                    <w:rPr>
                      <w:color w:val="auto"/>
                      <w:szCs w:val="21"/>
                    </w:rPr>
                  </w:pPr>
                </w:p>
              </w:tc>
              <w:tc>
                <w:tcPr>
                  <w:tcW w:w="736" w:type="pct"/>
                  <w:vMerge w:val="continue"/>
                  <w:vAlign w:val="center"/>
                </w:tcPr>
                <w:p>
                  <w:pPr>
                    <w:jc w:val="center"/>
                    <w:rPr>
                      <w:color w:val="auto"/>
                      <w:szCs w:val="21"/>
                    </w:rPr>
                  </w:pPr>
                </w:p>
              </w:tc>
              <w:tc>
                <w:tcPr>
                  <w:tcW w:w="654" w:type="pct"/>
                  <w:vAlign w:val="center"/>
                </w:tcPr>
                <w:p>
                  <w:pPr>
                    <w:jc w:val="center"/>
                    <w:rPr>
                      <w:color w:val="auto"/>
                      <w:szCs w:val="21"/>
                    </w:rPr>
                  </w:pPr>
                  <w:r>
                    <w:rPr>
                      <w:color w:val="auto"/>
                      <w:szCs w:val="21"/>
                    </w:rPr>
                    <w:t>名称</w:t>
                  </w:r>
                </w:p>
              </w:tc>
              <w:tc>
                <w:tcPr>
                  <w:tcW w:w="653" w:type="pct"/>
                  <w:vAlign w:val="center"/>
                </w:tcPr>
                <w:p>
                  <w:pPr>
                    <w:jc w:val="center"/>
                    <w:rPr>
                      <w:color w:val="auto"/>
                      <w:szCs w:val="21"/>
                    </w:rPr>
                  </w:pPr>
                  <w:r>
                    <w:rPr>
                      <w:color w:val="auto"/>
                      <w:szCs w:val="21"/>
                    </w:rPr>
                    <w:t>处理能力</w:t>
                  </w:r>
                  <w:r>
                    <w:rPr>
                      <w:rFonts w:hint="eastAsia"/>
                      <w:color w:val="auto"/>
                      <w:szCs w:val="21"/>
                    </w:rPr>
                    <w:t>（</w:t>
                  </w:r>
                  <w:r>
                    <w:rPr>
                      <w:color w:val="auto"/>
                      <w:szCs w:val="21"/>
                    </w:rPr>
                    <w:t>t/d</w:t>
                  </w:r>
                  <w:r>
                    <w:rPr>
                      <w:rFonts w:hint="eastAsia"/>
                      <w:color w:val="auto"/>
                      <w:szCs w:val="21"/>
                    </w:rPr>
                    <w:t>）</w:t>
                  </w:r>
                </w:p>
              </w:tc>
              <w:tc>
                <w:tcPr>
                  <w:tcW w:w="610" w:type="pct"/>
                  <w:vAlign w:val="center"/>
                </w:tcPr>
                <w:p>
                  <w:pPr>
                    <w:jc w:val="center"/>
                    <w:rPr>
                      <w:color w:val="auto"/>
                      <w:szCs w:val="21"/>
                    </w:rPr>
                  </w:pPr>
                  <w:r>
                    <w:rPr>
                      <w:color w:val="auto"/>
                      <w:szCs w:val="21"/>
                    </w:rPr>
                    <w:t>治理工艺</w:t>
                  </w:r>
                </w:p>
              </w:tc>
              <w:tc>
                <w:tcPr>
                  <w:tcW w:w="674" w:type="pct"/>
                  <w:vAlign w:val="center"/>
                </w:tcPr>
                <w:p>
                  <w:pPr>
                    <w:jc w:val="center"/>
                    <w:rPr>
                      <w:color w:val="auto"/>
                      <w:szCs w:val="21"/>
                    </w:rPr>
                  </w:pPr>
                  <w:r>
                    <w:rPr>
                      <w:color w:val="auto"/>
                      <w:szCs w:val="21"/>
                    </w:rPr>
                    <w:t>是否为可行性技术</w:t>
                  </w:r>
                </w:p>
              </w:tc>
              <w:tc>
                <w:tcPr>
                  <w:tcW w:w="421" w:type="pct"/>
                  <w:vMerge w:val="continue"/>
                  <w:vAlign w:val="center"/>
                </w:tcPr>
                <w:p>
                  <w:pPr>
                    <w:jc w:val="center"/>
                    <w:rPr>
                      <w:color w:val="auto"/>
                      <w:szCs w:val="21"/>
                    </w:rPr>
                  </w:pPr>
                </w:p>
              </w:tc>
              <w:tc>
                <w:tcPr>
                  <w:tcW w:w="519" w:type="pct"/>
                  <w:vMerge w:val="continue"/>
                  <w:vAlign w:val="center"/>
                </w:tcPr>
                <w:p>
                  <w:pPr>
                    <w:jc w:val="center"/>
                    <w:rPr>
                      <w:color w:val="auto"/>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Align w:val="center"/>
                </w:tcPr>
                <w:p>
                  <w:pPr>
                    <w:jc w:val="center"/>
                    <w:rPr>
                      <w:color w:val="auto"/>
                      <w:szCs w:val="21"/>
                    </w:rPr>
                  </w:pPr>
                  <w:r>
                    <w:rPr>
                      <w:rFonts w:hint="eastAsia"/>
                      <w:color w:val="auto"/>
                      <w:szCs w:val="21"/>
                    </w:rPr>
                    <w:t>混凝沉淀过滤一体化设备、活性炭过滤器</w:t>
                  </w:r>
                </w:p>
              </w:tc>
              <w:tc>
                <w:tcPr>
                  <w:tcW w:w="736" w:type="pct"/>
                  <w:vAlign w:val="center"/>
                </w:tcPr>
                <w:p>
                  <w:pPr>
                    <w:jc w:val="center"/>
                    <w:rPr>
                      <w:color w:val="auto"/>
                      <w:szCs w:val="21"/>
                    </w:rPr>
                  </w:pPr>
                  <w:r>
                    <w:rPr>
                      <w:rFonts w:hint="eastAsia"/>
                      <w:color w:val="auto"/>
                      <w:szCs w:val="21"/>
                    </w:rPr>
                    <w:t>生产废水</w:t>
                  </w:r>
                </w:p>
              </w:tc>
              <w:tc>
                <w:tcPr>
                  <w:tcW w:w="654" w:type="pct"/>
                  <w:vAlign w:val="center"/>
                </w:tcPr>
                <w:p>
                  <w:pPr>
                    <w:jc w:val="center"/>
                    <w:rPr>
                      <w:color w:val="auto"/>
                      <w:szCs w:val="21"/>
                    </w:rPr>
                  </w:pPr>
                  <w:r>
                    <w:rPr>
                      <w:color w:val="auto"/>
                      <w:szCs w:val="21"/>
                    </w:rPr>
                    <w:t>废水池+脱水机房</w:t>
                  </w:r>
                </w:p>
              </w:tc>
              <w:tc>
                <w:tcPr>
                  <w:tcW w:w="653" w:type="pct"/>
                  <w:vAlign w:val="center"/>
                </w:tcPr>
                <w:p>
                  <w:pPr>
                    <w:jc w:val="center"/>
                    <w:rPr>
                      <w:rFonts w:hint="default" w:eastAsia="宋体"/>
                      <w:color w:val="auto"/>
                      <w:szCs w:val="21"/>
                      <w:lang w:val="en-US" w:eastAsia="zh-CN"/>
                    </w:rPr>
                  </w:pPr>
                  <w:r>
                    <w:rPr>
                      <w:rFonts w:hint="eastAsia"/>
                      <w:color w:val="auto"/>
                      <w:szCs w:val="21"/>
                      <w:lang w:val="en-US" w:eastAsia="zh-CN"/>
                    </w:rPr>
                    <w:t>200</w:t>
                  </w:r>
                </w:p>
              </w:tc>
              <w:tc>
                <w:tcPr>
                  <w:tcW w:w="610" w:type="pct"/>
                  <w:vAlign w:val="center"/>
                </w:tcPr>
                <w:p>
                  <w:pPr>
                    <w:jc w:val="center"/>
                    <w:rPr>
                      <w:color w:val="auto"/>
                      <w:szCs w:val="21"/>
                    </w:rPr>
                  </w:pPr>
                  <w:r>
                    <w:rPr>
                      <w:rFonts w:hint="eastAsia"/>
                      <w:color w:val="auto"/>
                      <w:szCs w:val="21"/>
                    </w:rPr>
                    <w:t>沉淀+分离</w:t>
                  </w:r>
                </w:p>
              </w:tc>
              <w:tc>
                <w:tcPr>
                  <w:tcW w:w="674" w:type="pct"/>
                  <w:vAlign w:val="center"/>
                </w:tcPr>
                <w:p>
                  <w:pPr>
                    <w:jc w:val="center"/>
                    <w:rPr>
                      <w:color w:val="auto"/>
                      <w:szCs w:val="21"/>
                    </w:rPr>
                  </w:pPr>
                  <w:r>
                    <w:rPr>
                      <w:color w:val="auto"/>
                      <w:szCs w:val="21"/>
                    </w:rPr>
                    <w:t>是</w:t>
                  </w:r>
                </w:p>
              </w:tc>
              <w:tc>
                <w:tcPr>
                  <w:tcW w:w="421" w:type="pct"/>
                  <w:vAlign w:val="center"/>
                </w:tcPr>
                <w:p>
                  <w:pPr>
                    <w:jc w:val="center"/>
                    <w:rPr>
                      <w:color w:val="auto"/>
                      <w:szCs w:val="21"/>
                    </w:rPr>
                  </w:pPr>
                  <w:r>
                    <w:rPr>
                      <w:rFonts w:hint="eastAsia"/>
                      <w:color w:val="auto"/>
                      <w:szCs w:val="21"/>
                    </w:rPr>
                    <w:t>间接排放</w:t>
                  </w:r>
                </w:p>
              </w:tc>
              <w:tc>
                <w:tcPr>
                  <w:tcW w:w="519" w:type="pct"/>
                  <w:vAlign w:val="center"/>
                </w:tcPr>
                <w:p>
                  <w:pPr>
                    <w:jc w:val="center"/>
                    <w:rPr>
                      <w:color w:val="auto"/>
                      <w:szCs w:val="21"/>
                    </w:rPr>
                  </w:pPr>
                  <w:r>
                    <w:rPr>
                      <w:rFonts w:hint="eastAsia"/>
                      <w:color w:val="auto"/>
                      <w:szCs w:val="21"/>
                    </w:rPr>
                    <w:t>进入城市污水处理厂</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Align w:val="center"/>
                </w:tcPr>
                <w:p>
                  <w:pPr>
                    <w:jc w:val="center"/>
                    <w:rPr>
                      <w:color w:val="auto"/>
                      <w:szCs w:val="21"/>
                    </w:rPr>
                  </w:pPr>
                  <w:r>
                    <w:rPr>
                      <w:rFonts w:hint="eastAsia"/>
                      <w:color w:val="auto"/>
                      <w:szCs w:val="21"/>
                    </w:rPr>
                    <w:t>值班人员</w:t>
                  </w:r>
                </w:p>
              </w:tc>
              <w:tc>
                <w:tcPr>
                  <w:tcW w:w="736" w:type="pct"/>
                  <w:vAlign w:val="center"/>
                </w:tcPr>
                <w:p>
                  <w:pPr>
                    <w:jc w:val="center"/>
                    <w:rPr>
                      <w:color w:val="auto"/>
                      <w:szCs w:val="21"/>
                    </w:rPr>
                  </w:pPr>
                  <w:r>
                    <w:rPr>
                      <w:rFonts w:hint="eastAsia"/>
                      <w:color w:val="auto"/>
                      <w:szCs w:val="21"/>
                    </w:rPr>
                    <w:t>生活污水</w:t>
                  </w:r>
                </w:p>
              </w:tc>
              <w:tc>
                <w:tcPr>
                  <w:tcW w:w="654" w:type="pct"/>
                  <w:vAlign w:val="center"/>
                </w:tcPr>
                <w:p>
                  <w:pPr>
                    <w:jc w:val="center"/>
                    <w:rPr>
                      <w:color w:val="auto"/>
                      <w:szCs w:val="21"/>
                    </w:rPr>
                  </w:pPr>
                  <w:r>
                    <w:rPr>
                      <w:rFonts w:hint="eastAsia"/>
                      <w:color w:val="auto"/>
                      <w:szCs w:val="21"/>
                    </w:rPr>
                    <w:t>预处理池</w:t>
                  </w:r>
                </w:p>
              </w:tc>
              <w:tc>
                <w:tcPr>
                  <w:tcW w:w="653" w:type="pct"/>
                  <w:vAlign w:val="center"/>
                </w:tcPr>
                <w:p>
                  <w:pPr>
                    <w:jc w:val="center"/>
                    <w:rPr>
                      <w:rFonts w:hint="eastAsia" w:eastAsia="宋体"/>
                      <w:color w:val="auto"/>
                      <w:szCs w:val="21"/>
                      <w:lang w:eastAsia="zh-CN"/>
                    </w:rPr>
                  </w:pPr>
                  <w:r>
                    <w:rPr>
                      <w:rFonts w:hint="eastAsia"/>
                      <w:color w:val="auto"/>
                      <w:szCs w:val="21"/>
                      <w:lang w:val="en-US" w:eastAsia="zh-CN"/>
                    </w:rPr>
                    <w:t>4</w:t>
                  </w:r>
                </w:p>
              </w:tc>
              <w:tc>
                <w:tcPr>
                  <w:tcW w:w="610" w:type="pct"/>
                  <w:vAlign w:val="center"/>
                </w:tcPr>
                <w:p>
                  <w:pPr>
                    <w:jc w:val="center"/>
                    <w:rPr>
                      <w:color w:val="auto"/>
                      <w:szCs w:val="21"/>
                    </w:rPr>
                  </w:pPr>
                  <w:r>
                    <w:rPr>
                      <w:color w:val="auto"/>
                      <w:szCs w:val="21"/>
                    </w:rPr>
                    <w:t>预处理</w:t>
                  </w:r>
                </w:p>
              </w:tc>
              <w:tc>
                <w:tcPr>
                  <w:tcW w:w="674" w:type="pct"/>
                  <w:vAlign w:val="center"/>
                </w:tcPr>
                <w:p>
                  <w:pPr>
                    <w:jc w:val="center"/>
                    <w:rPr>
                      <w:color w:val="auto"/>
                      <w:szCs w:val="21"/>
                    </w:rPr>
                  </w:pPr>
                  <w:r>
                    <w:rPr>
                      <w:color w:val="auto"/>
                      <w:szCs w:val="21"/>
                    </w:rPr>
                    <w:t>是</w:t>
                  </w:r>
                </w:p>
              </w:tc>
              <w:tc>
                <w:tcPr>
                  <w:tcW w:w="421" w:type="pct"/>
                  <w:vAlign w:val="center"/>
                </w:tcPr>
                <w:p>
                  <w:pPr>
                    <w:jc w:val="center"/>
                    <w:rPr>
                      <w:color w:val="auto"/>
                      <w:szCs w:val="21"/>
                    </w:rPr>
                  </w:pPr>
                  <w:r>
                    <w:rPr>
                      <w:rFonts w:hint="eastAsia"/>
                      <w:color w:val="auto"/>
                      <w:szCs w:val="21"/>
                    </w:rPr>
                    <w:t>间接排放</w:t>
                  </w:r>
                </w:p>
              </w:tc>
              <w:tc>
                <w:tcPr>
                  <w:tcW w:w="519" w:type="pct"/>
                  <w:vAlign w:val="center"/>
                </w:tcPr>
                <w:p>
                  <w:pPr>
                    <w:jc w:val="center"/>
                    <w:rPr>
                      <w:color w:val="auto"/>
                      <w:szCs w:val="21"/>
                    </w:rPr>
                  </w:pPr>
                  <w:r>
                    <w:rPr>
                      <w:rFonts w:hint="eastAsia"/>
                      <w:color w:val="auto"/>
                      <w:szCs w:val="21"/>
                    </w:rPr>
                    <w:t>进入城市污水处理厂</w:t>
                  </w:r>
                </w:p>
              </w:tc>
            </w:tr>
          </w:tbl>
          <w:p>
            <w:pPr>
              <w:spacing w:line="360" w:lineRule="auto"/>
              <w:jc w:val="center"/>
              <w:rPr>
                <w:rFonts w:eastAsia="黑体" w:cs="Times New Roman"/>
                <w:color w:val="auto"/>
                <w:szCs w:val="21"/>
              </w:rPr>
            </w:pPr>
            <w:r>
              <w:rPr>
                <w:rFonts w:eastAsia="黑体" w:cs="Times New Roman"/>
                <w:color w:val="auto"/>
                <w:szCs w:val="21"/>
              </w:rPr>
              <w:t>表4</w:t>
            </w:r>
            <w:r>
              <w:rPr>
                <w:rFonts w:hint="eastAsia" w:eastAsia="黑体" w:cs="Times New Roman"/>
                <w:color w:val="auto"/>
                <w:szCs w:val="21"/>
              </w:rPr>
              <w:t>-</w:t>
            </w:r>
            <w:r>
              <w:rPr>
                <w:rFonts w:eastAsia="黑体" w:cs="Times New Roman"/>
                <w:color w:val="auto"/>
                <w:szCs w:val="21"/>
              </w:rPr>
              <w:t xml:space="preserve">6  </w:t>
            </w:r>
            <w:r>
              <w:rPr>
                <w:rFonts w:hint="eastAsia" w:eastAsia="黑体" w:cs="Times New Roman"/>
                <w:color w:val="auto"/>
                <w:szCs w:val="21"/>
              </w:rPr>
              <w:t>废水排放口基本信息表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984"/>
              <w:gridCol w:w="1536"/>
              <w:gridCol w:w="1326"/>
              <w:gridCol w:w="1249"/>
              <w:gridCol w:w="1678"/>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06" w:type="pct"/>
                  <w:vMerge w:val="restart"/>
                  <w:vAlign w:val="center"/>
                </w:tcPr>
                <w:p>
                  <w:pPr>
                    <w:jc w:val="center"/>
                    <w:rPr>
                      <w:rFonts w:cs="Times New Roman"/>
                      <w:color w:val="auto"/>
                      <w:spacing w:val="4"/>
                      <w:szCs w:val="21"/>
                    </w:rPr>
                  </w:pPr>
                  <w:r>
                    <w:rPr>
                      <w:rFonts w:hint="eastAsia" w:cs="Times New Roman"/>
                      <w:color w:val="auto"/>
                      <w:spacing w:val="4"/>
                      <w:szCs w:val="21"/>
                    </w:rPr>
                    <w:t>排放口编号</w:t>
                  </w:r>
                </w:p>
              </w:tc>
              <w:tc>
                <w:tcPr>
                  <w:tcW w:w="674" w:type="pct"/>
                  <w:vMerge w:val="restart"/>
                  <w:vAlign w:val="center"/>
                </w:tcPr>
                <w:p>
                  <w:pPr>
                    <w:jc w:val="center"/>
                    <w:rPr>
                      <w:rFonts w:cs="Times New Roman"/>
                      <w:color w:val="auto"/>
                      <w:spacing w:val="4"/>
                      <w:szCs w:val="21"/>
                    </w:rPr>
                  </w:pPr>
                  <w:r>
                    <w:rPr>
                      <w:rFonts w:hint="eastAsia" w:cs="Times New Roman"/>
                      <w:color w:val="auto"/>
                      <w:spacing w:val="4"/>
                      <w:szCs w:val="21"/>
                    </w:rPr>
                    <w:t>排放口</w:t>
                  </w:r>
                </w:p>
                <w:p>
                  <w:pPr>
                    <w:jc w:val="center"/>
                    <w:rPr>
                      <w:rFonts w:cs="Times New Roman"/>
                      <w:color w:val="auto"/>
                      <w:spacing w:val="4"/>
                      <w:szCs w:val="21"/>
                    </w:rPr>
                  </w:pPr>
                  <w:r>
                    <w:rPr>
                      <w:rFonts w:hint="eastAsia" w:cs="Times New Roman"/>
                      <w:color w:val="auto"/>
                      <w:spacing w:val="4"/>
                      <w:szCs w:val="21"/>
                    </w:rPr>
                    <w:t>名称</w:t>
                  </w:r>
                </w:p>
              </w:tc>
              <w:tc>
                <w:tcPr>
                  <w:tcW w:w="1169" w:type="pct"/>
                  <w:gridSpan w:val="2"/>
                  <w:vAlign w:val="center"/>
                </w:tcPr>
                <w:p>
                  <w:pPr>
                    <w:jc w:val="center"/>
                    <w:rPr>
                      <w:rFonts w:cs="Times New Roman"/>
                      <w:color w:val="auto"/>
                      <w:spacing w:val="4"/>
                      <w:szCs w:val="21"/>
                    </w:rPr>
                  </w:pPr>
                  <w:r>
                    <w:rPr>
                      <w:rFonts w:hint="eastAsia" w:cs="Times New Roman"/>
                      <w:color w:val="auto"/>
                      <w:spacing w:val="4"/>
                      <w:szCs w:val="21"/>
                    </w:rPr>
                    <w:t>排放口地理坐标</w:t>
                  </w:r>
                </w:p>
              </w:tc>
              <w:tc>
                <w:tcPr>
                  <w:tcW w:w="817" w:type="pct"/>
                  <w:vMerge w:val="restart"/>
                  <w:vAlign w:val="center"/>
                </w:tcPr>
                <w:p>
                  <w:pPr>
                    <w:jc w:val="center"/>
                    <w:rPr>
                      <w:rFonts w:cs="Times New Roman"/>
                      <w:color w:val="auto"/>
                      <w:spacing w:val="4"/>
                      <w:szCs w:val="21"/>
                    </w:rPr>
                  </w:pPr>
                  <w:r>
                    <w:rPr>
                      <w:rFonts w:hint="eastAsia" w:cs="Times New Roman"/>
                      <w:color w:val="auto"/>
                      <w:spacing w:val="4"/>
                      <w:szCs w:val="21"/>
                    </w:rPr>
                    <w:t>废水排放量（万t</w:t>
                  </w:r>
                  <w:r>
                    <w:rPr>
                      <w:rFonts w:cs="Times New Roman"/>
                      <w:color w:val="auto"/>
                      <w:spacing w:val="4"/>
                      <w:szCs w:val="21"/>
                    </w:rPr>
                    <w:t>/a</w:t>
                  </w:r>
                  <w:r>
                    <w:rPr>
                      <w:rFonts w:hint="eastAsia" w:cs="Times New Roman"/>
                      <w:color w:val="auto"/>
                      <w:spacing w:val="4"/>
                      <w:szCs w:val="21"/>
                    </w:rPr>
                    <w:t>）</w:t>
                  </w:r>
                </w:p>
              </w:tc>
              <w:tc>
                <w:tcPr>
                  <w:tcW w:w="1064" w:type="pct"/>
                  <w:vMerge w:val="restart"/>
                  <w:vAlign w:val="center"/>
                </w:tcPr>
                <w:p>
                  <w:pPr>
                    <w:jc w:val="center"/>
                    <w:rPr>
                      <w:rFonts w:cs="Times New Roman"/>
                      <w:color w:val="auto"/>
                      <w:spacing w:val="4"/>
                      <w:szCs w:val="21"/>
                    </w:rPr>
                  </w:pPr>
                  <w:r>
                    <w:rPr>
                      <w:rFonts w:hint="eastAsia" w:cs="Times New Roman"/>
                      <w:color w:val="auto"/>
                      <w:spacing w:val="4"/>
                      <w:szCs w:val="21"/>
                    </w:rPr>
                    <w:t>排放去向</w:t>
                  </w:r>
                </w:p>
              </w:tc>
              <w:tc>
                <w:tcPr>
                  <w:tcW w:w="669" w:type="pct"/>
                  <w:vMerge w:val="restart"/>
                  <w:vAlign w:val="center"/>
                </w:tcPr>
                <w:p>
                  <w:pPr>
                    <w:jc w:val="center"/>
                    <w:rPr>
                      <w:rFonts w:cs="Times New Roman"/>
                      <w:color w:val="auto"/>
                      <w:spacing w:val="4"/>
                      <w:szCs w:val="21"/>
                    </w:rPr>
                  </w:pPr>
                  <w:r>
                    <w:rPr>
                      <w:rFonts w:hint="eastAsia" w:cs="Times New Roman"/>
                      <w:color w:val="auto"/>
                      <w:spacing w:val="4"/>
                      <w:szCs w:val="21"/>
                    </w:rPr>
                    <w:t>排放规律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606" w:type="pct"/>
                  <w:vMerge w:val="continue"/>
                  <w:vAlign w:val="center"/>
                </w:tcPr>
                <w:p>
                  <w:pPr>
                    <w:jc w:val="center"/>
                    <w:rPr>
                      <w:rFonts w:cs="Times New Roman"/>
                      <w:color w:val="auto"/>
                      <w:spacing w:val="4"/>
                      <w:szCs w:val="21"/>
                    </w:rPr>
                  </w:pPr>
                </w:p>
              </w:tc>
              <w:tc>
                <w:tcPr>
                  <w:tcW w:w="674" w:type="pct"/>
                  <w:vMerge w:val="continue"/>
                  <w:vAlign w:val="center"/>
                </w:tcPr>
                <w:p>
                  <w:pPr>
                    <w:jc w:val="center"/>
                    <w:rPr>
                      <w:rFonts w:cs="Times New Roman"/>
                      <w:color w:val="auto"/>
                      <w:spacing w:val="4"/>
                      <w:szCs w:val="21"/>
                    </w:rPr>
                  </w:pPr>
                </w:p>
              </w:tc>
              <w:tc>
                <w:tcPr>
                  <w:tcW w:w="597" w:type="pct"/>
                  <w:vAlign w:val="center"/>
                </w:tcPr>
                <w:p>
                  <w:pPr>
                    <w:jc w:val="center"/>
                    <w:rPr>
                      <w:rFonts w:cs="Times New Roman"/>
                      <w:color w:val="auto"/>
                      <w:spacing w:val="4"/>
                      <w:szCs w:val="21"/>
                    </w:rPr>
                  </w:pPr>
                  <w:r>
                    <w:rPr>
                      <w:rFonts w:hint="eastAsia" w:cs="Times New Roman"/>
                      <w:color w:val="auto"/>
                      <w:spacing w:val="4"/>
                      <w:szCs w:val="21"/>
                    </w:rPr>
                    <w:t>经度</w:t>
                  </w:r>
                </w:p>
              </w:tc>
              <w:tc>
                <w:tcPr>
                  <w:tcW w:w="572" w:type="pct"/>
                  <w:vAlign w:val="center"/>
                </w:tcPr>
                <w:p>
                  <w:pPr>
                    <w:jc w:val="center"/>
                    <w:rPr>
                      <w:rFonts w:cs="Times New Roman"/>
                      <w:color w:val="auto"/>
                      <w:spacing w:val="4"/>
                      <w:szCs w:val="21"/>
                    </w:rPr>
                  </w:pPr>
                  <w:r>
                    <w:rPr>
                      <w:rFonts w:hint="eastAsia" w:cs="Times New Roman"/>
                      <w:color w:val="auto"/>
                      <w:spacing w:val="4"/>
                      <w:szCs w:val="21"/>
                    </w:rPr>
                    <w:t>纬度</w:t>
                  </w:r>
                </w:p>
              </w:tc>
              <w:tc>
                <w:tcPr>
                  <w:tcW w:w="817" w:type="pct"/>
                  <w:vMerge w:val="continue"/>
                  <w:vAlign w:val="center"/>
                </w:tcPr>
                <w:p>
                  <w:pPr>
                    <w:jc w:val="center"/>
                    <w:rPr>
                      <w:rFonts w:cs="Times New Roman"/>
                      <w:color w:val="auto"/>
                      <w:spacing w:val="4"/>
                      <w:szCs w:val="21"/>
                    </w:rPr>
                  </w:pPr>
                </w:p>
              </w:tc>
              <w:tc>
                <w:tcPr>
                  <w:tcW w:w="1064" w:type="pct"/>
                  <w:vMerge w:val="continue"/>
                  <w:vAlign w:val="center"/>
                </w:tcPr>
                <w:p>
                  <w:pPr>
                    <w:jc w:val="center"/>
                    <w:rPr>
                      <w:rFonts w:cs="Times New Roman"/>
                      <w:color w:val="auto"/>
                      <w:spacing w:val="4"/>
                      <w:szCs w:val="21"/>
                    </w:rPr>
                  </w:pPr>
                </w:p>
              </w:tc>
              <w:tc>
                <w:tcPr>
                  <w:tcW w:w="669" w:type="pct"/>
                  <w:vMerge w:val="continue"/>
                  <w:vAlign w:val="center"/>
                </w:tcPr>
                <w:p>
                  <w:pPr>
                    <w:jc w:val="center"/>
                    <w:rPr>
                      <w:rFonts w:cs="Times New Roman"/>
                      <w:color w:val="auto"/>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6" w:type="pct"/>
                  <w:vAlign w:val="center"/>
                </w:tcPr>
                <w:p>
                  <w:pPr>
                    <w:jc w:val="center"/>
                    <w:rPr>
                      <w:rFonts w:cs="Times New Roman"/>
                      <w:color w:val="auto"/>
                      <w:spacing w:val="4"/>
                      <w:szCs w:val="21"/>
                    </w:rPr>
                  </w:pPr>
                  <w:r>
                    <w:rPr>
                      <w:rFonts w:hint="eastAsia" w:cs="Times New Roman"/>
                      <w:color w:val="auto"/>
                      <w:spacing w:val="4"/>
                      <w:szCs w:val="21"/>
                    </w:rPr>
                    <w:t>DW</w:t>
                  </w:r>
                  <w:r>
                    <w:rPr>
                      <w:rFonts w:cs="Times New Roman"/>
                      <w:color w:val="auto"/>
                      <w:spacing w:val="4"/>
                      <w:szCs w:val="21"/>
                    </w:rPr>
                    <w:t>001</w:t>
                  </w:r>
                </w:p>
              </w:tc>
              <w:tc>
                <w:tcPr>
                  <w:tcW w:w="674" w:type="pct"/>
                  <w:vAlign w:val="center"/>
                </w:tcPr>
                <w:p>
                  <w:pPr>
                    <w:jc w:val="center"/>
                    <w:rPr>
                      <w:rFonts w:cs="Times New Roman"/>
                      <w:color w:val="auto"/>
                      <w:spacing w:val="4"/>
                      <w:szCs w:val="21"/>
                    </w:rPr>
                  </w:pPr>
                  <w:r>
                    <w:rPr>
                      <w:rFonts w:hint="eastAsia" w:cs="Times New Roman"/>
                      <w:color w:val="auto"/>
                      <w:spacing w:val="4"/>
                      <w:szCs w:val="21"/>
                    </w:rPr>
                    <w:t>污水</w:t>
                  </w:r>
                  <w:r>
                    <w:rPr>
                      <w:rFonts w:cs="Times New Roman"/>
                      <w:color w:val="auto"/>
                      <w:spacing w:val="4"/>
                      <w:szCs w:val="21"/>
                    </w:rPr>
                    <w:t>总排放口</w:t>
                  </w:r>
                </w:p>
              </w:tc>
              <w:tc>
                <w:tcPr>
                  <w:tcW w:w="597" w:type="pct"/>
                  <w:vAlign w:val="center"/>
                </w:tcPr>
                <w:p>
                  <w:pPr>
                    <w:jc w:val="center"/>
                    <w:rPr>
                      <w:rFonts w:cs="Times New Roman"/>
                      <w:color w:val="auto"/>
                      <w:spacing w:val="4"/>
                      <w:szCs w:val="21"/>
                    </w:rPr>
                  </w:pPr>
                  <w:r>
                    <w:rPr>
                      <w:rFonts w:cs="Times New Roman"/>
                      <w:color w:val="auto"/>
                      <w:szCs w:val="21"/>
                    </w:rPr>
                    <w:t>10</w:t>
                  </w:r>
                  <w:r>
                    <w:rPr>
                      <w:rFonts w:hint="eastAsia" w:cs="Times New Roman"/>
                      <w:color w:val="auto"/>
                      <w:szCs w:val="21"/>
                      <w:lang w:val="en-US" w:eastAsia="zh-CN"/>
                    </w:rPr>
                    <w:t>7</w:t>
                  </w:r>
                  <w:r>
                    <w:rPr>
                      <w:rFonts w:cs="Times New Roman"/>
                      <w:color w:val="auto"/>
                      <w:szCs w:val="21"/>
                    </w:rPr>
                    <w:t>°</w:t>
                  </w:r>
                  <w:r>
                    <w:rPr>
                      <w:rFonts w:hint="eastAsia" w:cs="Times New Roman"/>
                      <w:color w:val="auto"/>
                      <w:szCs w:val="21"/>
                      <w:lang w:val="en-US" w:eastAsia="zh-CN"/>
                    </w:rPr>
                    <w:t>43</w:t>
                  </w:r>
                  <w:r>
                    <w:rPr>
                      <w:rFonts w:cs="Times New Roman"/>
                      <w:color w:val="auto"/>
                      <w:szCs w:val="21"/>
                    </w:rPr>
                    <w:t>′4</w:t>
                  </w:r>
                  <w:r>
                    <w:rPr>
                      <w:rFonts w:hint="eastAsia" w:cs="Times New Roman"/>
                      <w:color w:val="auto"/>
                      <w:szCs w:val="21"/>
                      <w:lang w:val="en-US" w:eastAsia="zh-CN"/>
                    </w:rPr>
                    <w:t>5.032</w:t>
                  </w:r>
                  <w:r>
                    <w:rPr>
                      <w:rFonts w:cs="Times New Roman"/>
                      <w:color w:val="auto"/>
                      <w:szCs w:val="21"/>
                    </w:rPr>
                    <w:t>″</w:t>
                  </w:r>
                </w:p>
              </w:tc>
              <w:tc>
                <w:tcPr>
                  <w:tcW w:w="572" w:type="pct"/>
                  <w:vAlign w:val="center"/>
                </w:tcPr>
                <w:p>
                  <w:pPr>
                    <w:jc w:val="center"/>
                    <w:rPr>
                      <w:rFonts w:cs="Times New Roman"/>
                      <w:color w:val="auto"/>
                      <w:spacing w:val="4"/>
                      <w:szCs w:val="21"/>
                    </w:rPr>
                  </w:pPr>
                  <w:r>
                    <w:rPr>
                      <w:rFonts w:cs="Times New Roman"/>
                      <w:color w:val="auto"/>
                      <w:szCs w:val="21"/>
                    </w:rPr>
                    <w:t>3</w:t>
                  </w:r>
                  <w:r>
                    <w:rPr>
                      <w:rFonts w:hint="eastAsia" w:cs="Times New Roman"/>
                      <w:color w:val="auto"/>
                      <w:szCs w:val="21"/>
                      <w:lang w:val="en-US" w:eastAsia="zh-CN"/>
                    </w:rPr>
                    <w:t>1</w:t>
                  </w:r>
                  <w:r>
                    <w:rPr>
                      <w:rFonts w:cs="Times New Roman"/>
                      <w:color w:val="auto"/>
                      <w:szCs w:val="21"/>
                    </w:rPr>
                    <w:t>°2</w:t>
                  </w:r>
                  <w:r>
                    <w:rPr>
                      <w:rFonts w:hint="eastAsia" w:cs="Times New Roman"/>
                      <w:color w:val="auto"/>
                      <w:szCs w:val="21"/>
                      <w:lang w:val="en-US" w:eastAsia="zh-CN"/>
                    </w:rPr>
                    <w:t>2</w:t>
                  </w:r>
                  <w:r>
                    <w:rPr>
                      <w:rFonts w:cs="Times New Roman"/>
                      <w:color w:val="auto"/>
                      <w:szCs w:val="21"/>
                    </w:rPr>
                    <w:t>′2</w:t>
                  </w:r>
                  <w:r>
                    <w:rPr>
                      <w:rFonts w:hint="eastAsia" w:cs="Times New Roman"/>
                      <w:color w:val="auto"/>
                      <w:szCs w:val="21"/>
                      <w:lang w:val="en-US" w:eastAsia="zh-CN"/>
                    </w:rPr>
                    <w:t>.616</w:t>
                  </w:r>
                  <w:r>
                    <w:rPr>
                      <w:rFonts w:cs="Times New Roman"/>
                      <w:color w:val="auto"/>
                      <w:szCs w:val="21"/>
                    </w:rPr>
                    <w:t>″</w:t>
                  </w:r>
                </w:p>
              </w:tc>
              <w:tc>
                <w:tcPr>
                  <w:tcW w:w="817" w:type="pct"/>
                  <w:vAlign w:val="center"/>
                </w:tcPr>
                <w:p>
                  <w:pPr>
                    <w:jc w:val="center"/>
                    <w:rPr>
                      <w:rFonts w:hint="default" w:eastAsia="宋体" w:cs="Times New Roman"/>
                      <w:color w:val="auto"/>
                      <w:spacing w:val="4"/>
                      <w:szCs w:val="21"/>
                      <w:lang w:val="en-US" w:eastAsia="zh-CN"/>
                    </w:rPr>
                  </w:pPr>
                  <w:r>
                    <w:rPr>
                      <w:rFonts w:hint="eastAsia" w:cs="Times New Roman"/>
                      <w:color w:val="auto"/>
                      <w:spacing w:val="4"/>
                      <w:szCs w:val="21"/>
                      <w:lang w:val="en-US" w:eastAsia="zh-CN"/>
                    </w:rPr>
                    <w:t>0.2546</w:t>
                  </w:r>
                </w:p>
              </w:tc>
              <w:tc>
                <w:tcPr>
                  <w:tcW w:w="1064" w:type="pct"/>
                  <w:vAlign w:val="center"/>
                </w:tcPr>
                <w:p>
                  <w:pPr>
                    <w:jc w:val="center"/>
                    <w:rPr>
                      <w:rFonts w:hint="eastAsia" w:eastAsia="宋体" w:cs="Times New Roman"/>
                      <w:color w:val="auto"/>
                      <w:spacing w:val="4"/>
                      <w:szCs w:val="21"/>
                      <w:lang w:eastAsia="zh-CN"/>
                    </w:rPr>
                  </w:pPr>
                  <w:r>
                    <w:rPr>
                      <w:rFonts w:hint="eastAsia"/>
                      <w:color w:val="auto"/>
                      <w:szCs w:val="21"/>
                      <w:lang w:eastAsia="zh-CN"/>
                    </w:rPr>
                    <w:t>宣汉县城市生活污水处理厂</w:t>
                  </w:r>
                </w:p>
              </w:tc>
              <w:tc>
                <w:tcPr>
                  <w:tcW w:w="669" w:type="pct"/>
                  <w:vAlign w:val="center"/>
                </w:tcPr>
                <w:p>
                  <w:pPr>
                    <w:jc w:val="center"/>
                    <w:rPr>
                      <w:rFonts w:cs="Times New Roman"/>
                      <w:color w:val="auto"/>
                      <w:spacing w:val="4"/>
                      <w:szCs w:val="21"/>
                    </w:rPr>
                  </w:pPr>
                  <w:r>
                    <w:rPr>
                      <w:rFonts w:hint="eastAsia"/>
                      <w:color w:val="auto"/>
                      <w:szCs w:val="21"/>
                    </w:rPr>
                    <w:t>间断排放</w:t>
                  </w:r>
                </w:p>
              </w:tc>
            </w:tr>
          </w:tbl>
          <w:p>
            <w:pPr>
              <w:spacing w:line="360" w:lineRule="auto"/>
              <w:ind w:firstLine="482" w:firstLineChars="200"/>
              <w:rPr>
                <w:b/>
                <w:color w:val="auto"/>
                <w:sz w:val="24"/>
                <w:szCs w:val="24"/>
              </w:rPr>
            </w:pPr>
            <w:r>
              <w:rPr>
                <w:rFonts w:hint="eastAsia"/>
                <w:b/>
                <w:color w:val="auto"/>
                <w:sz w:val="24"/>
                <w:szCs w:val="24"/>
              </w:rPr>
              <w:t>（</w:t>
            </w:r>
            <w:r>
              <w:rPr>
                <w:b/>
                <w:color w:val="auto"/>
                <w:sz w:val="24"/>
                <w:szCs w:val="24"/>
              </w:rPr>
              <w:t>5</w:t>
            </w:r>
            <w:r>
              <w:rPr>
                <w:rFonts w:hint="eastAsia"/>
                <w:b/>
                <w:color w:val="auto"/>
                <w:sz w:val="24"/>
                <w:szCs w:val="24"/>
              </w:rPr>
              <w:t>）污染物排放信息</w:t>
            </w:r>
          </w:p>
          <w:p>
            <w:pPr>
              <w:spacing w:line="360" w:lineRule="auto"/>
              <w:ind w:firstLine="480" w:firstLineChars="200"/>
              <w:rPr>
                <w:sz w:val="24"/>
              </w:rPr>
            </w:pPr>
            <w:r>
              <w:rPr>
                <w:rFonts w:hint="eastAsia"/>
                <w:sz w:val="24"/>
                <w:szCs w:val="24"/>
              </w:rPr>
              <w:t>本项目废水污染物排放信息见下表</w:t>
            </w:r>
            <w:r>
              <w:rPr>
                <w:rFonts w:hint="eastAsia"/>
                <w:sz w:val="24"/>
              </w:rPr>
              <w:t>：</w:t>
            </w:r>
          </w:p>
          <w:p>
            <w:pPr>
              <w:spacing w:line="360" w:lineRule="auto"/>
              <w:jc w:val="center"/>
              <w:rPr>
                <w:rFonts w:eastAsia="黑体" w:cs="Times New Roman"/>
                <w:szCs w:val="21"/>
              </w:rPr>
            </w:pPr>
            <w:r>
              <w:rPr>
                <w:rFonts w:eastAsia="黑体" w:cs="Times New Roman"/>
                <w:szCs w:val="21"/>
              </w:rPr>
              <w:t>表4</w:t>
            </w:r>
            <w:r>
              <w:rPr>
                <w:rFonts w:hint="eastAsia" w:eastAsia="黑体" w:cs="Times New Roman"/>
                <w:szCs w:val="21"/>
              </w:rPr>
              <w:t>-</w:t>
            </w:r>
            <w:r>
              <w:rPr>
                <w:rFonts w:eastAsia="黑体" w:cs="Times New Roman"/>
                <w:szCs w:val="21"/>
              </w:rPr>
              <w:t xml:space="preserve">7  </w:t>
            </w:r>
            <w:r>
              <w:rPr>
                <w:rFonts w:hint="eastAsia" w:eastAsia="黑体" w:cs="Times New Roman"/>
                <w:szCs w:val="21"/>
              </w:rPr>
              <w:t>废水污染物排放信息表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1701"/>
              <w:gridCol w:w="1417"/>
              <w:gridCol w:w="1568"/>
              <w:gridCol w:w="1568"/>
              <w:gridCol w:w="1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701"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排放口编号</w:t>
                  </w:r>
                </w:p>
              </w:tc>
              <w:tc>
                <w:tcPr>
                  <w:tcW w:w="1417"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污染物种类</w:t>
                  </w:r>
                </w:p>
              </w:tc>
              <w:tc>
                <w:tcPr>
                  <w:tcW w:w="15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排放浓度（mg/L）</w:t>
                  </w:r>
                </w:p>
              </w:tc>
              <w:tc>
                <w:tcPr>
                  <w:tcW w:w="15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日排放量（t/d）</w:t>
                  </w:r>
                </w:p>
              </w:tc>
              <w:tc>
                <w:tcPr>
                  <w:tcW w:w="1569"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dxa"/>
                  <w:vMerge w:val="restar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701" w:type="dxa"/>
                  <w:vMerge w:val="restar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DW001</w:t>
                  </w:r>
                </w:p>
              </w:tc>
              <w:tc>
                <w:tcPr>
                  <w:tcW w:w="1417"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5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130.69</w:t>
                  </w:r>
                </w:p>
              </w:tc>
              <w:tc>
                <w:tcPr>
                  <w:tcW w:w="1568"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0.0009</w:t>
                  </w:r>
                </w:p>
              </w:tc>
              <w:tc>
                <w:tcPr>
                  <w:tcW w:w="1569"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0.3328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dxa"/>
                  <w:vMerge w:val="continue"/>
                  <w:vAlign w:val="center"/>
                </w:tcPr>
                <w:p>
                  <w:pPr>
                    <w:jc w:val="center"/>
                    <w:rPr>
                      <w:rFonts w:hint="default" w:ascii="Times New Roman" w:hAnsi="Times New Roman" w:eastAsia="宋体" w:cs="Times New Roman"/>
                      <w:color w:val="auto"/>
                      <w:sz w:val="21"/>
                      <w:szCs w:val="21"/>
                    </w:rPr>
                  </w:pPr>
                </w:p>
              </w:tc>
              <w:tc>
                <w:tcPr>
                  <w:tcW w:w="1701" w:type="dxa"/>
                  <w:vMerge w:val="continue"/>
                  <w:vAlign w:val="center"/>
                </w:tcPr>
                <w:p>
                  <w:pPr>
                    <w:jc w:val="center"/>
                    <w:rPr>
                      <w:rFonts w:hint="default" w:ascii="Times New Roman" w:hAnsi="Times New Roman" w:eastAsia="宋体" w:cs="Times New Roman"/>
                      <w:color w:val="auto"/>
                      <w:sz w:val="21"/>
                      <w:szCs w:val="21"/>
                    </w:rPr>
                  </w:pPr>
                </w:p>
              </w:tc>
              <w:tc>
                <w:tcPr>
                  <w:tcW w:w="1417"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5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16.12</w:t>
                  </w:r>
                </w:p>
              </w:tc>
              <w:tc>
                <w:tcPr>
                  <w:tcW w:w="1568"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0.0001</w:t>
                  </w:r>
                </w:p>
              </w:tc>
              <w:tc>
                <w:tcPr>
                  <w:tcW w:w="156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0.0410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dxa"/>
                  <w:vMerge w:val="continue"/>
                  <w:vAlign w:val="center"/>
                </w:tcPr>
                <w:p>
                  <w:pPr>
                    <w:jc w:val="center"/>
                    <w:rPr>
                      <w:rFonts w:hint="default" w:ascii="Times New Roman" w:hAnsi="Times New Roman" w:eastAsia="宋体" w:cs="Times New Roman"/>
                      <w:color w:val="auto"/>
                      <w:sz w:val="21"/>
                      <w:szCs w:val="21"/>
                    </w:rPr>
                  </w:pPr>
                </w:p>
              </w:tc>
              <w:tc>
                <w:tcPr>
                  <w:tcW w:w="1701" w:type="dxa"/>
                  <w:vMerge w:val="continue"/>
                  <w:vAlign w:val="center"/>
                </w:tcPr>
                <w:p>
                  <w:pPr>
                    <w:jc w:val="center"/>
                    <w:rPr>
                      <w:rFonts w:hint="default" w:ascii="Times New Roman" w:hAnsi="Times New Roman" w:eastAsia="宋体" w:cs="Times New Roman"/>
                      <w:color w:val="auto"/>
                      <w:sz w:val="21"/>
                      <w:szCs w:val="21"/>
                    </w:rPr>
                  </w:pPr>
                </w:p>
              </w:tc>
              <w:tc>
                <w:tcPr>
                  <w:tcW w:w="1417"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15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2.05</w:t>
                  </w:r>
                </w:p>
              </w:tc>
              <w:tc>
                <w:tcPr>
                  <w:tcW w:w="1568" w:type="dxa"/>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1.43008E-05</w:t>
                  </w:r>
                </w:p>
              </w:tc>
              <w:tc>
                <w:tcPr>
                  <w:tcW w:w="156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545" w:type="dxa"/>
                  <w:gridSpan w:val="2"/>
                  <w:vMerge w:val="restar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全厂排放口合计</w:t>
                  </w:r>
                </w:p>
              </w:tc>
              <w:tc>
                <w:tcPr>
                  <w:tcW w:w="4553" w:type="dxa"/>
                  <w:gridSpan w:val="3"/>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569"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0.3328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545" w:type="dxa"/>
                  <w:gridSpan w:val="2"/>
                  <w:vMerge w:val="continue"/>
                  <w:vAlign w:val="center"/>
                </w:tcPr>
                <w:p>
                  <w:pPr>
                    <w:jc w:val="center"/>
                    <w:rPr>
                      <w:rFonts w:hint="default" w:ascii="Times New Roman" w:hAnsi="Times New Roman" w:eastAsia="宋体" w:cs="Times New Roman"/>
                      <w:color w:val="auto"/>
                      <w:sz w:val="21"/>
                      <w:szCs w:val="21"/>
                    </w:rPr>
                  </w:pPr>
                </w:p>
              </w:tc>
              <w:tc>
                <w:tcPr>
                  <w:tcW w:w="4553" w:type="dxa"/>
                  <w:gridSpan w:val="3"/>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56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0.0410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545" w:type="dxa"/>
                  <w:gridSpan w:val="2"/>
                  <w:vMerge w:val="continue"/>
                  <w:vAlign w:val="center"/>
                </w:tcPr>
                <w:p>
                  <w:pPr>
                    <w:jc w:val="center"/>
                    <w:rPr>
                      <w:rFonts w:hint="default" w:ascii="Times New Roman" w:hAnsi="Times New Roman" w:eastAsia="宋体" w:cs="Times New Roman"/>
                      <w:color w:val="auto"/>
                      <w:sz w:val="21"/>
                      <w:szCs w:val="21"/>
                    </w:rPr>
                  </w:pPr>
                </w:p>
              </w:tc>
              <w:tc>
                <w:tcPr>
                  <w:tcW w:w="4553" w:type="dxa"/>
                  <w:gridSpan w:val="3"/>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156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0.0052 </w:t>
                  </w:r>
                </w:p>
              </w:tc>
            </w:tr>
          </w:tbl>
          <w:p>
            <w:pPr>
              <w:spacing w:line="360" w:lineRule="auto"/>
              <w:ind w:firstLine="482" w:firstLineChars="200"/>
              <w:rPr>
                <w:b/>
                <w:sz w:val="24"/>
                <w:szCs w:val="24"/>
              </w:rPr>
            </w:pPr>
            <w:r>
              <w:rPr>
                <w:rFonts w:hint="eastAsia"/>
                <w:b/>
                <w:sz w:val="24"/>
                <w:szCs w:val="24"/>
              </w:rPr>
              <w:t>（</w:t>
            </w:r>
            <w:r>
              <w:rPr>
                <w:b/>
                <w:sz w:val="24"/>
                <w:szCs w:val="24"/>
              </w:rPr>
              <w:t>6</w:t>
            </w:r>
            <w:r>
              <w:rPr>
                <w:rFonts w:hint="eastAsia"/>
                <w:b/>
                <w:sz w:val="24"/>
                <w:szCs w:val="24"/>
              </w:rPr>
              <w:t>）监测要求</w:t>
            </w:r>
          </w:p>
          <w:p>
            <w:pPr>
              <w:spacing w:line="360" w:lineRule="auto"/>
              <w:ind w:firstLine="480" w:firstLineChars="200"/>
              <w:rPr>
                <w:sz w:val="24"/>
                <w:szCs w:val="24"/>
              </w:rPr>
            </w:pPr>
            <w:r>
              <w:rPr>
                <w:rFonts w:hint="eastAsia"/>
                <w:sz w:val="24"/>
                <w:szCs w:val="24"/>
              </w:rPr>
              <w:t>本项目仅生活污水排放口，排放形式为间接排放，根据《排污许可证申请与核发技术规范 水处理通用工序》（HJ</w:t>
            </w:r>
            <w:r>
              <w:rPr>
                <w:sz w:val="24"/>
                <w:szCs w:val="24"/>
              </w:rPr>
              <w:t>1120-2020</w:t>
            </w:r>
            <w:r>
              <w:rPr>
                <w:rFonts w:hint="eastAsia"/>
                <w:sz w:val="24"/>
                <w:szCs w:val="24"/>
              </w:rPr>
              <w:t>），该规范未对生活污水排放口间接排放监测频次提出要求，故不需开展污水排放口监测。</w:t>
            </w:r>
          </w:p>
          <w:p>
            <w:pPr>
              <w:spacing w:line="360" w:lineRule="auto"/>
              <w:ind w:firstLine="482" w:firstLineChars="200"/>
              <w:rPr>
                <w:b/>
                <w:color w:val="auto"/>
                <w:sz w:val="24"/>
                <w:szCs w:val="24"/>
              </w:rPr>
            </w:pPr>
            <w:r>
              <w:rPr>
                <w:rFonts w:hint="eastAsia"/>
                <w:b/>
                <w:color w:val="auto"/>
                <w:sz w:val="24"/>
                <w:szCs w:val="24"/>
              </w:rPr>
              <w:t>（</w:t>
            </w:r>
            <w:r>
              <w:rPr>
                <w:b/>
                <w:color w:val="auto"/>
                <w:sz w:val="24"/>
                <w:szCs w:val="24"/>
              </w:rPr>
              <w:t>7</w:t>
            </w:r>
            <w:r>
              <w:rPr>
                <w:rFonts w:hint="eastAsia"/>
                <w:b/>
                <w:color w:val="auto"/>
                <w:sz w:val="24"/>
                <w:szCs w:val="24"/>
              </w:rPr>
              <w:t>）依托</w:t>
            </w:r>
            <w:r>
              <w:rPr>
                <w:rFonts w:hint="eastAsia"/>
                <w:b/>
                <w:color w:val="auto"/>
                <w:sz w:val="24"/>
                <w:szCs w:val="24"/>
                <w:lang w:eastAsia="zh-CN"/>
              </w:rPr>
              <w:t>宣汉县城市生活污水处理厂</w:t>
            </w:r>
            <w:r>
              <w:rPr>
                <w:rFonts w:hint="eastAsia"/>
                <w:b/>
                <w:color w:val="auto"/>
                <w:sz w:val="24"/>
                <w:szCs w:val="24"/>
              </w:rPr>
              <w:t>环境可行性</w:t>
            </w:r>
          </w:p>
          <w:p>
            <w:pPr>
              <w:spacing w:line="360" w:lineRule="auto"/>
              <w:ind w:firstLine="480" w:firstLineChars="200"/>
              <w:rPr>
                <w:rFonts w:cs="Times New Roman"/>
                <w:color w:val="FF0000"/>
                <w:sz w:val="24"/>
                <w:szCs w:val="24"/>
              </w:rPr>
            </w:pPr>
            <w:r>
              <w:rPr>
                <w:rFonts w:hint="eastAsia" w:cs="Times New Roman"/>
                <w:color w:val="auto"/>
                <w:sz w:val="24"/>
                <w:szCs w:val="24"/>
                <w:lang w:eastAsia="zh-CN"/>
              </w:rPr>
              <w:t>宣汉县城市生活污水处理厂</w:t>
            </w:r>
            <w:r>
              <w:rPr>
                <w:rFonts w:cs="Times New Roman"/>
                <w:color w:val="auto"/>
                <w:sz w:val="24"/>
                <w:szCs w:val="24"/>
              </w:rPr>
              <w:t>位于</w:t>
            </w:r>
            <w:r>
              <w:rPr>
                <w:rFonts w:hint="eastAsia" w:cs="Times New Roman"/>
                <w:color w:val="auto"/>
                <w:sz w:val="24"/>
                <w:szCs w:val="24"/>
              </w:rPr>
              <w:t>宣汉县东乡镇谢生坝</w:t>
            </w:r>
            <w:r>
              <w:rPr>
                <w:rFonts w:cs="Times New Roman"/>
                <w:color w:val="auto"/>
                <w:sz w:val="24"/>
                <w:szCs w:val="24"/>
              </w:rPr>
              <w:t>，</w:t>
            </w:r>
            <w:r>
              <w:rPr>
                <w:rFonts w:hint="eastAsia" w:cs="Times New Roman"/>
                <w:color w:val="auto"/>
                <w:sz w:val="24"/>
                <w:szCs w:val="24"/>
              </w:rPr>
              <w:t>设计规模</w:t>
            </w:r>
            <w:r>
              <w:rPr>
                <w:rFonts w:hint="eastAsia" w:cs="Times New Roman"/>
                <w:color w:val="auto"/>
                <w:sz w:val="24"/>
                <w:szCs w:val="24"/>
                <w:lang w:val="en-US" w:eastAsia="zh-CN"/>
              </w:rPr>
              <w:t>5</w:t>
            </w:r>
            <w:r>
              <w:rPr>
                <w:rFonts w:hint="eastAsia" w:cs="Times New Roman"/>
                <w:color w:val="auto"/>
                <w:sz w:val="24"/>
                <w:szCs w:val="24"/>
              </w:rPr>
              <w:t>万m</w:t>
            </w:r>
            <w:r>
              <w:rPr>
                <w:rFonts w:cs="Times New Roman"/>
                <w:color w:val="auto"/>
                <w:sz w:val="24"/>
                <w:szCs w:val="24"/>
                <w:vertAlign w:val="superscript"/>
              </w:rPr>
              <w:t>3</w:t>
            </w:r>
            <w:r>
              <w:rPr>
                <w:rFonts w:cs="Times New Roman"/>
                <w:color w:val="auto"/>
                <w:sz w:val="24"/>
                <w:szCs w:val="24"/>
              </w:rPr>
              <w:t>/d</w:t>
            </w:r>
            <w:r>
              <w:rPr>
                <w:rFonts w:hint="eastAsia" w:cs="Times New Roman"/>
                <w:color w:val="auto"/>
                <w:sz w:val="24"/>
                <w:szCs w:val="24"/>
              </w:rPr>
              <w:t>，采用MBBR工艺，出水执行《城镇污水处理厂污染物排放标准》（GB18918-2002）一级标准的A类标准</w:t>
            </w:r>
            <w:r>
              <w:rPr>
                <w:rFonts w:hint="eastAsia"/>
                <w:color w:val="auto"/>
                <w:sz w:val="24"/>
                <w:szCs w:val="24"/>
              </w:rPr>
              <w:t>。本项目污水经预处理</w:t>
            </w:r>
            <w:r>
              <w:rPr>
                <w:rFonts w:hint="eastAsia"/>
                <w:color w:val="auto"/>
                <w:kern w:val="24"/>
                <w:sz w:val="24"/>
                <w:szCs w:val="24"/>
              </w:rPr>
              <w:t>达到《污水综合排放标准》（GB8978-1996）三级标准</w:t>
            </w:r>
            <w:r>
              <w:rPr>
                <w:rFonts w:hint="eastAsia"/>
                <w:color w:val="auto"/>
                <w:sz w:val="24"/>
                <w:szCs w:val="24"/>
              </w:rPr>
              <w:t>后满足</w:t>
            </w:r>
            <w:r>
              <w:rPr>
                <w:rFonts w:hint="eastAsia" w:cs="Times New Roman"/>
                <w:color w:val="auto"/>
                <w:sz w:val="24"/>
                <w:szCs w:val="24"/>
                <w:lang w:eastAsia="zh-CN"/>
              </w:rPr>
              <w:t>宣汉县城市生活污水处理厂</w:t>
            </w:r>
            <w:r>
              <w:rPr>
                <w:rFonts w:hint="eastAsia"/>
                <w:color w:val="auto"/>
                <w:sz w:val="24"/>
                <w:szCs w:val="24"/>
              </w:rPr>
              <w:t>进水水质要求，经该污水处理厂处理后可实现稳定达标排放，满足依托的环境可行性要求。</w:t>
            </w:r>
          </w:p>
          <w:p>
            <w:pPr>
              <w:spacing w:line="360" w:lineRule="auto"/>
              <w:ind w:firstLine="482" w:firstLineChars="200"/>
              <w:rPr>
                <w:b/>
                <w:sz w:val="24"/>
                <w:szCs w:val="24"/>
              </w:rPr>
            </w:pPr>
            <w:r>
              <w:rPr>
                <w:b/>
                <w:sz w:val="24"/>
                <w:szCs w:val="24"/>
              </w:rPr>
              <w:t>3</w:t>
            </w:r>
            <w:r>
              <w:rPr>
                <w:rFonts w:hint="eastAsia"/>
                <w:b/>
                <w:sz w:val="24"/>
                <w:szCs w:val="24"/>
              </w:rPr>
              <w:t>、噪声</w:t>
            </w:r>
          </w:p>
          <w:p>
            <w:pPr>
              <w:spacing w:line="360" w:lineRule="auto"/>
              <w:ind w:firstLine="482" w:firstLineChars="200"/>
              <w:rPr>
                <w:b/>
                <w:sz w:val="24"/>
                <w:szCs w:val="24"/>
              </w:rPr>
            </w:pPr>
            <w:r>
              <w:rPr>
                <w:rFonts w:hint="eastAsia"/>
                <w:b/>
                <w:sz w:val="24"/>
                <w:szCs w:val="24"/>
              </w:rPr>
              <w:t>（1）噪声源强及治理措施</w:t>
            </w:r>
          </w:p>
          <w:p>
            <w:pPr>
              <w:spacing w:line="360" w:lineRule="auto"/>
              <w:ind w:firstLine="480"/>
              <w:rPr>
                <w:sz w:val="24"/>
                <w:szCs w:val="24"/>
              </w:rPr>
            </w:pPr>
            <w:r>
              <w:rPr>
                <w:rFonts w:hint="eastAsia"/>
                <w:sz w:val="24"/>
                <w:szCs w:val="24"/>
              </w:rPr>
              <w:t>本项目</w:t>
            </w:r>
            <w:r>
              <w:rPr>
                <w:sz w:val="24"/>
                <w:szCs w:val="24"/>
              </w:rPr>
              <w:t>主要噪声源</w:t>
            </w:r>
            <w:r>
              <w:rPr>
                <w:rFonts w:hint="eastAsia"/>
                <w:sz w:val="24"/>
                <w:szCs w:val="24"/>
              </w:rPr>
              <w:t>来自各类提升泵、变频供水设备、叠螺浓缩脱水一体机等生产设施设备运行时产生的噪声，各设备噪声源强值在</w:t>
            </w:r>
            <w:r>
              <w:rPr>
                <w:sz w:val="24"/>
                <w:szCs w:val="24"/>
              </w:rPr>
              <w:t>70</w:t>
            </w:r>
            <w:r>
              <w:rPr>
                <w:rFonts w:hint="eastAsia"/>
                <w:sz w:val="24"/>
                <w:szCs w:val="24"/>
              </w:rPr>
              <w:t>~</w:t>
            </w:r>
            <w:r>
              <w:rPr>
                <w:sz w:val="24"/>
                <w:szCs w:val="24"/>
              </w:rPr>
              <w:t>90</w:t>
            </w:r>
            <w:r>
              <w:rPr>
                <w:rFonts w:hint="eastAsia"/>
                <w:sz w:val="24"/>
                <w:szCs w:val="24"/>
              </w:rPr>
              <w:t>dB（A）间。根据声源类型及源强，项目拟采取的噪声治理措施如下：</w:t>
            </w:r>
          </w:p>
          <w:p>
            <w:pPr>
              <w:spacing w:line="360" w:lineRule="auto"/>
              <w:ind w:firstLine="480"/>
              <w:rPr>
                <w:sz w:val="24"/>
                <w:szCs w:val="24"/>
              </w:rPr>
            </w:pPr>
            <w:r>
              <w:rPr>
                <w:rFonts w:hint="eastAsia"/>
                <w:sz w:val="24"/>
                <w:szCs w:val="24"/>
              </w:rPr>
              <w:t>①选用符合国家标准的低噪声设备，定期进行设备检修，保证设备正常运行。</w:t>
            </w:r>
          </w:p>
          <w:p>
            <w:pPr>
              <w:spacing w:line="360" w:lineRule="auto"/>
              <w:ind w:firstLine="480"/>
              <w:rPr>
                <w:sz w:val="24"/>
                <w:szCs w:val="24"/>
              </w:rPr>
            </w:pPr>
            <w:r>
              <w:rPr>
                <w:rFonts w:hint="eastAsia"/>
                <w:sz w:val="24"/>
                <w:szCs w:val="24"/>
              </w:rPr>
              <w:t>②合理布局，提升泵等高噪声设备设置在场地中部，充分利用距离衰减，减轻噪声对周围环境的影响。</w:t>
            </w:r>
          </w:p>
          <w:p>
            <w:pPr>
              <w:spacing w:line="360" w:lineRule="auto"/>
              <w:ind w:firstLine="480"/>
              <w:rPr>
                <w:sz w:val="24"/>
                <w:szCs w:val="24"/>
              </w:rPr>
            </w:pPr>
            <w:r>
              <w:rPr>
                <w:rFonts w:hint="eastAsia"/>
                <w:sz w:val="24"/>
                <w:szCs w:val="24"/>
              </w:rPr>
              <w:t>③产噪设备底部均采取基础减振，变频供水设备、各类提升泵设置隔声罩；脱水机设于脱水机房内部，利用墙体进行隔声。</w:t>
            </w:r>
          </w:p>
          <w:p>
            <w:pPr>
              <w:spacing w:line="360" w:lineRule="auto"/>
              <w:ind w:firstLine="480"/>
              <w:rPr>
                <w:sz w:val="24"/>
                <w:szCs w:val="24"/>
              </w:rPr>
            </w:pPr>
            <w:r>
              <w:rPr>
                <w:rFonts w:hint="eastAsia"/>
                <w:sz w:val="24"/>
                <w:szCs w:val="24"/>
              </w:rPr>
              <w:t>运营期噪声污染源源强核算结果及相关参数见下表：</w:t>
            </w:r>
          </w:p>
          <w:p>
            <w:pPr>
              <w:spacing w:line="360" w:lineRule="auto"/>
              <w:jc w:val="center"/>
              <w:rPr>
                <w:rFonts w:eastAsia="黑体"/>
                <w:szCs w:val="21"/>
              </w:rPr>
            </w:pPr>
            <w:r>
              <w:rPr>
                <w:rFonts w:eastAsia="黑体"/>
                <w:szCs w:val="21"/>
              </w:rPr>
              <w:t>表4</w:t>
            </w:r>
            <w:r>
              <w:rPr>
                <w:rFonts w:hint="eastAsia" w:eastAsia="黑体"/>
                <w:szCs w:val="21"/>
              </w:rPr>
              <w:t>-</w:t>
            </w:r>
            <w:r>
              <w:rPr>
                <w:rFonts w:eastAsia="黑体"/>
                <w:szCs w:val="21"/>
              </w:rPr>
              <w:t xml:space="preserve">8  </w:t>
            </w:r>
            <w:r>
              <w:rPr>
                <w:rFonts w:hint="eastAsia" w:eastAsia="黑体"/>
                <w:szCs w:val="21"/>
              </w:rPr>
              <w:t>噪声污染源源强核算结果及相关参数表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522"/>
              <w:gridCol w:w="730"/>
              <w:gridCol w:w="875"/>
              <w:gridCol w:w="1168"/>
              <w:gridCol w:w="1624"/>
              <w:gridCol w:w="1102"/>
              <w:gridCol w:w="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04" w:type="pct"/>
                  <w:vMerge w:val="restart"/>
                  <w:vAlign w:val="center"/>
                </w:tcPr>
                <w:p>
                  <w:pPr>
                    <w:jc w:val="center"/>
                    <w:rPr>
                      <w:rFonts w:cstheme="minorHAnsi"/>
                      <w:szCs w:val="21"/>
                    </w:rPr>
                  </w:pPr>
                  <w:r>
                    <w:rPr>
                      <w:rFonts w:hint="eastAsia" w:cstheme="minorHAnsi"/>
                      <w:szCs w:val="21"/>
                    </w:rPr>
                    <w:t>工序</w:t>
                  </w:r>
                </w:p>
              </w:tc>
              <w:tc>
                <w:tcPr>
                  <w:tcW w:w="878" w:type="pct"/>
                  <w:vMerge w:val="restart"/>
                  <w:vAlign w:val="center"/>
                </w:tcPr>
                <w:p>
                  <w:pPr>
                    <w:jc w:val="center"/>
                    <w:rPr>
                      <w:rFonts w:cstheme="minorHAnsi"/>
                      <w:szCs w:val="21"/>
                    </w:rPr>
                  </w:pPr>
                  <w:r>
                    <w:rPr>
                      <w:rFonts w:hint="eastAsia" w:cstheme="minorHAnsi"/>
                      <w:szCs w:val="21"/>
                    </w:rPr>
                    <w:t>噪声源</w:t>
                  </w:r>
                </w:p>
              </w:tc>
              <w:tc>
                <w:tcPr>
                  <w:tcW w:w="421" w:type="pct"/>
                  <w:vMerge w:val="restart"/>
                  <w:vAlign w:val="center"/>
                </w:tcPr>
                <w:p>
                  <w:pPr>
                    <w:jc w:val="center"/>
                    <w:rPr>
                      <w:rFonts w:cstheme="minorHAnsi"/>
                      <w:szCs w:val="21"/>
                    </w:rPr>
                  </w:pPr>
                  <w:r>
                    <w:rPr>
                      <w:rFonts w:cstheme="minorHAnsi"/>
                      <w:szCs w:val="21"/>
                    </w:rPr>
                    <w:t>声源类型</w:t>
                  </w:r>
                </w:p>
              </w:tc>
              <w:tc>
                <w:tcPr>
                  <w:tcW w:w="1179" w:type="pct"/>
                  <w:gridSpan w:val="2"/>
                  <w:vAlign w:val="center"/>
                </w:tcPr>
                <w:p>
                  <w:pPr>
                    <w:jc w:val="center"/>
                    <w:rPr>
                      <w:rFonts w:cstheme="minorHAnsi"/>
                      <w:szCs w:val="21"/>
                    </w:rPr>
                  </w:pPr>
                  <w:r>
                    <w:rPr>
                      <w:rFonts w:cstheme="minorHAnsi"/>
                      <w:szCs w:val="21"/>
                    </w:rPr>
                    <w:t>噪声源强</w:t>
                  </w:r>
                </w:p>
              </w:tc>
              <w:tc>
                <w:tcPr>
                  <w:tcW w:w="1573" w:type="pct"/>
                  <w:gridSpan w:val="2"/>
                  <w:vAlign w:val="center"/>
                </w:tcPr>
                <w:p>
                  <w:pPr>
                    <w:jc w:val="center"/>
                    <w:rPr>
                      <w:rFonts w:cstheme="minorHAnsi"/>
                      <w:szCs w:val="21"/>
                    </w:rPr>
                  </w:pPr>
                  <w:r>
                    <w:rPr>
                      <w:rFonts w:cstheme="minorHAnsi"/>
                      <w:szCs w:val="21"/>
                    </w:rPr>
                    <w:t>降噪措施</w:t>
                  </w:r>
                </w:p>
              </w:tc>
              <w:tc>
                <w:tcPr>
                  <w:tcW w:w="545" w:type="pct"/>
                  <w:vMerge w:val="restart"/>
                  <w:vAlign w:val="center"/>
                </w:tcPr>
                <w:p>
                  <w:pPr>
                    <w:jc w:val="center"/>
                    <w:rPr>
                      <w:rFonts w:cstheme="minorHAnsi"/>
                      <w:szCs w:val="21"/>
                    </w:rPr>
                  </w:pPr>
                  <w:r>
                    <w:rPr>
                      <w:rFonts w:cstheme="minorHAnsi"/>
                      <w:szCs w:val="21"/>
                    </w:rPr>
                    <w:t>噪声排放量</w:t>
                  </w:r>
                  <w:r>
                    <w:rPr>
                      <w:rFonts w:hint="eastAsia" w:cstheme="minorHAnsi"/>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04" w:type="pct"/>
                  <w:vMerge w:val="continue"/>
                  <w:vAlign w:val="center"/>
                </w:tcPr>
                <w:p>
                  <w:pPr>
                    <w:jc w:val="center"/>
                    <w:rPr>
                      <w:rFonts w:cstheme="minorHAnsi"/>
                      <w:szCs w:val="21"/>
                    </w:rPr>
                  </w:pPr>
                </w:p>
              </w:tc>
              <w:tc>
                <w:tcPr>
                  <w:tcW w:w="878" w:type="pct"/>
                  <w:vMerge w:val="continue"/>
                  <w:vAlign w:val="center"/>
                </w:tcPr>
                <w:p>
                  <w:pPr>
                    <w:jc w:val="center"/>
                    <w:rPr>
                      <w:rFonts w:cstheme="minorHAnsi"/>
                      <w:szCs w:val="21"/>
                    </w:rPr>
                  </w:pPr>
                </w:p>
              </w:tc>
              <w:tc>
                <w:tcPr>
                  <w:tcW w:w="421" w:type="pct"/>
                  <w:vMerge w:val="continue"/>
                  <w:vAlign w:val="center"/>
                </w:tcPr>
                <w:p>
                  <w:pPr>
                    <w:jc w:val="center"/>
                    <w:rPr>
                      <w:rFonts w:cstheme="minorHAnsi"/>
                      <w:szCs w:val="21"/>
                    </w:rPr>
                  </w:pPr>
                </w:p>
              </w:tc>
              <w:tc>
                <w:tcPr>
                  <w:tcW w:w="505" w:type="pct"/>
                  <w:vAlign w:val="center"/>
                </w:tcPr>
                <w:p>
                  <w:pPr>
                    <w:jc w:val="center"/>
                    <w:rPr>
                      <w:rFonts w:cstheme="minorHAnsi"/>
                      <w:szCs w:val="21"/>
                    </w:rPr>
                  </w:pPr>
                  <w:r>
                    <w:rPr>
                      <w:rFonts w:hint="eastAsia" w:cstheme="minorHAnsi"/>
                      <w:szCs w:val="21"/>
                    </w:rPr>
                    <w:t>核算</w:t>
                  </w:r>
                </w:p>
                <w:p>
                  <w:pPr>
                    <w:jc w:val="center"/>
                    <w:rPr>
                      <w:rFonts w:cstheme="minorHAnsi"/>
                      <w:szCs w:val="21"/>
                    </w:rPr>
                  </w:pPr>
                  <w:r>
                    <w:rPr>
                      <w:rFonts w:hint="eastAsia" w:cstheme="minorHAnsi"/>
                      <w:szCs w:val="21"/>
                    </w:rPr>
                    <w:t>方法</w:t>
                  </w:r>
                </w:p>
              </w:tc>
              <w:tc>
                <w:tcPr>
                  <w:tcW w:w="674" w:type="pct"/>
                  <w:vAlign w:val="center"/>
                </w:tcPr>
                <w:p>
                  <w:pPr>
                    <w:jc w:val="center"/>
                    <w:rPr>
                      <w:rFonts w:cstheme="minorHAnsi"/>
                      <w:szCs w:val="21"/>
                    </w:rPr>
                  </w:pPr>
                  <w:r>
                    <w:rPr>
                      <w:rFonts w:hint="eastAsia" w:cstheme="minorHAnsi"/>
                      <w:szCs w:val="21"/>
                    </w:rPr>
                    <w:t>声源值[dB(A)]</w:t>
                  </w:r>
                </w:p>
              </w:tc>
              <w:tc>
                <w:tcPr>
                  <w:tcW w:w="937" w:type="pct"/>
                  <w:vAlign w:val="center"/>
                </w:tcPr>
                <w:p>
                  <w:pPr>
                    <w:jc w:val="center"/>
                    <w:rPr>
                      <w:rFonts w:cstheme="minorHAnsi"/>
                      <w:szCs w:val="21"/>
                    </w:rPr>
                  </w:pPr>
                  <w:r>
                    <w:rPr>
                      <w:rFonts w:hint="eastAsia" w:cstheme="minorHAnsi"/>
                      <w:szCs w:val="21"/>
                    </w:rPr>
                    <w:t>工艺</w:t>
                  </w:r>
                </w:p>
              </w:tc>
              <w:tc>
                <w:tcPr>
                  <w:tcW w:w="636" w:type="pct"/>
                  <w:vAlign w:val="center"/>
                </w:tcPr>
                <w:p>
                  <w:pPr>
                    <w:jc w:val="center"/>
                    <w:rPr>
                      <w:rFonts w:cstheme="minorHAnsi"/>
                      <w:szCs w:val="21"/>
                    </w:rPr>
                  </w:pPr>
                  <w:r>
                    <w:rPr>
                      <w:rFonts w:hint="eastAsia" w:cstheme="minorHAnsi"/>
                      <w:szCs w:val="21"/>
                    </w:rPr>
                    <w:t>降噪效果[dB(A)]</w:t>
                  </w:r>
                </w:p>
              </w:tc>
              <w:tc>
                <w:tcPr>
                  <w:tcW w:w="545" w:type="pct"/>
                  <w:vMerge w:val="continue"/>
                  <w:vAlign w:val="center"/>
                </w:tcPr>
                <w:p>
                  <w:pPr>
                    <w:jc w:val="center"/>
                    <w:rPr>
                      <w:rFonts w:cstheme="minorHAns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vMerge w:val="restart"/>
                  <w:vAlign w:val="center"/>
                </w:tcPr>
                <w:p>
                  <w:pPr>
                    <w:widowControl/>
                    <w:jc w:val="center"/>
                    <w:rPr>
                      <w:rFonts w:cs="Times New Roman"/>
                      <w:bCs/>
                      <w:kern w:val="0"/>
                      <w:szCs w:val="21"/>
                    </w:rPr>
                  </w:pPr>
                  <w:r>
                    <w:rPr>
                      <w:rFonts w:hint="eastAsia" w:cs="Times New Roman"/>
                      <w:bCs/>
                      <w:kern w:val="0"/>
                      <w:szCs w:val="21"/>
                    </w:rPr>
                    <w:t>自来水生产</w:t>
                  </w:r>
                </w:p>
              </w:tc>
              <w:tc>
                <w:tcPr>
                  <w:tcW w:w="878" w:type="pct"/>
                  <w:vAlign w:val="center"/>
                </w:tcPr>
                <w:p>
                  <w:pPr>
                    <w:widowControl/>
                    <w:jc w:val="center"/>
                    <w:rPr>
                      <w:rFonts w:cs="Times New Roman"/>
                      <w:bCs/>
                      <w:kern w:val="0"/>
                      <w:szCs w:val="21"/>
                    </w:rPr>
                  </w:pPr>
                  <w:r>
                    <w:rPr>
                      <w:rFonts w:cs="Times New Roman"/>
                      <w:bCs/>
                      <w:kern w:val="0"/>
                      <w:szCs w:val="21"/>
                    </w:rPr>
                    <w:t>各类提升泵</w:t>
                  </w:r>
                </w:p>
              </w:tc>
              <w:tc>
                <w:tcPr>
                  <w:tcW w:w="421" w:type="pct"/>
                  <w:vAlign w:val="center"/>
                </w:tcPr>
                <w:p>
                  <w:pPr>
                    <w:jc w:val="center"/>
                    <w:rPr>
                      <w:rFonts w:cstheme="minorHAnsi"/>
                      <w:szCs w:val="21"/>
                    </w:rPr>
                  </w:pPr>
                  <w:r>
                    <w:rPr>
                      <w:rFonts w:cstheme="minorHAnsi"/>
                      <w:szCs w:val="21"/>
                    </w:rPr>
                    <w:t>频发</w:t>
                  </w:r>
                </w:p>
              </w:tc>
              <w:tc>
                <w:tcPr>
                  <w:tcW w:w="505" w:type="pct"/>
                  <w:vAlign w:val="center"/>
                </w:tcPr>
                <w:p>
                  <w:pPr>
                    <w:jc w:val="center"/>
                    <w:rPr>
                      <w:rFonts w:cstheme="minorHAnsi"/>
                      <w:szCs w:val="21"/>
                    </w:rPr>
                  </w:pPr>
                  <w:r>
                    <w:rPr>
                      <w:rFonts w:hint="eastAsia" w:cstheme="minorHAnsi"/>
                      <w:szCs w:val="21"/>
                    </w:rPr>
                    <w:t>类比法</w:t>
                  </w:r>
                </w:p>
              </w:tc>
              <w:tc>
                <w:tcPr>
                  <w:tcW w:w="674" w:type="pct"/>
                  <w:vAlign w:val="center"/>
                </w:tcPr>
                <w:p>
                  <w:pPr>
                    <w:jc w:val="center"/>
                    <w:rPr>
                      <w:rFonts w:cstheme="minorHAnsi"/>
                      <w:szCs w:val="21"/>
                    </w:rPr>
                  </w:pPr>
                  <w:r>
                    <w:rPr>
                      <w:rFonts w:cstheme="minorHAnsi"/>
                      <w:szCs w:val="21"/>
                    </w:rPr>
                    <w:t>90</w:t>
                  </w:r>
                </w:p>
              </w:tc>
              <w:tc>
                <w:tcPr>
                  <w:tcW w:w="937" w:type="pct"/>
                  <w:vAlign w:val="center"/>
                </w:tcPr>
                <w:p>
                  <w:pPr>
                    <w:jc w:val="center"/>
                    <w:rPr>
                      <w:rFonts w:cstheme="minorHAnsi"/>
                      <w:szCs w:val="21"/>
                    </w:rPr>
                  </w:pPr>
                  <w:r>
                    <w:rPr>
                      <w:rFonts w:cstheme="minorHAnsi"/>
                      <w:szCs w:val="21"/>
                    </w:rPr>
                    <w:t>隔声罩</w:t>
                  </w:r>
                </w:p>
              </w:tc>
              <w:tc>
                <w:tcPr>
                  <w:tcW w:w="636" w:type="pct"/>
                  <w:vAlign w:val="center"/>
                </w:tcPr>
                <w:p>
                  <w:pPr>
                    <w:jc w:val="center"/>
                    <w:rPr>
                      <w:rFonts w:cstheme="minorHAnsi"/>
                      <w:szCs w:val="21"/>
                    </w:rPr>
                  </w:pPr>
                  <w:r>
                    <w:rPr>
                      <w:rFonts w:hint="eastAsia" w:cstheme="minorHAnsi"/>
                      <w:szCs w:val="21"/>
                    </w:rPr>
                    <w:t>2</w:t>
                  </w:r>
                  <w:r>
                    <w:rPr>
                      <w:rFonts w:cstheme="minorHAnsi"/>
                      <w:szCs w:val="21"/>
                    </w:rPr>
                    <w:t>5</w:t>
                  </w:r>
                </w:p>
              </w:tc>
              <w:tc>
                <w:tcPr>
                  <w:tcW w:w="545" w:type="pct"/>
                  <w:vAlign w:val="center"/>
                </w:tcPr>
                <w:p>
                  <w:pPr>
                    <w:widowControl/>
                    <w:jc w:val="center"/>
                    <w:rPr>
                      <w:rFonts w:cs="宋体"/>
                      <w:kern w:val="0"/>
                      <w:sz w:val="22"/>
                    </w:rPr>
                  </w:pPr>
                  <w:r>
                    <w:rPr>
                      <w:sz w:val="22"/>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vMerge w:val="continue"/>
                  <w:vAlign w:val="center"/>
                </w:tcPr>
                <w:p>
                  <w:pPr>
                    <w:widowControl/>
                    <w:jc w:val="center"/>
                    <w:rPr>
                      <w:rFonts w:cs="Times New Roman"/>
                      <w:bCs/>
                      <w:kern w:val="0"/>
                      <w:szCs w:val="21"/>
                    </w:rPr>
                  </w:pPr>
                </w:p>
              </w:tc>
              <w:tc>
                <w:tcPr>
                  <w:tcW w:w="878" w:type="pct"/>
                  <w:vAlign w:val="center"/>
                </w:tcPr>
                <w:p>
                  <w:pPr>
                    <w:widowControl/>
                    <w:jc w:val="center"/>
                    <w:rPr>
                      <w:szCs w:val="21"/>
                    </w:rPr>
                  </w:pPr>
                  <w:r>
                    <w:rPr>
                      <w:rFonts w:hint="eastAsia"/>
                      <w:szCs w:val="21"/>
                    </w:rPr>
                    <w:t>变频供水设备</w:t>
                  </w:r>
                </w:p>
              </w:tc>
              <w:tc>
                <w:tcPr>
                  <w:tcW w:w="421" w:type="pct"/>
                  <w:vAlign w:val="center"/>
                </w:tcPr>
                <w:p>
                  <w:pPr>
                    <w:jc w:val="center"/>
                    <w:rPr>
                      <w:rFonts w:cstheme="minorHAnsi"/>
                      <w:szCs w:val="21"/>
                    </w:rPr>
                  </w:pPr>
                  <w:r>
                    <w:rPr>
                      <w:rFonts w:cstheme="minorHAnsi"/>
                      <w:szCs w:val="21"/>
                    </w:rPr>
                    <w:t>频发</w:t>
                  </w:r>
                </w:p>
              </w:tc>
              <w:tc>
                <w:tcPr>
                  <w:tcW w:w="505" w:type="pct"/>
                  <w:vAlign w:val="center"/>
                </w:tcPr>
                <w:p>
                  <w:pPr>
                    <w:jc w:val="center"/>
                    <w:rPr>
                      <w:rFonts w:cstheme="minorHAnsi"/>
                      <w:szCs w:val="21"/>
                    </w:rPr>
                  </w:pPr>
                  <w:r>
                    <w:rPr>
                      <w:rFonts w:hint="eastAsia" w:cstheme="minorHAnsi"/>
                      <w:szCs w:val="21"/>
                    </w:rPr>
                    <w:t>类比法</w:t>
                  </w:r>
                </w:p>
              </w:tc>
              <w:tc>
                <w:tcPr>
                  <w:tcW w:w="674" w:type="pct"/>
                  <w:vAlign w:val="center"/>
                </w:tcPr>
                <w:p>
                  <w:pPr>
                    <w:jc w:val="center"/>
                    <w:rPr>
                      <w:rFonts w:cstheme="minorHAnsi"/>
                      <w:szCs w:val="21"/>
                    </w:rPr>
                  </w:pPr>
                  <w:r>
                    <w:rPr>
                      <w:rFonts w:cstheme="minorHAnsi"/>
                      <w:szCs w:val="21"/>
                    </w:rPr>
                    <w:t>80</w:t>
                  </w:r>
                </w:p>
              </w:tc>
              <w:tc>
                <w:tcPr>
                  <w:tcW w:w="937" w:type="pct"/>
                  <w:vAlign w:val="center"/>
                </w:tcPr>
                <w:p>
                  <w:pPr>
                    <w:jc w:val="center"/>
                    <w:rPr>
                      <w:rFonts w:cstheme="minorHAnsi"/>
                      <w:szCs w:val="21"/>
                    </w:rPr>
                  </w:pPr>
                  <w:r>
                    <w:rPr>
                      <w:rFonts w:hint="eastAsia" w:cstheme="minorHAnsi"/>
                      <w:szCs w:val="21"/>
                    </w:rPr>
                    <w:t>基础</w:t>
                  </w:r>
                  <w:r>
                    <w:rPr>
                      <w:rFonts w:cstheme="minorHAnsi"/>
                      <w:szCs w:val="21"/>
                    </w:rPr>
                    <w:t>减震</w:t>
                  </w:r>
                </w:p>
              </w:tc>
              <w:tc>
                <w:tcPr>
                  <w:tcW w:w="636" w:type="pct"/>
                  <w:vAlign w:val="center"/>
                </w:tcPr>
                <w:p>
                  <w:pPr>
                    <w:jc w:val="center"/>
                    <w:rPr>
                      <w:rFonts w:cstheme="minorHAnsi"/>
                      <w:szCs w:val="21"/>
                    </w:rPr>
                  </w:pPr>
                  <w:r>
                    <w:rPr>
                      <w:rFonts w:cstheme="minorHAnsi"/>
                      <w:szCs w:val="21"/>
                    </w:rPr>
                    <w:t>10</w:t>
                  </w:r>
                </w:p>
              </w:tc>
              <w:tc>
                <w:tcPr>
                  <w:tcW w:w="545" w:type="pct"/>
                  <w:vAlign w:val="center"/>
                </w:tcPr>
                <w:p>
                  <w:pPr>
                    <w:widowControl/>
                    <w:jc w:val="center"/>
                    <w:rPr>
                      <w:sz w:val="22"/>
                    </w:rPr>
                  </w:pPr>
                  <w:r>
                    <w:rPr>
                      <w:sz w:val="22"/>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vAlign w:val="center"/>
                </w:tcPr>
                <w:p>
                  <w:pPr>
                    <w:jc w:val="center"/>
                    <w:rPr>
                      <w:rFonts w:cstheme="minorHAnsi"/>
                      <w:szCs w:val="21"/>
                    </w:rPr>
                  </w:pPr>
                  <w:r>
                    <w:rPr>
                      <w:rFonts w:hint="eastAsia" w:cstheme="minorHAnsi"/>
                      <w:szCs w:val="21"/>
                    </w:rPr>
                    <w:t>脱水</w:t>
                  </w:r>
                  <w:r>
                    <w:rPr>
                      <w:rFonts w:cstheme="minorHAnsi"/>
                      <w:szCs w:val="21"/>
                    </w:rPr>
                    <w:t>机房</w:t>
                  </w:r>
                </w:p>
              </w:tc>
              <w:tc>
                <w:tcPr>
                  <w:tcW w:w="878" w:type="pct"/>
                  <w:vAlign w:val="center"/>
                </w:tcPr>
                <w:p>
                  <w:pPr>
                    <w:jc w:val="center"/>
                    <w:rPr>
                      <w:szCs w:val="21"/>
                    </w:rPr>
                  </w:pPr>
                  <w:r>
                    <w:rPr>
                      <w:rFonts w:hint="eastAsia" w:cstheme="minorHAnsi"/>
                      <w:szCs w:val="21"/>
                    </w:rPr>
                    <w:t>叠螺浓缩脱水一体机</w:t>
                  </w:r>
                </w:p>
              </w:tc>
              <w:tc>
                <w:tcPr>
                  <w:tcW w:w="421" w:type="pct"/>
                  <w:vAlign w:val="center"/>
                </w:tcPr>
                <w:p>
                  <w:pPr>
                    <w:jc w:val="center"/>
                    <w:rPr>
                      <w:rFonts w:cstheme="minorHAnsi"/>
                      <w:szCs w:val="21"/>
                    </w:rPr>
                  </w:pPr>
                  <w:r>
                    <w:rPr>
                      <w:rFonts w:hint="eastAsia" w:cstheme="minorHAnsi"/>
                      <w:szCs w:val="21"/>
                    </w:rPr>
                    <w:t>偶发</w:t>
                  </w:r>
                </w:p>
              </w:tc>
              <w:tc>
                <w:tcPr>
                  <w:tcW w:w="505" w:type="pct"/>
                  <w:vAlign w:val="center"/>
                </w:tcPr>
                <w:p>
                  <w:pPr>
                    <w:jc w:val="center"/>
                  </w:pPr>
                  <w:r>
                    <w:rPr>
                      <w:rFonts w:hint="eastAsia" w:cstheme="minorHAnsi"/>
                      <w:szCs w:val="21"/>
                    </w:rPr>
                    <w:t>类比法</w:t>
                  </w:r>
                </w:p>
              </w:tc>
              <w:tc>
                <w:tcPr>
                  <w:tcW w:w="674" w:type="pct"/>
                  <w:vAlign w:val="center"/>
                </w:tcPr>
                <w:p>
                  <w:pPr>
                    <w:jc w:val="center"/>
                    <w:rPr>
                      <w:rFonts w:cstheme="minorHAnsi"/>
                      <w:szCs w:val="21"/>
                    </w:rPr>
                  </w:pPr>
                  <w:r>
                    <w:rPr>
                      <w:rFonts w:cstheme="minorHAnsi"/>
                      <w:szCs w:val="21"/>
                    </w:rPr>
                    <w:t>85</w:t>
                  </w:r>
                </w:p>
              </w:tc>
              <w:tc>
                <w:tcPr>
                  <w:tcW w:w="937" w:type="pct"/>
                  <w:vAlign w:val="center"/>
                </w:tcPr>
                <w:p>
                  <w:pPr>
                    <w:jc w:val="center"/>
                    <w:rPr>
                      <w:rFonts w:cstheme="minorHAnsi"/>
                      <w:szCs w:val="21"/>
                    </w:rPr>
                  </w:pPr>
                  <w:r>
                    <w:rPr>
                      <w:rFonts w:cstheme="minorHAnsi"/>
                      <w:szCs w:val="21"/>
                    </w:rPr>
                    <w:t>基础减震</w:t>
                  </w:r>
                  <w:r>
                    <w:rPr>
                      <w:rFonts w:hint="eastAsia" w:cstheme="minorHAnsi"/>
                      <w:szCs w:val="21"/>
                    </w:rPr>
                    <w:t>+厂房</w:t>
                  </w:r>
                  <w:r>
                    <w:rPr>
                      <w:rFonts w:cstheme="minorHAnsi"/>
                      <w:szCs w:val="21"/>
                    </w:rPr>
                    <w:t>隔声</w:t>
                  </w:r>
                </w:p>
              </w:tc>
              <w:tc>
                <w:tcPr>
                  <w:tcW w:w="636" w:type="pct"/>
                  <w:vAlign w:val="center"/>
                </w:tcPr>
                <w:p>
                  <w:pPr>
                    <w:jc w:val="center"/>
                  </w:pPr>
                  <w:r>
                    <w:rPr>
                      <w:rFonts w:cstheme="minorHAnsi"/>
                      <w:szCs w:val="21"/>
                    </w:rPr>
                    <w:t>20</w:t>
                  </w:r>
                </w:p>
              </w:tc>
              <w:tc>
                <w:tcPr>
                  <w:tcW w:w="545" w:type="pct"/>
                  <w:vAlign w:val="center"/>
                </w:tcPr>
                <w:p>
                  <w:pPr>
                    <w:jc w:val="center"/>
                    <w:rPr>
                      <w:sz w:val="22"/>
                    </w:rPr>
                  </w:pPr>
                  <w:r>
                    <w:rPr>
                      <w:sz w:val="22"/>
                    </w:rPr>
                    <w:t>65</w:t>
                  </w:r>
                </w:p>
              </w:tc>
            </w:tr>
          </w:tbl>
          <w:p>
            <w:pPr>
              <w:spacing w:line="360" w:lineRule="auto"/>
              <w:ind w:firstLine="482" w:firstLineChars="200"/>
              <w:rPr>
                <w:b/>
                <w:sz w:val="24"/>
                <w:szCs w:val="24"/>
              </w:rPr>
            </w:pPr>
            <w:r>
              <w:rPr>
                <w:rFonts w:hint="eastAsia"/>
                <w:b/>
                <w:sz w:val="24"/>
                <w:szCs w:val="24"/>
              </w:rPr>
              <w:t>（</w:t>
            </w:r>
            <w:r>
              <w:rPr>
                <w:b/>
                <w:sz w:val="24"/>
                <w:szCs w:val="24"/>
              </w:rPr>
              <w:t>2</w:t>
            </w:r>
            <w:r>
              <w:rPr>
                <w:rFonts w:hint="eastAsia"/>
                <w:b/>
                <w:sz w:val="24"/>
                <w:szCs w:val="24"/>
              </w:rPr>
              <w:t>）达标情况</w:t>
            </w:r>
          </w:p>
          <w:p>
            <w:pPr>
              <w:spacing w:line="360" w:lineRule="auto"/>
              <w:ind w:firstLine="480" w:firstLineChars="200"/>
              <w:rPr>
                <w:sz w:val="24"/>
                <w:szCs w:val="24"/>
              </w:rPr>
            </w:pPr>
            <w:r>
              <w:rPr>
                <w:rFonts w:hint="eastAsia"/>
                <w:sz w:val="24"/>
                <w:szCs w:val="24"/>
              </w:rPr>
              <w:t>本次评价噪声预测采用点声源衰减模式，仅考虑距离衰减值、厂界围墙屏障等因素，预测公式为：</w:t>
            </w:r>
          </w:p>
          <w:p>
            <w:pPr>
              <w:spacing w:line="360" w:lineRule="auto"/>
              <w:jc w:val="center"/>
              <w:rPr>
                <w:sz w:val="24"/>
                <w:szCs w:val="24"/>
              </w:rPr>
            </w:pPr>
            <w:r>
              <w:rPr>
                <w:position w:val="-32"/>
                <w:sz w:val="24"/>
                <w:szCs w:val="24"/>
              </w:rPr>
              <w:object>
                <v:shape id="_x0000_i1030" o:spt="75" type="#_x0000_t75" style="height:28.5pt;width:144pt;" o:ole="t" filled="f" o:preferrelative="t" stroked="f" coordsize="21600,21600">
                  <v:path/>
                  <v:fill on="f" focussize="0,0"/>
                  <v:stroke on="f" joinstyle="miter"/>
                  <v:imagedata r:id="rId21" o:title=""/>
                  <o:lock v:ext="edit" aspectratio="t"/>
                  <w10:wrap type="none"/>
                  <w10:anchorlock/>
                </v:shape>
                <o:OLEObject Type="Embed" ProgID="Equation.DSMT4" ShapeID="_x0000_i1030" DrawAspect="Content" ObjectID="_1468075729" r:id="rId20">
                  <o:LockedField>false</o:LockedField>
                </o:OLEObject>
              </w:object>
            </w:r>
          </w:p>
          <w:p>
            <w:pPr>
              <w:spacing w:line="360" w:lineRule="auto"/>
              <w:ind w:firstLine="480"/>
              <w:rPr>
                <w:sz w:val="24"/>
                <w:szCs w:val="24"/>
              </w:rPr>
            </w:pPr>
            <w:r>
              <w:rPr>
                <w:rFonts w:hint="eastAsia"/>
                <w:sz w:val="24"/>
                <w:szCs w:val="24"/>
              </w:rPr>
              <w:t>式中</w:t>
            </w:r>
            <w:r>
              <w:rPr>
                <w:sz w:val="24"/>
                <w:szCs w:val="24"/>
              </w:rPr>
              <w:t>，</w:t>
            </w:r>
            <w:r>
              <w:rPr>
                <w:i/>
                <w:sz w:val="24"/>
                <w:szCs w:val="24"/>
              </w:rPr>
              <w:t>L</w:t>
            </w:r>
            <w:r>
              <w:rPr>
                <w:i/>
                <w:sz w:val="24"/>
                <w:szCs w:val="24"/>
                <w:vertAlign w:val="subscript"/>
              </w:rPr>
              <w:t>A</w:t>
            </w:r>
            <w:r>
              <w:rPr>
                <w:rFonts w:hint="eastAsia"/>
                <w:sz w:val="24"/>
                <w:szCs w:val="24"/>
                <w:vertAlign w:val="subscript"/>
              </w:rPr>
              <w:t>（</w:t>
            </w:r>
            <w:r>
              <w:rPr>
                <w:i/>
                <w:sz w:val="24"/>
                <w:szCs w:val="24"/>
                <w:vertAlign w:val="subscript"/>
              </w:rPr>
              <w:t>r</w:t>
            </w:r>
            <w:r>
              <w:rPr>
                <w:sz w:val="24"/>
                <w:szCs w:val="24"/>
                <w:vertAlign w:val="subscript"/>
              </w:rPr>
              <w:t>）</w:t>
            </w:r>
            <w:r>
              <w:rPr>
                <w:sz w:val="24"/>
                <w:szCs w:val="24"/>
              </w:rPr>
              <w:t>——</w:t>
            </w:r>
            <w:r>
              <w:rPr>
                <w:rFonts w:hint="eastAsia"/>
                <w:sz w:val="24"/>
                <w:szCs w:val="24"/>
              </w:rPr>
              <w:t>距</w:t>
            </w:r>
            <w:r>
              <w:rPr>
                <w:sz w:val="24"/>
                <w:szCs w:val="24"/>
              </w:rPr>
              <w:t>声源</w:t>
            </w:r>
            <w:r>
              <w:rPr>
                <w:i/>
                <w:sz w:val="24"/>
                <w:szCs w:val="24"/>
              </w:rPr>
              <w:t>r</w:t>
            </w:r>
            <w:r>
              <w:rPr>
                <w:sz w:val="24"/>
                <w:szCs w:val="24"/>
              </w:rPr>
              <w:t>米处的</w:t>
            </w:r>
            <w:r>
              <w:rPr>
                <w:rFonts w:hint="eastAsia"/>
                <w:sz w:val="24"/>
                <w:szCs w:val="24"/>
              </w:rPr>
              <w:t>A</w:t>
            </w:r>
            <w:r>
              <w:rPr>
                <w:sz w:val="24"/>
                <w:szCs w:val="24"/>
              </w:rPr>
              <w:t>声级</w:t>
            </w:r>
            <w:r>
              <w:rPr>
                <w:rFonts w:hint="eastAsia"/>
                <w:sz w:val="24"/>
                <w:szCs w:val="24"/>
              </w:rPr>
              <w:t>，</w:t>
            </w:r>
            <w:r>
              <w:rPr>
                <w:sz w:val="24"/>
                <w:szCs w:val="24"/>
              </w:rPr>
              <w:t>dB（A）；</w:t>
            </w:r>
          </w:p>
          <w:p>
            <w:pPr>
              <w:spacing w:line="360" w:lineRule="auto"/>
              <w:ind w:firstLine="1200" w:firstLineChars="500"/>
              <w:rPr>
                <w:sz w:val="24"/>
                <w:szCs w:val="24"/>
              </w:rPr>
            </w:pPr>
            <w:r>
              <w:rPr>
                <w:i/>
                <w:sz w:val="24"/>
                <w:szCs w:val="24"/>
              </w:rPr>
              <w:t>L</w:t>
            </w:r>
            <w:r>
              <w:rPr>
                <w:i/>
                <w:sz w:val="24"/>
                <w:szCs w:val="24"/>
                <w:vertAlign w:val="subscript"/>
              </w:rPr>
              <w:t>A</w:t>
            </w:r>
            <w:r>
              <w:rPr>
                <w:sz w:val="24"/>
                <w:szCs w:val="24"/>
                <w:vertAlign w:val="subscript"/>
              </w:rPr>
              <w:t>（</w:t>
            </w:r>
            <w:r>
              <w:rPr>
                <w:i/>
                <w:sz w:val="24"/>
                <w:szCs w:val="24"/>
                <w:vertAlign w:val="subscript"/>
              </w:rPr>
              <w:t>r0</w:t>
            </w:r>
            <w:r>
              <w:rPr>
                <w:rFonts w:hint="eastAsia"/>
                <w:sz w:val="24"/>
                <w:szCs w:val="24"/>
                <w:vertAlign w:val="subscript"/>
              </w:rPr>
              <w:t>）</w:t>
            </w:r>
            <w:r>
              <w:rPr>
                <w:sz w:val="24"/>
                <w:szCs w:val="24"/>
              </w:rPr>
              <w:t>——</w:t>
            </w:r>
            <w:r>
              <w:rPr>
                <w:rFonts w:hint="eastAsia"/>
                <w:sz w:val="24"/>
                <w:szCs w:val="24"/>
              </w:rPr>
              <w:t>距声源</w:t>
            </w:r>
            <w:r>
              <w:rPr>
                <w:i/>
                <w:sz w:val="24"/>
                <w:szCs w:val="24"/>
              </w:rPr>
              <w:t>r</w:t>
            </w:r>
            <w:r>
              <w:rPr>
                <w:i/>
                <w:sz w:val="24"/>
                <w:szCs w:val="24"/>
                <w:vertAlign w:val="subscript"/>
              </w:rPr>
              <w:t>0</w:t>
            </w:r>
            <w:r>
              <w:rPr>
                <w:rFonts w:hint="eastAsia"/>
                <w:sz w:val="24"/>
                <w:szCs w:val="24"/>
              </w:rPr>
              <w:t>米</w:t>
            </w:r>
            <w:r>
              <w:rPr>
                <w:sz w:val="24"/>
                <w:szCs w:val="24"/>
              </w:rPr>
              <w:t>处的A声级，dB（A）；</w:t>
            </w:r>
          </w:p>
          <w:p>
            <w:pPr>
              <w:spacing w:line="360" w:lineRule="auto"/>
              <w:ind w:firstLine="1200" w:firstLineChars="500"/>
              <w:rPr>
                <w:sz w:val="24"/>
                <w:szCs w:val="24"/>
              </w:rPr>
            </w:pPr>
            <w:r>
              <w:rPr>
                <w:i/>
                <w:sz w:val="24"/>
                <w:szCs w:val="24"/>
              </w:rPr>
              <w:t>r</w:t>
            </w:r>
            <w:r>
              <w:rPr>
                <w:sz w:val="24"/>
                <w:szCs w:val="24"/>
              </w:rPr>
              <w:t>、</w:t>
            </w:r>
            <w:r>
              <w:rPr>
                <w:i/>
                <w:sz w:val="24"/>
                <w:szCs w:val="24"/>
              </w:rPr>
              <w:t>r</w:t>
            </w:r>
            <w:r>
              <w:rPr>
                <w:i/>
                <w:sz w:val="24"/>
                <w:szCs w:val="24"/>
                <w:vertAlign w:val="subscript"/>
              </w:rPr>
              <w:t>0</w:t>
            </w:r>
            <w:r>
              <w:rPr>
                <w:sz w:val="24"/>
                <w:szCs w:val="24"/>
              </w:rPr>
              <w:t xml:space="preserve"> ——</w:t>
            </w:r>
            <w:r>
              <w:rPr>
                <w:rFonts w:hint="eastAsia"/>
                <w:sz w:val="24"/>
                <w:szCs w:val="24"/>
              </w:rPr>
              <w:t>距点声源</w:t>
            </w:r>
            <w:r>
              <w:rPr>
                <w:sz w:val="24"/>
                <w:szCs w:val="24"/>
              </w:rPr>
              <w:t>的距离，m；</w:t>
            </w:r>
          </w:p>
          <w:p>
            <w:pPr>
              <w:spacing w:line="360" w:lineRule="auto"/>
              <w:ind w:firstLine="1200" w:firstLineChars="500"/>
              <w:rPr>
                <w:sz w:val="24"/>
                <w:szCs w:val="24"/>
              </w:rPr>
            </w:pPr>
            <w:r>
              <w:rPr>
                <w:sz w:val="24"/>
                <w:szCs w:val="24"/>
              </w:rPr>
              <w:t>Δ</w:t>
            </w:r>
            <w:r>
              <w:rPr>
                <w:i/>
                <w:sz w:val="24"/>
                <w:szCs w:val="24"/>
              </w:rPr>
              <w:t>L</w:t>
            </w:r>
            <w:r>
              <w:rPr>
                <w:sz w:val="24"/>
                <w:szCs w:val="24"/>
              </w:rPr>
              <w:t>——</w:t>
            </w:r>
            <w:r>
              <w:rPr>
                <w:rFonts w:hint="eastAsia"/>
                <w:sz w:val="24"/>
                <w:szCs w:val="24"/>
              </w:rPr>
              <w:t>场界</w:t>
            </w:r>
            <w:r>
              <w:rPr>
                <w:sz w:val="24"/>
                <w:szCs w:val="24"/>
              </w:rPr>
              <w:t>围墙引起的衰减量。</w:t>
            </w:r>
          </w:p>
          <w:p>
            <w:pPr>
              <w:spacing w:line="360" w:lineRule="auto"/>
              <w:ind w:firstLine="480"/>
              <w:rPr>
                <w:sz w:val="24"/>
                <w:szCs w:val="24"/>
              </w:rPr>
            </w:pPr>
            <w:r>
              <w:rPr>
                <w:rFonts w:hint="eastAsia"/>
                <w:sz w:val="24"/>
                <w:szCs w:val="24"/>
              </w:rPr>
              <w:t>由上式预测单个点声源在评价点的噪声贡献值，采用噪声</w:t>
            </w:r>
            <w:r>
              <w:rPr>
                <w:sz w:val="24"/>
                <w:szCs w:val="24"/>
              </w:rPr>
              <w:t>合成</w:t>
            </w:r>
            <w:r>
              <w:rPr>
                <w:rFonts w:hint="eastAsia"/>
                <w:sz w:val="24"/>
                <w:szCs w:val="24"/>
              </w:rPr>
              <w:t>公式计算各点声源在该处的噪声合成值，计算公式如下：</w:t>
            </w:r>
          </w:p>
          <w:p>
            <w:pPr>
              <w:spacing w:line="360" w:lineRule="auto"/>
              <w:ind w:firstLine="480"/>
              <w:jc w:val="center"/>
              <w:rPr>
                <w:sz w:val="24"/>
                <w:szCs w:val="24"/>
              </w:rPr>
            </w:pPr>
            <w:r>
              <w:rPr>
                <w:position w:val="-28"/>
                <w:sz w:val="24"/>
                <w:szCs w:val="24"/>
              </w:rPr>
              <w:object>
                <v:shape id="_x0000_i1031" o:spt="75" type="#_x0000_t75" style="height:28.5pt;width:79.5pt;" o:ole="t" filled="f" o:preferrelative="t" stroked="f" coordsize="21600,21600">
                  <v:path/>
                  <v:fill on="f" focussize="0,0"/>
                  <v:stroke on="f" joinstyle="miter"/>
                  <v:imagedata r:id="rId23" o:title=""/>
                  <o:lock v:ext="edit" aspectratio="t"/>
                  <w10:wrap type="none"/>
                  <w10:anchorlock/>
                </v:shape>
                <o:OLEObject Type="Embed" ProgID="Equation.DSMT4" ShapeID="_x0000_i1031" DrawAspect="Content" ObjectID="_1468075730" r:id="rId22">
                  <o:LockedField>false</o:LockedField>
                </o:OLEObject>
              </w:object>
            </w:r>
          </w:p>
          <w:p>
            <w:pPr>
              <w:spacing w:line="360" w:lineRule="auto"/>
              <w:ind w:firstLine="480"/>
              <w:rPr>
                <w:sz w:val="24"/>
                <w:szCs w:val="24"/>
              </w:rPr>
            </w:pPr>
            <w:r>
              <w:rPr>
                <w:rFonts w:hint="eastAsia"/>
                <w:sz w:val="24"/>
                <w:szCs w:val="24"/>
              </w:rPr>
              <w:t>式中</w:t>
            </w:r>
            <w:r>
              <w:rPr>
                <w:sz w:val="24"/>
                <w:szCs w:val="24"/>
              </w:rPr>
              <w:t>，</w:t>
            </w:r>
            <w:r>
              <w:rPr>
                <w:rFonts w:hint="eastAsia"/>
                <w:i/>
                <w:sz w:val="24"/>
                <w:szCs w:val="24"/>
              </w:rPr>
              <w:t>L</w:t>
            </w:r>
            <w:r>
              <w:rPr>
                <w:sz w:val="24"/>
                <w:szCs w:val="24"/>
              </w:rPr>
              <w:t>——</w:t>
            </w:r>
            <w:r>
              <w:rPr>
                <w:rFonts w:hint="eastAsia"/>
                <w:sz w:val="24"/>
                <w:szCs w:val="24"/>
              </w:rPr>
              <w:t>为</w:t>
            </w:r>
            <w:r>
              <w:rPr>
                <w:sz w:val="24"/>
                <w:szCs w:val="24"/>
              </w:rPr>
              <w:t>叠加后总</w:t>
            </w:r>
            <w:r>
              <w:rPr>
                <w:rFonts w:hint="eastAsia"/>
                <w:sz w:val="24"/>
                <w:szCs w:val="24"/>
              </w:rPr>
              <w:t>的</w:t>
            </w:r>
            <w:r>
              <w:rPr>
                <w:sz w:val="24"/>
                <w:szCs w:val="24"/>
              </w:rPr>
              <w:t>声压级，</w:t>
            </w:r>
            <w:r>
              <w:rPr>
                <w:rFonts w:hint="eastAsia"/>
                <w:sz w:val="24"/>
                <w:szCs w:val="24"/>
              </w:rPr>
              <w:t>dB</w:t>
            </w:r>
            <w:r>
              <w:rPr>
                <w:sz w:val="24"/>
                <w:szCs w:val="24"/>
              </w:rPr>
              <w:t>（A）；</w:t>
            </w:r>
          </w:p>
          <w:p>
            <w:pPr>
              <w:spacing w:line="360" w:lineRule="auto"/>
              <w:ind w:firstLine="1200" w:firstLineChars="500"/>
              <w:rPr>
                <w:sz w:val="24"/>
                <w:szCs w:val="24"/>
              </w:rPr>
            </w:pPr>
            <w:r>
              <w:rPr>
                <w:i/>
                <w:sz w:val="24"/>
                <w:szCs w:val="24"/>
              </w:rPr>
              <w:t>L</w:t>
            </w:r>
            <w:r>
              <w:rPr>
                <w:i/>
                <w:sz w:val="24"/>
                <w:szCs w:val="24"/>
                <w:vertAlign w:val="subscript"/>
              </w:rPr>
              <w:t>i</w:t>
            </w:r>
            <w:r>
              <w:rPr>
                <w:sz w:val="24"/>
                <w:szCs w:val="24"/>
              </w:rPr>
              <w:t>——</w:t>
            </w:r>
            <w:r>
              <w:rPr>
                <w:rFonts w:hint="eastAsia"/>
                <w:sz w:val="24"/>
                <w:szCs w:val="24"/>
              </w:rPr>
              <w:t>各</w:t>
            </w:r>
            <w:r>
              <w:rPr>
                <w:sz w:val="24"/>
                <w:szCs w:val="24"/>
              </w:rPr>
              <w:t>点声源的声压级，dB（A）；</w:t>
            </w:r>
          </w:p>
          <w:p>
            <w:pPr>
              <w:spacing w:line="360" w:lineRule="auto"/>
              <w:ind w:firstLine="1200" w:firstLineChars="500"/>
              <w:rPr>
                <w:sz w:val="24"/>
                <w:szCs w:val="24"/>
              </w:rPr>
            </w:pPr>
            <w:r>
              <w:rPr>
                <w:i/>
                <w:sz w:val="24"/>
                <w:szCs w:val="24"/>
              </w:rPr>
              <w:t>n</w:t>
            </w:r>
            <w:r>
              <w:rPr>
                <w:sz w:val="24"/>
                <w:szCs w:val="24"/>
              </w:rPr>
              <w:t>——</w:t>
            </w:r>
            <w:r>
              <w:rPr>
                <w:rFonts w:hint="eastAsia"/>
                <w:sz w:val="24"/>
                <w:szCs w:val="24"/>
              </w:rPr>
              <w:t>点声源</w:t>
            </w:r>
            <w:r>
              <w:rPr>
                <w:sz w:val="24"/>
                <w:szCs w:val="24"/>
              </w:rPr>
              <w:t>个数。</w:t>
            </w:r>
          </w:p>
          <w:p>
            <w:pPr>
              <w:spacing w:line="360" w:lineRule="auto"/>
              <w:ind w:firstLine="480" w:firstLineChars="200"/>
              <w:rPr>
                <w:sz w:val="24"/>
                <w:szCs w:val="24"/>
              </w:rPr>
            </w:pPr>
            <w:r>
              <w:rPr>
                <w:rFonts w:hint="eastAsia"/>
                <w:sz w:val="24"/>
                <w:szCs w:val="24"/>
              </w:rPr>
              <w:t>本次环评厂界以贡献值作为评价量，按照上述模型计算运营期噪声影响预测结果见表</w:t>
            </w:r>
            <w:r>
              <w:rPr>
                <w:sz w:val="24"/>
                <w:szCs w:val="24"/>
              </w:rPr>
              <w:t>4-9</w:t>
            </w:r>
            <w:r>
              <w:rPr>
                <w:rFonts w:hint="eastAsia"/>
                <w:sz w:val="24"/>
                <w:szCs w:val="24"/>
              </w:rPr>
              <w:t>。</w:t>
            </w:r>
          </w:p>
          <w:p>
            <w:pPr>
              <w:spacing w:line="360" w:lineRule="auto"/>
              <w:jc w:val="center"/>
              <w:rPr>
                <w:rFonts w:eastAsia="黑体" w:cs="Times New Roman"/>
                <w:color w:val="auto"/>
                <w:szCs w:val="21"/>
              </w:rPr>
            </w:pPr>
            <w:r>
              <w:rPr>
                <w:rFonts w:eastAsia="黑体" w:cs="Times New Roman"/>
                <w:color w:val="auto"/>
                <w:szCs w:val="21"/>
              </w:rPr>
              <w:t>表4</w:t>
            </w:r>
            <w:r>
              <w:rPr>
                <w:rFonts w:hint="eastAsia" w:eastAsia="黑体" w:cs="Times New Roman"/>
                <w:color w:val="auto"/>
                <w:szCs w:val="21"/>
              </w:rPr>
              <w:t>-</w:t>
            </w:r>
            <w:r>
              <w:rPr>
                <w:rFonts w:eastAsia="黑体" w:cs="Times New Roman"/>
                <w:color w:val="auto"/>
                <w:szCs w:val="21"/>
              </w:rPr>
              <w:t xml:space="preserve">9  </w:t>
            </w:r>
            <w:r>
              <w:rPr>
                <w:rFonts w:hint="eastAsia" w:eastAsia="黑体" w:cs="Times New Roman"/>
                <w:color w:val="auto"/>
                <w:szCs w:val="21"/>
              </w:rPr>
              <w:t>运营期</w:t>
            </w:r>
            <w:r>
              <w:rPr>
                <w:rFonts w:eastAsia="黑体" w:cs="Times New Roman"/>
                <w:color w:val="auto"/>
                <w:szCs w:val="21"/>
              </w:rPr>
              <w:t>噪声预测结果</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426"/>
              <w:gridCol w:w="1134"/>
              <w:gridCol w:w="853"/>
              <w:gridCol w:w="853"/>
              <w:gridCol w:w="893"/>
              <w:gridCol w:w="894"/>
              <w:gridCol w:w="964"/>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99" w:type="pct"/>
                  <w:vMerge w:val="restart"/>
                  <w:vAlign w:val="center"/>
                </w:tcPr>
                <w:p>
                  <w:pPr>
                    <w:jc w:val="center"/>
                    <w:rPr>
                      <w:rFonts w:cs="Times New Roman"/>
                      <w:color w:val="auto"/>
                      <w:szCs w:val="21"/>
                    </w:rPr>
                  </w:pPr>
                  <w:r>
                    <w:rPr>
                      <w:rFonts w:hint="eastAsia" w:cs="Times New Roman"/>
                      <w:color w:val="auto"/>
                      <w:szCs w:val="21"/>
                    </w:rPr>
                    <w:t>编号</w:t>
                  </w:r>
                </w:p>
              </w:tc>
              <w:tc>
                <w:tcPr>
                  <w:tcW w:w="823" w:type="pct"/>
                  <w:vMerge w:val="restart"/>
                  <w:vAlign w:val="center"/>
                </w:tcPr>
                <w:p>
                  <w:pPr>
                    <w:jc w:val="center"/>
                    <w:rPr>
                      <w:rFonts w:cs="Times New Roman"/>
                      <w:color w:val="auto"/>
                      <w:szCs w:val="21"/>
                    </w:rPr>
                  </w:pPr>
                  <w:r>
                    <w:rPr>
                      <w:rFonts w:hint="eastAsia" w:cs="Times New Roman"/>
                      <w:color w:val="auto"/>
                      <w:szCs w:val="21"/>
                    </w:rPr>
                    <w:t>预测点位置</w:t>
                  </w:r>
                </w:p>
              </w:tc>
              <w:tc>
                <w:tcPr>
                  <w:tcW w:w="654" w:type="pct"/>
                  <w:vMerge w:val="restart"/>
                  <w:vAlign w:val="center"/>
                </w:tcPr>
                <w:p>
                  <w:pPr>
                    <w:jc w:val="center"/>
                    <w:rPr>
                      <w:rFonts w:cs="Times New Roman"/>
                      <w:color w:val="auto"/>
                      <w:szCs w:val="21"/>
                    </w:rPr>
                  </w:pPr>
                  <w:r>
                    <w:rPr>
                      <w:rFonts w:hint="eastAsia" w:cs="Times New Roman"/>
                      <w:color w:val="auto"/>
                      <w:szCs w:val="21"/>
                    </w:rPr>
                    <w:t>离源距离（m）</w:t>
                  </w:r>
                </w:p>
              </w:tc>
              <w:tc>
                <w:tcPr>
                  <w:tcW w:w="984" w:type="pct"/>
                  <w:gridSpan w:val="2"/>
                  <w:vAlign w:val="center"/>
                </w:tcPr>
                <w:p>
                  <w:pPr>
                    <w:jc w:val="center"/>
                    <w:rPr>
                      <w:rFonts w:cs="Times New Roman"/>
                      <w:color w:val="auto"/>
                      <w:szCs w:val="21"/>
                    </w:rPr>
                  </w:pPr>
                  <w:r>
                    <w:rPr>
                      <w:rFonts w:hint="eastAsia" w:cs="Times New Roman"/>
                      <w:color w:val="auto"/>
                      <w:szCs w:val="21"/>
                    </w:rPr>
                    <w:t>贡献值</w:t>
                  </w:r>
                </w:p>
                <w:p>
                  <w:pPr>
                    <w:jc w:val="center"/>
                    <w:rPr>
                      <w:rFonts w:cs="Times New Roman"/>
                      <w:color w:val="auto"/>
                      <w:szCs w:val="21"/>
                    </w:rPr>
                  </w:pPr>
                  <w:r>
                    <w:rPr>
                      <w:rFonts w:hint="eastAsia" w:eastAsia="仿宋" w:cs="Times New Roman"/>
                      <w:color w:val="auto"/>
                      <w:szCs w:val="21"/>
                    </w:rPr>
                    <w:t>[</w:t>
                  </w:r>
                  <w:r>
                    <w:rPr>
                      <w:rFonts w:cs="Times New Roman"/>
                      <w:color w:val="auto"/>
                      <w:szCs w:val="21"/>
                    </w:rPr>
                    <w:t>dB（A）</w:t>
                  </w:r>
                  <w:r>
                    <w:rPr>
                      <w:rFonts w:hint="eastAsia" w:eastAsia="仿宋" w:cs="Times New Roman"/>
                      <w:color w:val="auto"/>
                      <w:szCs w:val="21"/>
                    </w:rPr>
                    <w:t>]</w:t>
                  </w:r>
                </w:p>
              </w:tc>
              <w:tc>
                <w:tcPr>
                  <w:tcW w:w="1031" w:type="pct"/>
                  <w:gridSpan w:val="2"/>
                  <w:vAlign w:val="center"/>
                </w:tcPr>
                <w:p>
                  <w:pPr>
                    <w:jc w:val="center"/>
                    <w:rPr>
                      <w:rFonts w:cs="Times New Roman"/>
                      <w:color w:val="auto"/>
                      <w:szCs w:val="21"/>
                    </w:rPr>
                  </w:pPr>
                  <w:r>
                    <w:rPr>
                      <w:rFonts w:hint="eastAsia" w:cs="Times New Roman"/>
                      <w:color w:val="auto"/>
                      <w:szCs w:val="21"/>
                    </w:rPr>
                    <w:t>标准值</w:t>
                  </w:r>
                </w:p>
                <w:p>
                  <w:pPr>
                    <w:jc w:val="center"/>
                    <w:rPr>
                      <w:rFonts w:cs="Times New Roman"/>
                      <w:color w:val="auto"/>
                      <w:szCs w:val="21"/>
                    </w:rPr>
                  </w:pPr>
                  <w:r>
                    <w:rPr>
                      <w:rFonts w:hint="eastAsia" w:eastAsia="仿宋" w:cs="Times New Roman"/>
                      <w:color w:val="auto"/>
                      <w:szCs w:val="21"/>
                    </w:rPr>
                    <w:t>[</w:t>
                  </w:r>
                  <w:r>
                    <w:rPr>
                      <w:rFonts w:cs="Times New Roman"/>
                      <w:color w:val="auto"/>
                      <w:szCs w:val="21"/>
                    </w:rPr>
                    <w:t>dB（A）</w:t>
                  </w:r>
                  <w:r>
                    <w:rPr>
                      <w:rFonts w:hint="eastAsia" w:eastAsia="仿宋" w:cs="Times New Roman"/>
                      <w:color w:val="auto"/>
                      <w:szCs w:val="21"/>
                    </w:rPr>
                    <w:t>]</w:t>
                  </w:r>
                </w:p>
              </w:tc>
              <w:tc>
                <w:tcPr>
                  <w:tcW w:w="1109" w:type="pct"/>
                  <w:gridSpan w:val="2"/>
                  <w:vAlign w:val="center"/>
                </w:tcPr>
                <w:p>
                  <w:pPr>
                    <w:jc w:val="center"/>
                    <w:rPr>
                      <w:rFonts w:cs="Times New Roman"/>
                      <w:color w:val="auto"/>
                      <w:szCs w:val="21"/>
                    </w:rPr>
                  </w:pPr>
                  <w:r>
                    <w:rPr>
                      <w:rFonts w:hint="eastAsia" w:cs="Times New Roman"/>
                      <w:color w:val="auto"/>
                      <w:szCs w:val="21"/>
                    </w:rPr>
                    <w:t>预测</w:t>
                  </w:r>
                  <w:r>
                    <w:rPr>
                      <w:rFonts w:cs="Times New Roman"/>
                      <w:color w:val="auto"/>
                      <w:szCs w:val="21"/>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vMerge w:val="continue"/>
                  <w:vAlign w:val="center"/>
                </w:tcPr>
                <w:p>
                  <w:pPr>
                    <w:jc w:val="center"/>
                    <w:rPr>
                      <w:rFonts w:cs="Times New Roman"/>
                      <w:color w:val="auto"/>
                      <w:szCs w:val="21"/>
                    </w:rPr>
                  </w:pPr>
                </w:p>
              </w:tc>
              <w:tc>
                <w:tcPr>
                  <w:tcW w:w="823" w:type="pct"/>
                  <w:vMerge w:val="continue"/>
                  <w:vAlign w:val="center"/>
                </w:tcPr>
                <w:p>
                  <w:pPr>
                    <w:jc w:val="center"/>
                    <w:rPr>
                      <w:rFonts w:cs="Times New Roman"/>
                      <w:color w:val="auto"/>
                      <w:szCs w:val="21"/>
                    </w:rPr>
                  </w:pPr>
                </w:p>
              </w:tc>
              <w:tc>
                <w:tcPr>
                  <w:tcW w:w="654" w:type="pct"/>
                  <w:vMerge w:val="continue"/>
                  <w:vAlign w:val="center"/>
                </w:tcPr>
                <w:p>
                  <w:pPr>
                    <w:jc w:val="center"/>
                    <w:rPr>
                      <w:rFonts w:cs="Times New Roman"/>
                      <w:color w:val="auto"/>
                      <w:szCs w:val="21"/>
                    </w:rPr>
                  </w:pPr>
                </w:p>
              </w:tc>
              <w:tc>
                <w:tcPr>
                  <w:tcW w:w="492" w:type="pct"/>
                  <w:vAlign w:val="center"/>
                </w:tcPr>
                <w:p>
                  <w:pPr>
                    <w:jc w:val="center"/>
                    <w:rPr>
                      <w:rFonts w:cs="Times New Roman"/>
                      <w:color w:val="auto"/>
                      <w:szCs w:val="21"/>
                    </w:rPr>
                  </w:pPr>
                  <w:r>
                    <w:rPr>
                      <w:rFonts w:hint="eastAsia" w:cs="Times New Roman"/>
                      <w:color w:val="auto"/>
                      <w:szCs w:val="21"/>
                    </w:rPr>
                    <w:t>昼间</w:t>
                  </w:r>
                </w:p>
              </w:tc>
              <w:tc>
                <w:tcPr>
                  <w:tcW w:w="492" w:type="pct"/>
                  <w:vAlign w:val="center"/>
                </w:tcPr>
                <w:p>
                  <w:pPr>
                    <w:jc w:val="center"/>
                    <w:rPr>
                      <w:rFonts w:cs="Times New Roman"/>
                      <w:color w:val="auto"/>
                      <w:szCs w:val="21"/>
                    </w:rPr>
                  </w:pPr>
                  <w:r>
                    <w:rPr>
                      <w:rFonts w:hint="eastAsia" w:cs="Times New Roman"/>
                      <w:color w:val="auto"/>
                      <w:szCs w:val="21"/>
                    </w:rPr>
                    <w:t>夜间</w:t>
                  </w:r>
                </w:p>
              </w:tc>
              <w:tc>
                <w:tcPr>
                  <w:tcW w:w="515" w:type="pct"/>
                  <w:vAlign w:val="center"/>
                </w:tcPr>
                <w:p>
                  <w:pPr>
                    <w:jc w:val="center"/>
                    <w:rPr>
                      <w:rFonts w:cs="Times New Roman"/>
                      <w:color w:val="auto"/>
                      <w:szCs w:val="21"/>
                    </w:rPr>
                  </w:pPr>
                  <w:r>
                    <w:rPr>
                      <w:rFonts w:hint="eastAsia" w:cs="Times New Roman"/>
                      <w:color w:val="auto"/>
                      <w:szCs w:val="21"/>
                    </w:rPr>
                    <w:t>昼间</w:t>
                  </w:r>
                </w:p>
              </w:tc>
              <w:tc>
                <w:tcPr>
                  <w:tcW w:w="516" w:type="pct"/>
                  <w:vAlign w:val="center"/>
                </w:tcPr>
                <w:p>
                  <w:pPr>
                    <w:jc w:val="center"/>
                    <w:rPr>
                      <w:rFonts w:cs="Times New Roman"/>
                      <w:color w:val="auto"/>
                      <w:szCs w:val="21"/>
                    </w:rPr>
                  </w:pPr>
                  <w:r>
                    <w:rPr>
                      <w:rFonts w:hint="eastAsia" w:cs="Times New Roman"/>
                      <w:color w:val="auto"/>
                      <w:szCs w:val="21"/>
                    </w:rPr>
                    <w:t>夜间</w:t>
                  </w:r>
                </w:p>
              </w:tc>
              <w:tc>
                <w:tcPr>
                  <w:tcW w:w="556" w:type="pct"/>
                  <w:vAlign w:val="center"/>
                </w:tcPr>
                <w:p>
                  <w:pPr>
                    <w:jc w:val="center"/>
                    <w:rPr>
                      <w:rFonts w:cs="Times New Roman"/>
                      <w:color w:val="auto"/>
                      <w:szCs w:val="21"/>
                    </w:rPr>
                  </w:pPr>
                  <w:r>
                    <w:rPr>
                      <w:rFonts w:hint="eastAsia" w:cs="Times New Roman"/>
                      <w:color w:val="auto"/>
                      <w:szCs w:val="21"/>
                    </w:rPr>
                    <w:t>昼间</w:t>
                  </w:r>
                </w:p>
              </w:tc>
              <w:tc>
                <w:tcPr>
                  <w:tcW w:w="553" w:type="pct"/>
                  <w:vAlign w:val="center"/>
                </w:tcPr>
                <w:p>
                  <w:pPr>
                    <w:jc w:val="center"/>
                    <w:rPr>
                      <w:rFonts w:cs="Times New Roman"/>
                      <w:color w:val="auto"/>
                      <w:szCs w:val="21"/>
                    </w:rPr>
                  </w:pPr>
                  <w:r>
                    <w:rPr>
                      <w:rFonts w:hint="eastAsia" w:cs="Times New Roman"/>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vAlign w:val="center"/>
                </w:tcPr>
                <w:p>
                  <w:pPr>
                    <w:jc w:val="center"/>
                    <w:rPr>
                      <w:rFonts w:cs="Times New Roman"/>
                      <w:color w:val="auto"/>
                      <w:szCs w:val="21"/>
                    </w:rPr>
                  </w:pPr>
                  <w:r>
                    <w:rPr>
                      <w:rFonts w:hint="eastAsia" w:cs="Times New Roman"/>
                      <w:color w:val="auto"/>
                      <w:szCs w:val="21"/>
                    </w:rPr>
                    <w:t>1</w:t>
                  </w:r>
                  <w:r>
                    <w:rPr>
                      <w:rFonts w:cs="Times New Roman"/>
                      <w:color w:val="auto"/>
                      <w:szCs w:val="21"/>
                    </w:rPr>
                    <w:t>#</w:t>
                  </w:r>
                </w:p>
              </w:tc>
              <w:tc>
                <w:tcPr>
                  <w:tcW w:w="823" w:type="pct"/>
                  <w:vAlign w:val="center"/>
                </w:tcPr>
                <w:p>
                  <w:pPr>
                    <w:jc w:val="center"/>
                    <w:rPr>
                      <w:rFonts w:cs="Times New Roman"/>
                      <w:color w:val="auto"/>
                      <w:szCs w:val="21"/>
                    </w:rPr>
                  </w:pPr>
                  <w:r>
                    <w:rPr>
                      <w:rFonts w:hint="eastAsia" w:cs="Times New Roman"/>
                      <w:color w:val="auto"/>
                      <w:szCs w:val="21"/>
                    </w:rPr>
                    <w:t>北侧</w:t>
                  </w:r>
                  <w:r>
                    <w:rPr>
                      <w:rFonts w:cs="Times New Roman"/>
                      <w:color w:val="auto"/>
                      <w:szCs w:val="21"/>
                    </w:rPr>
                    <w:t>厂界</w:t>
                  </w:r>
                </w:p>
              </w:tc>
              <w:tc>
                <w:tcPr>
                  <w:tcW w:w="654" w:type="pct"/>
                  <w:vAlign w:val="center"/>
                </w:tcPr>
                <w:p>
                  <w:pPr>
                    <w:jc w:val="center"/>
                    <w:rPr>
                      <w:rFonts w:hint="default" w:eastAsia="宋体" w:cs="Times New Roman"/>
                      <w:color w:val="auto"/>
                      <w:szCs w:val="21"/>
                      <w:lang w:val="en-US" w:eastAsia="zh-CN"/>
                    </w:rPr>
                  </w:pPr>
                  <w:r>
                    <w:rPr>
                      <w:rFonts w:hint="eastAsia" w:cs="Times New Roman"/>
                      <w:color w:val="auto"/>
                      <w:szCs w:val="21"/>
                      <w:lang w:val="en-US" w:eastAsia="zh-CN"/>
                    </w:rPr>
                    <w:t>13</w:t>
                  </w:r>
                </w:p>
              </w:tc>
              <w:tc>
                <w:tcPr>
                  <w:tcW w:w="492" w:type="pct"/>
                  <w:vAlign w:val="center"/>
                </w:tcPr>
                <w:p>
                  <w:pPr>
                    <w:jc w:val="center"/>
                    <w:rPr>
                      <w:rFonts w:cs="Times New Roman"/>
                      <w:color w:val="auto"/>
                      <w:szCs w:val="21"/>
                    </w:rPr>
                  </w:pPr>
                  <w:r>
                    <w:rPr>
                      <w:rFonts w:cs="Times New Roman"/>
                      <w:color w:val="auto"/>
                      <w:szCs w:val="21"/>
                    </w:rPr>
                    <w:t>47.7</w:t>
                  </w:r>
                </w:p>
              </w:tc>
              <w:tc>
                <w:tcPr>
                  <w:tcW w:w="492" w:type="pct"/>
                  <w:vAlign w:val="center"/>
                </w:tcPr>
                <w:p>
                  <w:pPr>
                    <w:jc w:val="center"/>
                    <w:rPr>
                      <w:rFonts w:cs="Times New Roman"/>
                      <w:color w:val="auto"/>
                      <w:szCs w:val="21"/>
                    </w:rPr>
                  </w:pPr>
                  <w:r>
                    <w:rPr>
                      <w:rFonts w:cs="Times New Roman"/>
                      <w:color w:val="auto"/>
                      <w:szCs w:val="21"/>
                    </w:rPr>
                    <w:t>47.7</w:t>
                  </w:r>
                </w:p>
              </w:tc>
              <w:tc>
                <w:tcPr>
                  <w:tcW w:w="515" w:type="pct"/>
                  <w:vMerge w:val="restart"/>
                  <w:vAlign w:val="center"/>
                </w:tcPr>
                <w:p>
                  <w:pPr>
                    <w:jc w:val="center"/>
                    <w:rPr>
                      <w:rFonts w:cs="Times New Roman"/>
                      <w:color w:val="auto"/>
                      <w:szCs w:val="21"/>
                    </w:rPr>
                  </w:pPr>
                  <w:r>
                    <w:rPr>
                      <w:rFonts w:hint="eastAsia" w:cs="Times New Roman"/>
                      <w:color w:val="auto"/>
                      <w:szCs w:val="21"/>
                    </w:rPr>
                    <w:t>6</w:t>
                  </w:r>
                  <w:r>
                    <w:rPr>
                      <w:rFonts w:cs="Times New Roman"/>
                      <w:color w:val="auto"/>
                      <w:szCs w:val="21"/>
                    </w:rPr>
                    <w:t>0</w:t>
                  </w:r>
                </w:p>
              </w:tc>
              <w:tc>
                <w:tcPr>
                  <w:tcW w:w="516" w:type="pct"/>
                  <w:vMerge w:val="restart"/>
                  <w:vAlign w:val="center"/>
                </w:tcPr>
                <w:p>
                  <w:pPr>
                    <w:jc w:val="center"/>
                    <w:rPr>
                      <w:rFonts w:cs="Times New Roman"/>
                      <w:color w:val="auto"/>
                      <w:szCs w:val="21"/>
                    </w:rPr>
                  </w:pPr>
                  <w:r>
                    <w:rPr>
                      <w:rFonts w:hint="eastAsia" w:cs="Times New Roman"/>
                      <w:color w:val="auto"/>
                      <w:szCs w:val="21"/>
                    </w:rPr>
                    <w:t>5</w:t>
                  </w:r>
                  <w:r>
                    <w:rPr>
                      <w:rFonts w:cs="Times New Roman"/>
                      <w:color w:val="auto"/>
                      <w:szCs w:val="21"/>
                    </w:rPr>
                    <w:t>0</w:t>
                  </w:r>
                </w:p>
              </w:tc>
              <w:tc>
                <w:tcPr>
                  <w:tcW w:w="556" w:type="pct"/>
                  <w:vAlign w:val="center"/>
                </w:tcPr>
                <w:p>
                  <w:pPr>
                    <w:jc w:val="center"/>
                    <w:rPr>
                      <w:rFonts w:cs="Times New Roman"/>
                      <w:color w:val="auto"/>
                      <w:szCs w:val="21"/>
                    </w:rPr>
                  </w:pPr>
                  <w:r>
                    <w:rPr>
                      <w:rFonts w:hint="eastAsia" w:cs="Times New Roman"/>
                      <w:color w:val="auto"/>
                      <w:szCs w:val="21"/>
                    </w:rPr>
                    <w:t>达标</w:t>
                  </w:r>
                </w:p>
              </w:tc>
              <w:tc>
                <w:tcPr>
                  <w:tcW w:w="553" w:type="pct"/>
                  <w:vAlign w:val="center"/>
                </w:tcPr>
                <w:p>
                  <w:pPr>
                    <w:jc w:val="center"/>
                    <w:rPr>
                      <w:rFonts w:cs="Times New Roman"/>
                      <w:color w:val="auto"/>
                      <w:szCs w:val="21"/>
                    </w:rPr>
                  </w:pPr>
                  <w:r>
                    <w:rPr>
                      <w:rFonts w:hint="eastAsia"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vAlign w:val="center"/>
                </w:tcPr>
                <w:p>
                  <w:pPr>
                    <w:jc w:val="center"/>
                    <w:rPr>
                      <w:rFonts w:cs="Times New Roman"/>
                      <w:color w:val="auto"/>
                      <w:szCs w:val="21"/>
                    </w:rPr>
                  </w:pPr>
                  <w:r>
                    <w:rPr>
                      <w:rFonts w:hint="eastAsia" w:cs="Times New Roman"/>
                      <w:color w:val="auto"/>
                      <w:szCs w:val="21"/>
                    </w:rPr>
                    <w:t>2</w:t>
                  </w:r>
                  <w:r>
                    <w:rPr>
                      <w:rFonts w:cs="Times New Roman"/>
                      <w:color w:val="auto"/>
                      <w:szCs w:val="21"/>
                    </w:rPr>
                    <w:t>#</w:t>
                  </w:r>
                </w:p>
              </w:tc>
              <w:tc>
                <w:tcPr>
                  <w:tcW w:w="823" w:type="pct"/>
                  <w:vAlign w:val="center"/>
                </w:tcPr>
                <w:p>
                  <w:pPr>
                    <w:jc w:val="center"/>
                    <w:rPr>
                      <w:rFonts w:cs="Times New Roman"/>
                      <w:color w:val="auto"/>
                      <w:szCs w:val="21"/>
                    </w:rPr>
                  </w:pPr>
                  <w:r>
                    <w:rPr>
                      <w:rFonts w:hint="eastAsia" w:cs="Times New Roman"/>
                      <w:color w:val="auto"/>
                      <w:szCs w:val="21"/>
                    </w:rPr>
                    <w:t>东侧</w:t>
                  </w:r>
                  <w:r>
                    <w:rPr>
                      <w:rFonts w:cs="Times New Roman"/>
                      <w:color w:val="auto"/>
                      <w:szCs w:val="21"/>
                    </w:rPr>
                    <w:t>厂界</w:t>
                  </w:r>
                </w:p>
              </w:tc>
              <w:tc>
                <w:tcPr>
                  <w:tcW w:w="654" w:type="pct"/>
                  <w:vAlign w:val="center"/>
                </w:tcPr>
                <w:p>
                  <w:pPr>
                    <w:jc w:val="center"/>
                    <w:rPr>
                      <w:rFonts w:cs="Times New Roman"/>
                      <w:color w:val="auto"/>
                      <w:szCs w:val="21"/>
                    </w:rPr>
                  </w:pPr>
                  <w:r>
                    <w:rPr>
                      <w:rFonts w:hint="eastAsia" w:cs="Times New Roman"/>
                      <w:color w:val="auto"/>
                      <w:szCs w:val="21"/>
                    </w:rPr>
                    <w:t>2</w:t>
                  </w:r>
                  <w:r>
                    <w:rPr>
                      <w:rFonts w:cs="Times New Roman"/>
                      <w:color w:val="auto"/>
                      <w:szCs w:val="21"/>
                    </w:rPr>
                    <w:t>0</w:t>
                  </w:r>
                </w:p>
              </w:tc>
              <w:tc>
                <w:tcPr>
                  <w:tcW w:w="492" w:type="pct"/>
                  <w:vAlign w:val="center"/>
                </w:tcPr>
                <w:p>
                  <w:pPr>
                    <w:jc w:val="center"/>
                    <w:rPr>
                      <w:rFonts w:cs="Times New Roman"/>
                      <w:color w:val="auto"/>
                      <w:szCs w:val="21"/>
                    </w:rPr>
                  </w:pPr>
                  <w:r>
                    <w:rPr>
                      <w:rFonts w:hint="eastAsia" w:cs="Times New Roman"/>
                      <w:color w:val="auto"/>
                      <w:szCs w:val="21"/>
                    </w:rPr>
                    <w:t>4</w:t>
                  </w:r>
                  <w:r>
                    <w:rPr>
                      <w:rFonts w:cs="Times New Roman"/>
                      <w:color w:val="auto"/>
                      <w:szCs w:val="21"/>
                    </w:rPr>
                    <w:t>4.0</w:t>
                  </w:r>
                </w:p>
              </w:tc>
              <w:tc>
                <w:tcPr>
                  <w:tcW w:w="492" w:type="pct"/>
                  <w:vAlign w:val="center"/>
                </w:tcPr>
                <w:p>
                  <w:pPr>
                    <w:jc w:val="center"/>
                    <w:rPr>
                      <w:rFonts w:cs="Times New Roman"/>
                      <w:color w:val="auto"/>
                      <w:szCs w:val="21"/>
                    </w:rPr>
                  </w:pPr>
                  <w:r>
                    <w:rPr>
                      <w:rFonts w:hint="eastAsia" w:cs="Times New Roman"/>
                      <w:color w:val="auto"/>
                      <w:szCs w:val="21"/>
                    </w:rPr>
                    <w:t>4</w:t>
                  </w:r>
                  <w:r>
                    <w:rPr>
                      <w:rFonts w:cs="Times New Roman"/>
                      <w:color w:val="auto"/>
                      <w:szCs w:val="21"/>
                    </w:rPr>
                    <w:t>4.0</w:t>
                  </w:r>
                </w:p>
              </w:tc>
              <w:tc>
                <w:tcPr>
                  <w:tcW w:w="515" w:type="pct"/>
                  <w:vMerge w:val="continue"/>
                  <w:vAlign w:val="center"/>
                </w:tcPr>
                <w:p>
                  <w:pPr>
                    <w:jc w:val="center"/>
                    <w:rPr>
                      <w:color w:val="auto"/>
                    </w:rPr>
                  </w:pPr>
                </w:p>
              </w:tc>
              <w:tc>
                <w:tcPr>
                  <w:tcW w:w="516" w:type="pct"/>
                  <w:vMerge w:val="continue"/>
                  <w:vAlign w:val="center"/>
                </w:tcPr>
                <w:p>
                  <w:pPr>
                    <w:jc w:val="center"/>
                    <w:rPr>
                      <w:rFonts w:cs="Times New Roman"/>
                      <w:color w:val="auto"/>
                      <w:szCs w:val="21"/>
                    </w:rPr>
                  </w:pPr>
                </w:p>
              </w:tc>
              <w:tc>
                <w:tcPr>
                  <w:tcW w:w="556" w:type="pct"/>
                  <w:vAlign w:val="center"/>
                </w:tcPr>
                <w:p>
                  <w:pPr>
                    <w:jc w:val="center"/>
                    <w:rPr>
                      <w:rFonts w:cs="Times New Roman"/>
                      <w:color w:val="auto"/>
                      <w:szCs w:val="21"/>
                    </w:rPr>
                  </w:pPr>
                  <w:r>
                    <w:rPr>
                      <w:rFonts w:hint="eastAsia" w:cs="Times New Roman"/>
                      <w:color w:val="auto"/>
                      <w:szCs w:val="21"/>
                    </w:rPr>
                    <w:t>达标</w:t>
                  </w:r>
                </w:p>
              </w:tc>
              <w:tc>
                <w:tcPr>
                  <w:tcW w:w="553" w:type="pct"/>
                  <w:vAlign w:val="center"/>
                </w:tcPr>
                <w:p>
                  <w:pPr>
                    <w:jc w:val="center"/>
                    <w:rPr>
                      <w:rFonts w:cs="Times New Roman"/>
                      <w:color w:val="auto"/>
                      <w:szCs w:val="21"/>
                    </w:rPr>
                  </w:pPr>
                  <w:r>
                    <w:rPr>
                      <w:rFonts w:hint="eastAsia"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vAlign w:val="center"/>
                </w:tcPr>
                <w:p>
                  <w:pPr>
                    <w:jc w:val="center"/>
                    <w:rPr>
                      <w:rFonts w:cs="Times New Roman"/>
                      <w:color w:val="auto"/>
                      <w:szCs w:val="21"/>
                    </w:rPr>
                  </w:pPr>
                  <w:r>
                    <w:rPr>
                      <w:rFonts w:hint="eastAsia" w:cs="Times New Roman"/>
                      <w:color w:val="auto"/>
                      <w:szCs w:val="21"/>
                    </w:rPr>
                    <w:t>3#</w:t>
                  </w:r>
                </w:p>
              </w:tc>
              <w:tc>
                <w:tcPr>
                  <w:tcW w:w="823" w:type="pct"/>
                  <w:vAlign w:val="center"/>
                </w:tcPr>
                <w:p>
                  <w:pPr>
                    <w:jc w:val="center"/>
                    <w:rPr>
                      <w:rFonts w:cs="Times New Roman"/>
                      <w:color w:val="auto"/>
                      <w:szCs w:val="21"/>
                    </w:rPr>
                  </w:pPr>
                  <w:r>
                    <w:rPr>
                      <w:rFonts w:hint="eastAsia" w:cs="Times New Roman"/>
                      <w:color w:val="auto"/>
                      <w:szCs w:val="21"/>
                    </w:rPr>
                    <w:t>南侧</w:t>
                  </w:r>
                  <w:r>
                    <w:rPr>
                      <w:rFonts w:cs="Times New Roman"/>
                      <w:color w:val="auto"/>
                      <w:szCs w:val="21"/>
                    </w:rPr>
                    <w:t>厂界</w:t>
                  </w:r>
                </w:p>
              </w:tc>
              <w:tc>
                <w:tcPr>
                  <w:tcW w:w="654" w:type="pct"/>
                  <w:vAlign w:val="center"/>
                </w:tcPr>
                <w:p>
                  <w:pPr>
                    <w:jc w:val="center"/>
                    <w:rPr>
                      <w:rFonts w:hint="default" w:eastAsia="宋体" w:cs="Times New Roman"/>
                      <w:color w:val="auto"/>
                      <w:szCs w:val="21"/>
                      <w:lang w:val="en-US" w:eastAsia="zh-CN"/>
                    </w:rPr>
                  </w:pPr>
                  <w:r>
                    <w:rPr>
                      <w:rFonts w:hint="eastAsia" w:cs="Times New Roman"/>
                      <w:color w:val="auto"/>
                      <w:szCs w:val="21"/>
                      <w:lang w:val="en-US" w:eastAsia="zh-CN"/>
                    </w:rPr>
                    <w:t>40</w:t>
                  </w:r>
                </w:p>
              </w:tc>
              <w:tc>
                <w:tcPr>
                  <w:tcW w:w="492" w:type="pct"/>
                  <w:vAlign w:val="center"/>
                </w:tcPr>
                <w:p>
                  <w:pPr>
                    <w:jc w:val="center"/>
                    <w:rPr>
                      <w:rFonts w:cs="Times New Roman"/>
                      <w:color w:val="auto"/>
                      <w:szCs w:val="21"/>
                    </w:rPr>
                  </w:pPr>
                  <w:r>
                    <w:rPr>
                      <w:rFonts w:hint="eastAsia" w:cs="Times New Roman"/>
                      <w:color w:val="auto"/>
                      <w:szCs w:val="21"/>
                    </w:rPr>
                    <w:t>4</w:t>
                  </w:r>
                  <w:r>
                    <w:rPr>
                      <w:rFonts w:hint="eastAsia" w:cs="Times New Roman"/>
                      <w:color w:val="auto"/>
                      <w:szCs w:val="21"/>
                      <w:lang w:val="en-US" w:eastAsia="zh-CN"/>
                    </w:rPr>
                    <w:t>1</w:t>
                  </w:r>
                  <w:r>
                    <w:rPr>
                      <w:rFonts w:cs="Times New Roman"/>
                      <w:color w:val="auto"/>
                      <w:szCs w:val="21"/>
                    </w:rPr>
                    <w:t>.0</w:t>
                  </w:r>
                </w:p>
              </w:tc>
              <w:tc>
                <w:tcPr>
                  <w:tcW w:w="492" w:type="pct"/>
                  <w:vAlign w:val="center"/>
                </w:tcPr>
                <w:p>
                  <w:pPr>
                    <w:jc w:val="center"/>
                    <w:rPr>
                      <w:rFonts w:cs="Times New Roman"/>
                      <w:color w:val="auto"/>
                      <w:szCs w:val="21"/>
                    </w:rPr>
                  </w:pPr>
                  <w:r>
                    <w:rPr>
                      <w:rFonts w:hint="eastAsia" w:cs="Times New Roman"/>
                      <w:color w:val="auto"/>
                      <w:szCs w:val="21"/>
                    </w:rPr>
                    <w:t>4</w:t>
                  </w:r>
                  <w:r>
                    <w:rPr>
                      <w:rFonts w:hint="eastAsia" w:cs="Times New Roman"/>
                      <w:color w:val="auto"/>
                      <w:szCs w:val="21"/>
                      <w:lang w:val="en-US" w:eastAsia="zh-CN"/>
                    </w:rPr>
                    <w:t>1</w:t>
                  </w:r>
                  <w:r>
                    <w:rPr>
                      <w:rFonts w:cs="Times New Roman"/>
                      <w:color w:val="auto"/>
                      <w:szCs w:val="21"/>
                    </w:rPr>
                    <w:t>.0</w:t>
                  </w:r>
                </w:p>
              </w:tc>
              <w:tc>
                <w:tcPr>
                  <w:tcW w:w="515" w:type="pct"/>
                  <w:vMerge w:val="continue"/>
                  <w:vAlign w:val="center"/>
                </w:tcPr>
                <w:p>
                  <w:pPr>
                    <w:jc w:val="center"/>
                    <w:rPr>
                      <w:color w:val="auto"/>
                    </w:rPr>
                  </w:pPr>
                </w:p>
              </w:tc>
              <w:tc>
                <w:tcPr>
                  <w:tcW w:w="516" w:type="pct"/>
                  <w:vMerge w:val="continue"/>
                  <w:vAlign w:val="center"/>
                </w:tcPr>
                <w:p>
                  <w:pPr>
                    <w:jc w:val="center"/>
                    <w:rPr>
                      <w:rFonts w:cs="Times New Roman"/>
                      <w:color w:val="auto"/>
                      <w:szCs w:val="21"/>
                    </w:rPr>
                  </w:pPr>
                </w:p>
              </w:tc>
              <w:tc>
                <w:tcPr>
                  <w:tcW w:w="556" w:type="pct"/>
                  <w:vAlign w:val="center"/>
                </w:tcPr>
                <w:p>
                  <w:pPr>
                    <w:jc w:val="center"/>
                    <w:rPr>
                      <w:rFonts w:cs="Times New Roman"/>
                      <w:color w:val="auto"/>
                      <w:szCs w:val="21"/>
                    </w:rPr>
                  </w:pPr>
                  <w:r>
                    <w:rPr>
                      <w:rFonts w:hint="eastAsia" w:cs="Times New Roman"/>
                      <w:color w:val="auto"/>
                      <w:szCs w:val="21"/>
                    </w:rPr>
                    <w:t>达标</w:t>
                  </w:r>
                </w:p>
              </w:tc>
              <w:tc>
                <w:tcPr>
                  <w:tcW w:w="553" w:type="pct"/>
                  <w:vAlign w:val="center"/>
                </w:tcPr>
                <w:p>
                  <w:pPr>
                    <w:jc w:val="center"/>
                    <w:rPr>
                      <w:rFonts w:cs="Times New Roman"/>
                      <w:color w:val="auto"/>
                      <w:szCs w:val="21"/>
                    </w:rPr>
                  </w:pPr>
                  <w:r>
                    <w:rPr>
                      <w:rFonts w:hint="eastAsia"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99" w:type="pct"/>
                  <w:vAlign w:val="center"/>
                </w:tcPr>
                <w:p>
                  <w:pPr>
                    <w:jc w:val="center"/>
                    <w:rPr>
                      <w:rFonts w:cs="Times New Roman"/>
                      <w:color w:val="auto"/>
                      <w:szCs w:val="21"/>
                    </w:rPr>
                  </w:pPr>
                  <w:r>
                    <w:rPr>
                      <w:rFonts w:hint="eastAsia" w:cs="Times New Roman"/>
                      <w:color w:val="auto"/>
                      <w:szCs w:val="21"/>
                    </w:rPr>
                    <w:t>4</w:t>
                  </w:r>
                  <w:r>
                    <w:rPr>
                      <w:rFonts w:cs="Times New Roman"/>
                      <w:color w:val="auto"/>
                      <w:szCs w:val="21"/>
                    </w:rPr>
                    <w:t>#</w:t>
                  </w:r>
                </w:p>
              </w:tc>
              <w:tc>
                <w:tcPr>
                  <w:tcW w:w="823" w:type="pct"/>
                  <w:vAlign w:val="center"/>
                </w:tcPr>
                <w:p>
                  <w:pPr>
                    <w:jc w:val="center"/>
                    <w:rPr>
                      <w:rFonts w:cs="Times New Roman"/>
                      <w:color w:val="auto"/>
                      <w:szCs w:val="21"/>
                    </w:rPr>
                  </w:pPr>
                  <w:r>
                    <w:rPr>
                      <w:rFonts w:hint="eastAsia" w:cs="Times New Roman"/>
                      <w:color w:val="auto"/>
                      <w:szCs w:val="21"/>
                    </w:rPr>
                    <w:t>西侧</w:t>
                  </w:r>
                  <w:r>
                    <w:rPr>
                      <w:rFonts w:cs="Times New Roman"/>
                      <w:color w:val="auto"/>
                      <w:szCs w:val="21"/>
                    </w:rPr>
                    <w:t>厂界</w:t>
                  </w:r>
                </w:p>
              </w:tc>
              <w:tc>
                <w:tcPr>
                  <w:tcW w:w="654" w:type="pct"/>
                  <w:vAlign w:val="center"/>
                </w:tcPr>
                <w:p>
                  <w:pPr>
                    <w:jc w:val="center"/>
                    <w:rPr>
                      <w:rFonts w:cs="Times New Roman"/>
                      <w:color w:val="auto"/>
                      <w:szCs w:val="21"/>
                    </w:rPr>
                  </w:pPr>
                  <w:r>
                    <w:rPr>
                      <w:rFonts w:hint="eastAsia" w:cs="Times New Roman"/>
                      <w:color w:val="auto"/>
                      <w:szCs w:val="21"/>
                    </w:rPr>
                    <w:t>2</w:t>
                  </w:r>
                  <w:r>
                    <w:rPr>
                      <w:rFonts w:cs="Times New Roman"/>
                      <w:color w:val="auto"/>
                      <w:szCs w:val="21"/>
                    </w:rPr>
                    <w:t>2</w:t>
                  </w:r>
                </w:p>
              </w:tc>
              <w:tc>
                <w:tcPr>
                  <w:tcW w:w="492" w:type="pct"/>
                  <w:vAlign w:val="center"/>
                </w:tcPr>
                <w:p>
                  <w:pPr>
                    <w:jc w:val="center"/>
                    <w:rPr>
                      <w:rFonts w:cs="Times New Roman"/>
                      <w:color w:val="auto"/>
                      <w:szCs w:val="21"/>
                    </w:rPr>
                  </w:pPr>
                  <w:r>
                    <w:rPr>
                      <w:rFonts w:hint="eastAsia" w:cs="Times New Roman"/>
                      <w:color w:val="auto"/>
                      <w:szCs w:val="21"/>
                    </w:rPr>
                    <w:t>4</w:t>
                  </w:r>
                  <w:r>
                    <w:rPr>
                      <w:rFonts w:cs="Times New Roman"/>
                      <w:color w:val="auto"/>
                      <w:szCs w:val="21"/>
                    </w:rPr>
                    <w:t>3.2</w:t>
                  </w:r>
                </w:p>
              </w:tc>
              <w:tc>
                <w:tcPr>
                  <w:tcW w:w="492" w:type="pct"/>
                  <w:vAlign w:val="center"/>
                </w:tcPr>
                <w:p>
                  <w:pPr>
                    <w:jc w:val="center"/>
                    <w:rPr>
                      <w:rFonts w:cs="Times New Roman"/>
                      <w:color w:val="auto"/>
                      <w:szCs w:val="21"/>
                    </w:rPr>
                  </w:pPr>
                  <w:r>
                    <w:rPr>
                      <w:rFonts w:hint="eastAsia" w:cs="Times New Roman"/>
                      <w:color w:val="auto"/>
                      <w:szCs w:val="21"/>
                    </w:rPr>
                    <w:t>4</w:t>
                  </w:r>
                  <w:r>
                    <w:rPr>
                      <w:rFonts w:cs="Times New Roman"/>
                      <w:color w:val="auto"/>
                      <w:szCs w:val="21"/>
                    </w:rPr>
                    <w:t>3.2</w:t>
                  </w:r>
                </w:p>
              </w:tc>
              <w:tc>
                <w:tcPr>
                  <w:tcW w:w="515" w:type="pct"/>
                  <w:vMerge w:val="continue"/>
                  <w:vAlign w:val="center"/>
                </w:tcPr>
                <w:p>
                  <w:pPr>
                    <w:jc w:val="center"/>
                    <w:rPr>
                      <w:color w:val="auto"/>
                    </w:rPr>
                  </w:pPr>
                </w:p>
              </w:tc>
              <w:tc>
                <w:tcPr>
                  <w:tcW w:w="516" w:type="pct"/>
                  <w:vMerge w:val="continue"/>
                  <w:vAlign w:val="center"/>
                </w:tcPr>
                <w:p>
                  <w:pPr>
                    <w:jc w:val="center"/>
                    <w:rPr>
                      <w:rFonts w:cs="Times New Roman"/>
                      <w:color w:val="auto"/>
                      <w:szCs w:val="21"/>
                    </w:rPr>
                  </w:pPr>
                </w:p>
              </w:tc>
              <w:tc>
                <w:tcPr>
                  <w:tcW w:w="556" w:type="pct"/>
                  <w:vAlign w:val="center"/>
                </w:tcPr>
                <w:p>
                  <w:pPr>
                    <w:jc w:val="center"/>
                    <w:rPr>
                      <w:rFonts w:cs="Times New Roman"/>
                      <w:color w:val="auto"/>
                      <w:szCs w:val="21"/>
                    </w:rPr>
                  </w:pPr>
                  <w:r>
                    <w:rPr>
                      <w:rFonts w:hint="eastAsia" w:cs="Times New Roman"/>
                      <w:color w:val="auto"/>
                      <w:szCs w:val="21"/>
                    </w:rPr>
                    <w:t>达标</w:t>
                  </w:r>
                </w:p>
              </w:tc>
              <w:tc>
                <w:tcPr>
                  <w:tcW w:w="553" w:type="pct"/>
                  <w:vAlign w:val="center"/>
                </w:tcPr>
                <w:p>
                  <w:pPr>
                    <w:jc w:val="center"/>
                    <w:rPr>
                      <w:rFonts w:cs="Times New Roman"/>
                      <w:color w:val="auto"/>
                      <w:szCs w:val="21"/>
                    </w:rPr>
                  </w:pPr>
                  <w:r>
                    <w:rPr>
                      <w:rFonts w:hint="eastAsia" w:cs="Times New Roman"/>
                      <w:color w:val="auto"/>
                      <w:szCs w:val="21"/>
                    </w:rPr>
                    <w:t>达标</w:t>
                  </w:r>
                </w:p>
              </w:tc>
            </w:tr>
          </w:tbl>
          <w:p>
            <w:pPr>
              <w:spacing w:line="360" w:lineRule="auto"/>
              <w:ind w:firstLine="480" w:firstLineChars="200"/>
              <w:rPr>
                <w:sz w:val="24"/>
                <w:szCs w:val="24"/>
              </w:rPr>
            </w:pPr>
            <w:r>
              <w:rPr>
                <w:rFonts w:hint="eastAsia"/>
                <w:color w:val="auto"/>
                <w:sz w:val="24"/>
                <w:szCs w:val="24"/>
              </w:rPr>
              <w:t>由预测结果可知，运营期厂界四周预测点噪声排放值均满足《工业企业厂界环境噪声排放标准》（GB12348-2008）</w:t>
            </w:r>
            <w:r>
              <w:rPr>
                <w:color w:val="auto"/>
                <w:sz w:val="24"/>
                <w:szCs w:val="24"/>
              </w:rPr>
              <w:t>2</w:t>
            </w:r>
            <w:r>
              <w:rPr>
                <w:rFonts w:hint="eastAsia"/>
                <w:color w:val="auto"/>
                <w:sz w:val="24"/>
                <w:szCs w:val="24"/>
              </w:rPr>
              <w:t>类标准，可实现达标</w:t>
            </w:r>
            <w:r>
              <w:rPr>
                <w:rFonts w:hint="eastAsia"/>
                <w:sz w:val="24"/>
                <w:szCs w:val="24"/>
              </w:rPr>
              <w:t>排放。</w:t>
            </w:r>
          </w:p>
          <w:p>
            <w:pPr>
              <w:spacing w:line="360" w:lineRule="auto"/>
              <w:ind w:firstLine="482" w:firstLineChars="200"/>
              <w:rPr>
                <w:b/>
                <w:sz w:val="24"/>
                <w:szCs w:val="24"/>
              </w:rPr>
            </w:pPr>
            <w:r>
              <w:rPr>
                <w:rFonts w:hint="eastAsia"/>
                <w:b/>
                <w:sz w:val="24"/>
                <w:szCs w:val="24"/>
              </w:rPr>
              <w:t>（</w:t>
            </w:r>
            <w:r>
              <w:rPr>
                <w:b/>
                <w:sz w:val="24"/>
                <w:szCs w:val="24"/>
              </w:rPr>
              <w:t>3</w:t>
            </w:r>
            <w:r>
              <w:rPr>
                <w:rFonts w:hint="eastAsia"/>
                <w:b/>
                <w:sz w:val="24"/>
                <w:szCs w:val="24"/>
              </w:rPr>
              <w:t>）监测要求</w:t>
            </w:r>
          </w:p>
          <w:p>
            <w:pPr>
              <w:spacing w:line="360" w:lineRule="auto"/>
              <w:ind w:firstLine="480" w:firstLineChars="200"/>
              <w:rPr>
                <w:sz w:val="24"/>
                <w:szCs w:val="24"/>
              </w:rPr>
            </w:pPr>
            <w:r>
              <w:rPr>
                <w:rFonts w:hint="eastAsia"/>
                <w:sz w:val="24"/>
                <w:szCs w:val="24"/>
              </w:rPr>
              <w:t>本次环评根据《排污单位自行监测技术指南 总则》（HJ819-2017）提出项目生产运行阶段的污染源监测计划，详见下表：</w:t>
            </w:r>
          </w:p>
          <w:p>
            <w:pPr>
              <w:spacing w:line="360" w:lineRule="auto"/>
              <w:jc w:val="center"/>
              <w:rPr>
                <w:rFonts w:eastAsia="黑体"/>
                <w:szCs w:val="21"/>
              </w:rPr>
            </w:pPr>
            <w:r>
              <w:rPr>
                <w:rFonts w:eastAsia="黑体"/>
                <w:szCs w:val="21"/>
              </w:rPr>
              <w:t>表4</w:t>
            </w:r>
            <w:r>
              <w:rPr>
                <w:rFonts w:hint="eastAsia" w:eastAsia="黑体"/>
                <w:szCs w:val="21"/>
              </w:rPr>
              <w:t>-</w:t>
            </w:r>
            <w:r>
              <w:rPr>
                <w:rFonts w:eastAsia="黑体"/>
                <w:szCs w:val="21"/>
              </w:rPr>
              <w:t>10  噪声</w:t>
            </w:r>
            <w:r>
              <w:rPr>
                <w:rFonts w:hint="eastAsia" w:eastAsia="黑体"/>
                <w:szCs w:val="21"/>
              </w:rPr>
              <w:t>监测方案</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4"/>
              <w:gridCol w:w="1820"/>
              <w:gridCol w:w="1350"/>
              <w:gridCol w:w="3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89" w:type="pct"/>
                  <w:shd w:val="clear" w:color="auto" w:fill="auto"/>
                  <w:vAlign w:val="center"/>
                </w:tcPr>
                <w:p>
                  <w:pPr>
                    <w:jc w:val="center"/>
                    <w:rPr>
                      <w:szCs w:val="21"/>
                    </w:rPr>
                  </w:pPr>
                  <w:r>
                    <w:rPr>
                      <w:szCs w:val="21"/>
                    </w:rPr>
                    <w:t>监测点位</w:t>
                  </w:r>
                </w:p>
              </w:tc>
              <w:tc>
                <w:tcPr>
                  <w:tcW w:w="1050" w:type="pct"/>
                  <w:shd w:val="clear" w:color="auto" w:fill="auto"/>
                  <w:vAlign w:val="center"/>
                </w:tcPr>
                <w:p>
                  <w:pPr>
                    <w:jc w:val="center"/>
                    <w:rPr>
                      <w:szCs w:val="21"/>
                    </w:rPr>
                  </w:pPr>
                  <w:r>
                    <w:rPr>
                      <w:szCs w:val="21"/>
                    </w:rPr>
                    <w:t>监测指标</w:t>
                  </w:r>
                </w:p>
              </w:tc>
              <w:tc>
                <w:tcPr>
                  <w:tcW w:w="779" w:type="pct"/>
                  <w:shd w:val="clear" w:color="auto" w:fill="auto"/>
                  <w:vAlign w:val="center"/>
                </w:tcPr>
                <w:p>
                  <w:pPr>
                    <w:jc w:val="center"/>
                    <w:rPr>
                      <w:szCs w:val="21"/>
                    </w:rPr>
                  </w:pPr>
                  <w:r>
                    <w:rPr>
                      <w:szCs w:val="21"/>
                    </w:rPr>
                    <w:t>监测频次</w:t>
                  </w:r>
                </w:p>
              </w:tc>
              <w:tc>
                <w:tcPr>
                  <w:tcW w:w="2182" w:type="pct"/>
                </w:tcPr>
                <w:p>
                  <w:pPr>
                    <w:jc w:val="center"/>
                    <w:rPr>
                      <w:szCs w:val="21"/>
                    </w:rPr>
                  </w:pPr>
                  <w:r>
                    <w:rPr>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89" w:type="pct"/>
                  <w:shd w:val="clear" w:color="auto" w:fill="auto"/>
                  <w:vAlign w:val="center"/>
                </w:tcPr>
                <w:p>
                  <w:pPr>
                    <w:jc w:val="center"/>
                    <w:rPr>
                      <w:szCs w:val="21"/>
                    </w:rPr>
                  </w:pPr>
                  <w:r>
                    <w:rPr>
                      <w:rFonts w:hint="eastAsia"/>
                      <w:szCs w:val="21"/>
                    </w:rPr>
                    <w:t>厂界</w:t>
                  </w:r>
                </w:p>
              </w:tc>
              <w:tc>
                <w:tcPr>
                  <w:tcW w:w="1050" w:type="pct"/>
                  <w:shd w:val="clear" w:color="auto" w:fill="auto"/>
                  <w:vAlign w:val="center"/>
                </w:tcPr>
                <w:p>
                  <w:pPr>
                    <w:jc w:val="center"/>
                    <w:rPr>
                      <w:szCs w:val="21"/>
                    </w:rPr>
                  </w:pPr>
                  <w:r>
                    <w:rPr>
                      <w:rFonts w:hint="eastAsia"/>
                      <w:szCs w:val="21"/>
                    </w:rPr>
                    <w:t>厂界噪声</w:t>
                  </w:r>
                </w:p>
              </w:tc>
              <w:tc>
                <w:tcPr>
                  <w:tcW w:w="779" w:type="pct"/>
                  <w:shd w:val="clear" w:color="auto" w:fill="auto"/>
                  <w:vAlign w:val="center"/>
                </w:tcPr>
                <w:p>
                  <w:pPr>
                    <w:jc w:val="center"/>
                    <w:rPr>
                      <w:szCs w:val="21"/>
                    </w:rPr>
                  </w:pPr>
                  <w:r>
                    <w:rPr>
                      <w:rFonts w:hint="eastAsia"/>
                      <w:szCs w:val="21"/>
                    </w:rPr>
                    <w:t>1季度/</w:t>
                  </w:r>
                  <w:r>
                    <w:rPr>
                      <w:szCs w:val="21"/>
                    </w:rPr>
                    <w:t>次</w:t>
                  </w:r>
                </w:p>
              </w:tc>
              <w:tc>
                <w:tcPr>
                  <w:tcW w:w="2182" w:type="pct"/>
                  <w:vAlign w:val="center"/>
                </w:tcPr>
                <w:p>
                  <w:pPr>
                    <w:jc w:val="center"/>
                    <w:rPr>
                      <w:szCs w:val="21"/>
                    </w:rPr>
                  </w:pPr>
                  <w:r>
                    <w:rPr>
                      <w:rFonts w:hint="eastAsia"/>
                      <w:szCs w:val="21"/>
                    </w:rPr>
                    <w:t>《工业企业厂界环境噪声排放标准》（GB12348-2008）</w:t>
                  </w:r>
                  <w:r>
                    <w:rPr>
                      <w:szCs w:val="21"/>
                    </w:rPr>
                    <w:t>2</w:t>
                  </w:r>
                  <w:r>
                    <w:rPr>
                      <w:rFonts w:hint="eastAsia"/>
                      <w:szCs w:val="21"/>
                    </w:rPr>
                    <w:t>类标准</w:t>
                  </w:r>
                </w:p>
              </w:tc>
            </w:tr>
          </w:tbl>
          <w:p>
            <w:pPr>
              <w:spacing w:line="360" w:lineRule="auto"/>
              <w:ind w:firstLine="482" w:firstLineChars="200"/>
              <w:rPr>
                <w:b/>
                <w:sz w:val="24"/>
                <w:szCs w:val="24"/>
              </w:rPr>
            </w:pPr>
            <w:r>
              <w:rPr>
                <w:b/>
                <w:sz w:val="24"/>
                <w:szCs w:val="24"/>
              </w:rPr>
              <w:t>4</w:t>
            </w:r>
            <w:r>
              <w:rPr>
                <w:rFonts w:hint="eastAsia"/>
                <w:b/>
                <w:sz w:val="24"/>
                <w:szCs w:val="24"/>
              </w:rPr>
              <w:t>、固体废物</w:t>
            </w:r>
          </w:p>
          <w:p>
            <w:pPr>
              <w:spacing w:line="360" w:lineRule="auto"/>
              <w:ind w:firstLine="480" w:firstLineChars="200"/>
              <w:rPr>
                <w:sz w:val="24"/>
                <w:szCs w:val="24"/>
              </w:rPr>
            </w:pPr>
            <w:r>
              <w:rPr>
                <w:rFonts w:hint="eastAsia"/>
                <w:sz w:val="24"/>
                <w:szCs w:val="24"/>
              </w:rPr>
              <w:t>项目生产设施维修保养委外处理，无废机油等危险废物产生，运营期产生的固体废物主要有污泥、废活性炭、废包装料和生活垃圾。</w:t>
            </w:r>
          </w:p>
          <w:p>
            <w:pPr>
              <w:spacing w:line="360" w:lineRule="auto"/>
              <w:ind w:firstLine="482" w:firstLineChars="200"/>
              <w:rPr>
                <w:b/>
                <w:sz w:val="24"/>
                <w:szCs w:val="24"/>
              </w:rPr>
            </w:pPr>
            <w:r>
              <w:rPr>
                <w:rFonts w:hint="eastAsia"/>
                <w:b/>
                <w:sz w:val="24"/>
                <w:szCs w:val="24"/>
              </w:rPr>
              <w:t>（</w:t>
            </w:r>
            <w:r>
              <w:rPr>
                <w:b/>
                <w:sz w:val="24"/>
                <w:szCs w:val="24"/>
              </w:rPr>
              <w:t>1</w:t>
            </w:r>
            <w:r>
              <w:rPr>
                <w:rFonts w:hint="eastAsia"/>
                <w:b/>
                <w:sz w:val="24"/>
                <w:szCs w:val="24"/>
              </w:rPr>
              <w:t>）产生情况</w:t>
            </w:r>
          </w:p>
          <w:p>
            <w:pPr>
              <w:spacing w:line="360" w:lineRule="auto"/>
              <w:ind w:firstLine="482" w:firstLineChars="200"/>
              <w:rPr>
                <w:sz w:val="24"/>
                <w:szCs w:val="24"/>
              </w:rPr>
            </w:pPr>
            <w:r>
              <w:rPr>
                <w:rFonts w:hint="eastAsia"/>
                <w:b/>
                <w:sz w:val="24"/>
                <w:szCs w:val="24"/>
              </w:rPr>
              <w:t>污泥</w:t>
            </w:r>
            <w:r>
              <w:rPr>
                <w:rFonts w:hint="eastAsia"/>
                <w:sz w:val="24"/>
                <w:szCs w:val="24"/>
              </w:rPr>
              <w:t>：主要包括废水池、预处理池产生的泥沙及污泥，经机械脱水后可以得到含水率55%~60%的泥饼，根据工艺设计资料，运营期污泥（按脱水后的泥饼计）产生量约</w:t>
            </w:r>
            <w:r>
              <w:rPr>
                <w:rFonts w:hint="eastAsia"/>
                <w:sz w:val="24"/>
                <w:szCs w:val="24"/>
                <w:lang w:val="en-US" w:eastAsia="zh-CN"/>
              </w:rPr>
              <w:t>931.5</w:t>
            </w:r>
            <w:r>
              <w:rPr>
                <w:sz w:val="24"/>
                <w:szCs w:val="24"/>
              </w:rPr>
              <w:t>t/a。</w:t>
            </w:r>
          </w:p>
          <w:p>
            <w:pPr>
              <w:spacing w:line="360" w:lineRule="auto"/>
              <w:ind w:firstLine="482" w:firstLineChars="200"/>
              <w:rPr>
                <w:color w:val="auto"/>
                <w:sz w:val="24"/>
                <w:szCs w:val="24"/>
              </w:rPr>
            </w:pPr>
            <w:r>
              <w:rPr>
                <w:b/>
                <w:sz w:val="24"/>
                <w:szCs w:val="24"/>
              </w:rPr>
              <w:t>废</w:t>
            </w:r>
            <w:r>
              <w:rPr>
                <w:rFonts w:hint="eastAsia"/>
                <w:b/>
                <w:sz w:val="24"/>
                <w:szCs w:val="24"/>
              </w:rPr>
              <w:t>活性炭</w:t>
            </w:r>
            <w:r>
              <w:rPr>
                <w:rFonts w:hint="eastAsia"/>
                <w:color w:val="auto"/>
                <w:sz w:val="24"/>
                <w:szCs w:val="24"/>
              </w:rPr>
              <w:t>：主要为活性炭过滤器更换的废弃活性炭，根据工艺设计资料，项目活性炭过滤器日常生产中需反冲洗，平均每年更换一次，废活性炭产生量约2</w:t>
            </w:r>
            <w:r>
              <w:rPr>
                <w:color w:val="auto"/>
                <w:sz w:val="24"/>
                <w:szCs w:val="24"/>
              </w:rPr>
              <w:t>.34t/a。</w:t>
            </w:r>
          </w:p>
          <w:p>
            <w:pPr>
              <w:spacing w:line="360" w:lineRule="auto"/>
              <w:ind w:firstLine="482" w:firstLineChars="200"/>
              <w:rPr>
                <w:color w:val="auto"/>
                <w:sz w:val="24"/>
                <w:szCs w:val="24"/>
              </w:rPr>
            </w:pPr>
            <w:r>
              <w:rPr>
                <w:rFonts w:hint="eastAsia"/>
                <w:b/>
                <w:color w:val="auto"/>
                <w:sz w:val="24"/>
                <w:szCs w:val="24"/>
              </w:rPr>
              <w:t>废包装料</w:t>
            </w:r>
            <w:r>
              <w:rPr>
                <w:rFonts w:hint="eastAsia"/>
                <w:color w:val="auto"/>
                <w:sz w:val="24"/>
                <w:szCs w:val="24"/>
              </w:rPr>
              <w:t>：主要为净水药剂（PAC、PAM等）使用后废弃的包装袋，产生量约0</w:t>
            </w:r>
            <w:r>
              <w:rPr>
                <w:color w:val="auto"/>
                <w:sz w:val="24"/>
                <w:szCs w:val="24"/>
              </w:rPr>
              <w:t>.02t/a。</w:t>
            </w:r>
          </w:p>
          <w:p>
            <w:pPr>
              <w:spacing w:line="360" w:lineRule="auto"/>
              <w:ind w:firstLine="482" w:firstLineChars="200"/>
              <w:rPr>
                <w:rFonts w:cs="Times New Roman"/>
                <w:color w:val="auto"/>
                <w:sz w:val="24"/>
                <w:szCs w:val="24"/>
              </w:rPr>
            </w:pPr>
            <w:r>
              <w:rPr>
                <w:rFonts w:hint="eastAsia"/>
                <w:b/>
                <w:color w:val="auto"/>
                <w:sz w:val="24"/>
                <w:szCs w:val="24"/>
              </w:rPr>
              <w:t>生活垃圾</w:t>
            </w:r>
            <w:r>
              <w:rPr>
                <w:rFonts w:hint="eastAsia"/>
                <w:color w:val="auto"/>
                <w:sz w:val="24"/>
                <w:szCs w:val="24"/>
              </w:rPr>
              <w:t>：主要为值班人员日常生活产生的垃圾，项目劳动定员</w:t>
            </w:r>
            <w:r>
              <w:rPr>
                <w:rFonts w:hint="eastAsia"/>
                <w:color w:val="auto"/>
                <w:sz w:val="24"/>
                <w:szCs w:val="24"/>
                <w:lang w:val="en-US" w:eastAsia="zh-CN"/>
              </w:rPr>
              <w:t>6</w:t>
            </w:r>
            <w:r>
              <w:rPr>
                <w:rFonts w:hint="eastAsia"/>
                <w:color w:val="auto"/>
                <w:sz w:val="24"/>
                <w:szCs w:val="24"/>
              </w:rPr>
              <w:t>人，</w:t>
            </w:r>
            <w:r>
              <w:rPr>
                <w:rFonts w:cs="Times New Roman"/>
                <w:color w:val="auto"/>
                <w:sz w:val="24"/>
                <w:szCs w:val="24"/>
              </w:rPr>
              <w:t>生活垃圾产生量按0.5kg/人·d计，预计产生量</w:t>
            </w:r>
            <w:r>
              <w:rPr>
                <w:rFonts w:hint="eastAsia" w:cs="Times New Roman"/>
                <w:color w:val="auto"/>
                <w:sz w:val="24"/>
                <w:szCs w:val="24"/>
                <w:lang w:val="en-US" w:eastAsia="zh-CN"/>
              </w:rPr>
              <w:t>1.1</w:t>
            </w:r>
            <w:r>
              <w:rPr>
                <w:rFonts w:cs="Times New Roman"/>
                <w:color w:val="auto"/>
                <w:sz w:val="24"/>
                <w:szCs w:val="24"/>
              </w:rPr>
              <w:t>t/a。</w:t>
            </w:r>
          </w:p>
          <w:p>
            <w:pPr>
              <w:spacing w:line="360" w:lineRule="auto"/>
              <w:ind w:firstLine="482" w:firstLineChars="200"/>
              <w:rPr>
                <w:b/>
                <w:color w:val="auto"/>
                <w:sz w:val="24"/>
                <w:szCs w:val="24"/>
              </w:rPr>
            </w:pPr>
            <w:r>
              <w:rPr>
                <w:rFonts w:hint="eastAsia"/>
                <w:b/>
                <w:color w:val="auto"/>
                <w:sz w:val="24"/>
                <w:szCs w:val="24"/>
              </w:rPr>
              <w:t>（</w:t>
            </w:r>
            <w:r>
              <w:rPr>
                <w:b/>
                <w:color w:val="auto"/>
                <w:sz w:val="24"/>
                <w:szCs w:val="24"/>
              </w:rPr>
              <w:t>2</w:t>
            </w:r>
            <w:r>
              <w:rPr>
                <w:rFonts w:hint="eastAsia"/>
                <w:b/>
                <w:color w:val="auto"/>
                <w:sz w:val="24"/>
                <w:szCs w:val="24"/>
              </w:rPr>
              <w:t>）治理措施</w:t>
            </w:r>
          </w:p>
          <w:p>
            <w:pPr>
              <w:spacing w:line="360" w:lineRule="auto"/>
              <w:ind w:firstLine="482" w:firstLineChars="200"/>
              <w:rPr>
                <w:b/>
                <w:color w:val="auto"/>
                <w:sz w:val="24"/>
                <w:szCs w:val="24"/>
              </w:rPr>
            </w:pPr>
            <w:r>
              <w:rPr>
                <w:rFonts w:hint="eastAsia"/>
                <w:b/>
                <w:color w:val="auto"/>
                <w:sz w:val="24"/>
                <w:szCs w:val="24"/>
              </w:rPr>
              <w:t>污泥</w:t>
            </w:r>
            <w:r>
              <w:rPr>
                <w:rFonts w:hint="eastAsia"/>
                <w:color w:val="auto"/>
                <w:sz w:val="24"/>
                <w:szCs w:val="24"/>
              </w:rPr>
              <w:t>：项目按规范建设1间</w:t>
            </w:r>
            <w:r>
              <w:rPr>
                <w:rFonts w:hint="eastAsia"/>
                <w:color w:val="auto"/>
                <w:sz w:val="24"/>
                <w:szCs w:val="24"/>
                <w:lang w:eastAsia="zh-CN"/>
              </w:rPr>
              <w:t>污泥间</w:t>
            </w:r>
            <w:r>
              <w:rPr>
                <w:rFonts w:hint="eastAsia"/>
                <w:color w:val="auto"/>
                <w:sz w:val="24"/>
                <w:szCs w:val="24"/>
              </w:rPr>
              <w:t>，占地面积约</w:t>
            </w:r>
            <w:r>
              <w:rPr>
                <w:rFonts w:hint="eastAsia"/>
                <w:color w:val="auto"/>
                <w:sz w:val="24"/>
                <w:szCs w:val="24"/>
                <w:lang w:val="en-US" w:eastAsia="zh-CN"/>
              </w:rPr>
              <w:t>94</w:t>
            </w:r>
            <w:r>
              <w:rPr>
                <w:color w:val="auto"/>
                <w:sz w:val="24"/>
                <w:szCs w:val="24"/>
              </w:rPr>
              <w:t>m</w:t>
            </w:r>
            <w:r>
              <w:rPr>
                <w:color w:val="auto"/>
                <w:sz w:val="24"/>
                <w:szCs w:val="24"/>
                <w:vertAlign w:val="superscript"/>
              </w:rPr>
              <w:t>2</w:t>
            </w:r>
            <w:r>
              <w:rPr>
                <w:color w:val="auto"/>
                <w:sz w:val="24"/>
                <w:szCs w:val="24"/>
              </w:rPr>
              <w:t>，严格</w:t>
            </w:r>
            <w:r>
              <w:rPr>
                <w:rFonts w:hint="eastAsia"/>
                <w:color w:val="auto"/>
                <w:sz w:val="24"/>
                <w:szCs w:val="24"/>
              </w:rPr>
              <w:t>做好“防风、防雨、防晒、防渗漏”措施和标识标牌，经叠螺浓缩脱水一体机脱水后泥饼暂存于</w:t>
            </w:r>
            <w:r>
              <w:rPr>
                <w:rFonts w:hint="eastAsia"/>
                <w:color w:val="auto"/>
                <w:sz w:val="24"/>
                <w:szCs w:val="24"/>
                <w:lang w:eastAsia="zh-CN"/>
              </w:rPr>
              <w:t>污泥间</w:t>
            </w:r>
            <w:r>
              <w:rPr>
                <w:rFonts w:hint="eastAsia"/>
                <w:color w:val="auto"/>
                <w:sz w:val="24"/>
                <w:szCs w:val="24"/>
              </w:rPr>
              <w:t>，定期交由环卫部门清运处理</w:t>
            </w:r>
            <w:r>
              <w:rPr>
                <w:color w:val="auto"/>
                <w:sz w:val="24"/>
                <w:szCs w:val="24"/>
              </w:rPr>
              <w:t>。</w:t>
            </w:r>
          </w:p>
          <w:p>
            <w:pPr>
              <w:spacing w:line="360" w:lineRule="auto"/>
              <w:ind w:firstLine="482" w:firstLineChars="200"/>
              <w:rPr>
                <w:color w:val="auto"/>
                <w:sz w:val="24"/>
                <w:szCs w:val="24"/>
              </w:rPr>
            </w:pPr>
            <w:r>
              <w:rPr>
                <w:b/>
                <w:color w:val="auto"/>
                <w:sz w:val="24"/>
                <w:szCs w:val="24"/>
              </w:rPr>
              <w:t>废</w:t>
            </w:r>
            <w:r>
              <w:rPr>
                <w:rFonts w:hint="eastAsia"/>
                <w:b/>
                <w:color w:val="auto"/>
                <w:sz w:val="24"/>
                <w:szCs w:val="24"/>
              </w:rPr>
              <w:t>活性炭</w:t>
            </w:r>
            <w:r>
              <w:rPr>
                <w:rFonts w:hint="eastAsia"/>
                <w:color w:val="auto"/>
                <w:sz w:val="24"/>
                <w:szCs w:val="24"/>
              </w:rPr>
              <w:t>：交由厂商回收处理</w:t>
            </w:r>
            <w:r>
              <w:rPr>
                <w:color w:val="auto"/>
                <w:sz w:val="24"/>
                <w:szCs w:val="24"/>
              </w:rPr>
              <w:t>。</w:t>
            </w:r>
          </w:p>
          <w:p>
            <w:pPr>
              <w:spacing w:line="360" w:lineRule="auto"/>
              <w:ind w:firstLine="482" w:firstLineChars="200"/>
              <w:rPr>
                <w:color w:val="auto"/>
                <w:sz w:val="24"/>
                <w:szCs w:val="24"/>
              </w:rPr>
            </w:pPr>
            <w:r>
              <w:rPr>
                <w:rFonts w:hint="eastAsia"/>
                <w:b/>
                <w:color w:val="auto"/>
                <w:sz w:val="24"/>
                <w:szCs w:val="24"/>
              </w:rPr>
              <w:t>废包装料</w:t>
            </w:r>
            <w:r>
              <w:rPr>
                <w:rFonts w:hint="eastAsia"/>
                <w:color w:val="auto"/>
                <w:sz w:val="24"/>
                <w:szCs w:val="24"/>
              </w:rPr>
              <w:t>：外售废旧资源回收站</w:t>
            </w:r>
            <w:r>
              <w:rPr>
                <w:color w:val="auto"/>
                <w:sz w:val="24"/>
                <w:szCs w:val="24"/>
              </w:rPr>
              <w:t>。</w:t>
            </w:r>
          </w:p>
          <w:p>
            <w:pPr>
              <w:spacing w:line="360" w:lineRule="auto"/>
              <w:ind w:firstLine="482" w:firstLineChars="200"/>
              <w:rPr>
                <w:rFonts w:cs="Times New Roman"/>
                <w:color w:val="auto"/>
                <w:sz w:val="24"/>
                <w:szCs w:val="24"/>
              </w:rPr>
            </w:pPr>
            <w:r>
              <w:rPr>
                <w:rFonts w:hint="eastAsia"/>
                <w:b/>
                <w:color w:val="auto"/>
                <w:sz w:val="24"/>
                <w:szCs w:val="24"/>
              </w:rPr>
              <w:t>生活垃圾</w:t>
            </w:r>
            <w:r>
              <w:rPr>
                <w:rFonts w:hint="eastAsia"/>
                <w:color w:val="auto"/>
                <w:sz w:val="24"/>
                <w:szCs w:val="24"/>
              </w:rPr>
              <w:t>：交由环卫部门清运处理，实现日产日清</w:t>
            </w:r>
            <w:r>
              <w:rPr>
                <w:rFonts w:cs="Times New Roman"/>
                <w:color w:val="auto"/>
                <w:sz w:val="24"/>
                <w:szCs w:val="24"/>
              </w:rPr>
              <w:t>。</w:t>
            </w:r>
          </w:p>
          <w:p>
            <w:pPr>
              <w:spacing w:line="360" w:lineRule="auto"/>
              <w:ind w:firstLine="480" w:firstLineChars="200"/>
              <w:rPr>
                <w:sz w:val="24"/>
                <w:szCs w:val="24"/>
              </w:rPr>
            </w:pPr>
            <w:r>
              <w:rPr>
                <w:rFonts w:hint="eastAsia"/>
                <w:sz w:val="24"/>
                <w:szCs w:val="24"/>
              </w:rPr>
              <w:t>综上</w:t>
            </w:r>
            <w:r>
              <w:rPr>
                <w:sz w:val="24"/>
                <w:szCs w:val="24"/>
              </w:rPr>
              <w:t>所述</w:t>
            </w:r>
            <w:r>
              <w:rPr>
                <w:rFonts w:hint="eastAsia"/>
                <w:sz w:val="24"/>
                <w:szCs w:val="24"/>
              </w:rPr>
              <w:t>，项目固体废物污染源强及处置措施见下表：</w:t>
            </w:r>
          </w:p>
          <w:p>
            <w:pPr>
              <w:spacing w:line="360" w:lineRule="auto"/>
              <w:jc w:val="center"/>
              <w:rPr>
                <w:rFonts w:eastAsia="黑体"/>
                <w:szCs w:val="21"/>
              </w:rPr>
            </w:pPr>
            <w:r>
              <w:rPr>
                <w:rFonts w:eastAsia="黑体"/>
                <w:szCs w:val="21"/>
              </w:rPr>
              <w:t>表4</w:t>
            </w:r>
            <w:r>
              <w:rPr>
                <w:rFonts w:hint="eastAsia" w:eastAsia="黑体"/>
                <w:szCs w:val="21"/>
              </w:rPr>
              <w:t>-</w:t>
            </w:r>
            <w:r>
              <w:rPr>
                <w:rFonts w:eastAsia="黑体"/>
                <w:szCs w:val="21"/>
              </w:rPr>
              <w:t>11  固体</w:t>
            </w:r>
            <w:r>
              <w:rPr>
                <w:rFonts w:hint="eastAsia" w:eastAsia="黑体"/>
                <w:szCs w:val="21"/>
              </w:rPr>
              <w:t>废物污染源强及处置措施表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1130"/>
              <w:gridCol w:w="1196"/>
              <w:gridCol w:w="865"/>
              <w:gridCol w:w="865"/>
              <w:gridCol w:w="717"/>
              <w:gridCol w:w="866"/>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1" w:type="pct"/>
                  <w:vMerge w:val="restart"/>
                  <w:vAlign w:val="center"/>
                </w:tcPr>
                <w:p>
                  <w:pPr>
                    <w:jc w:val="center"/>
                    <w:rPr>
                      <w:szCs w:val="21"/>
                    </w:rPr>
                  </w:pPr>
                  <w:r>
                    <w:rPr>
                      <w:rFonts w:hint="eastAsia"/>
                      <w:szCs w:val="21"/>
                    </w:rPr>
                    <w:t>产生源</w:t>
                  </w:r>
                </w:p>
              </w:tc>
              <w:tc>
                <w:tcPr>
                  <w:tcW w:w="666" w:type="pct"/>
                  <w:vMerge w:val="restart"/>
                  <w:vAlign w:val="center"/>
                </w:tcPr>
                <w:p>
                  <w:pPr>
                    <w:jc w:val="center"/>
                    <w:rPr>
                      <w:szCs w:val="21"/>
                    </w:rPr>
                  </w:pPr>
                  <w:r>
                    <w:rPr>
                      <w:szCs w:val="21"/>
                    </w:rPr>
                    <w:t>固体废物名称</w:t>
                  </w:r>
                </w:p>
              </w:tc>
              <w:tc>
                <w:tcPr>
                  <w:tcW w:w="595" w:type="pct"/>
                  <w:vMerge w:val="restart"/>
                  <w:vAlign w:val="center"/>
                </w:tcPr>
                <w:p>
                  <w:pPr>
                    <w:jc w:val="center"/>
                    <w:rPr>
                      <w:szCs w:val="21"/>
                    </w:rPr>
                  </w:pPr>
                  <w:r>
                    <w:rPr>
                      <w:rFonts w:hint="eastAsia"/>
                      <w:szCs w:val="21"/>
                    </w:rPr>
                    <w:t>废物代码</w:t>
                  </w:r>
                </w:p>
              </w:tc>
              <w:tc>
                <w:tcPr>
                  <w:tcW w:w="1025" w:type="pct"/>
                  <w:gridSpan w:val="2"/>
                  <w:vAlign w:val="center"/>
                </w:tcPr>
                <w:p>
                  <w:pPr>
                    <w:jc w:val="center"/>
                    <w:rPr>
                      <w:szCs w:val="21"/>
                    </w:rPr>
                  </w:pPr>
                  <w:r>
                    <w:rPr>
                      <w:rFonts w:hint="eastAsia"/>
                      <w:szCs w:val="21"/>
                    </w:rPr>
                    <w:t>产生量</w:t>
                  </w:r>
                </w:p>
              </w:tc>
              <w:tc>
                <w:tcPr>
                  <w:tcW w:w="940" w:type="pct"/>
                  <w:gridSpan w:val="2"/>
                  <w:vAlign w:val="center"/>
                </w:tcPr>
                <w:p>
                  <w:pPr>
                    <w:jc w:val="center"/>
                    <w:rPr>
                      <w:szCs w:val="21"/>
                    </w:rPr>
                  </w:pPr>
                  <w:r>
                    <w:rPr>
                      <w:rFonts w:hint="eastAsia"/>
                      <w:szCs w:val="21"/>
                    </w:rPr>
                    <w:t>处置措施</w:t>
                  </w:r>
                </w:p>
              </w:tc>
              <w:tc>
                <w:tcPr>
                  <w:tcW w:w="1243" w:type="pct"/>
                  <w:vMerge w:val="restart"/>
                  <w:vAlign w:val="center"/>
                </w:tcPr>
                <w:p>
                  <w:pPr>
                    <w:jc w:val="center"/>
                    <w:rPr>
                      <w:szCs w:val="21"/>
                    </w:rPr>
                  </w:pPr>
                  <w:r>
                    <w:rPr>
                      <w:rFonts w:hint="eastAsia"/>
                      <w:szCs w:val="21"/>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1" w:type="pct"/>
                  <w:vMerge w:val="continue"/>
                  <w:vAlign w:val="center"/>
                </w:tcPr>
                <w:p>
                  <w:pPr>
                    <w:jc w:val="center"/>
                    <w:rPr>
                      <w:szCs w:val="21"/>
                    </w:rPr>
                  </w:pPr>
                </w:p>
              </w:tc>
              <w:tc>
                <w:tcPr>
                  <w:tcW w:w="666" w:type="pct"/>
                  <w:vMerge w:val="continue"/>
                  <w:vAlign w:val="center"/>
                </w:tcPr>
                <w:p>
                  <w:pPr>
                    <w:jc w:val="center"/>
                    <w:rPr>
                      <w:szCs w:val="21"/>
                    </w:rPr>
                  </w:pPr>
                </w:p>
              </w:tc>
              <w:tc>
                <w:tcPr>
                  <w:tcW w:w="595" w:type="pct"/>
                  <w:vMerge w:val="continue"/>
                  <w:vAlign w:val="center"/>
                </w:tcPr>
                <w:p>
                  <w:pPr>
                    <w:jc w:val="center"/>
                    <w:rPr>
                      <w:szCs w:val="21"/>
                    </w:rPr>
                  </w:pPr>
                </w:p>
              </w:tc>
              <w:tc>
                <w:tcPr>
                  <w:tcW w:w="513" w:type="pct"/>
                  <w:vAlign w:val="center"/>
                </w:tcPr>
                <w:p>
                  <w:pPr>
                    <w:jc w:val="center"/>
                    <w:rPr>
                      <w:szCs w:val="21"/>
                    </w:rPr>
                  </w:pPr>
                  <w:r>
                    <w:rPr>
                      <w:rFonts w:hint="eastAsia"/>
                      <w:szCs w:val="21"/>
                    </w:rPr>
                    <w:t>核算</w:t>
                  </w:r>
                </w:p>
                <w:p>
                  <w:pPr>
                    <w:jc w:val="center"/>
                    <w:rPr>
                      <w:szCs w:val="21"/>
                    </w:rPr>
                  </w:pPr>
                  <w:r>
                    <w:rPr>
                      <w:rFonts w:hint="eastAsia"/>
                      <w:szCs w:val="21"/>
                    </w:rPr>
                    <w:t>方法</w:t>
                  </w:r>
                </w:p>
              </w:tc>
              <w:tc>
                <w:tcPr>
                  <w:tcW w:w="512" w:type="pct"/>
                  <w:vAlign w:val="center"/>
                </w:tcPr>
                <w:p>
                  <w:pPr>
                    <w:jc w:val="center"/>
                    <w:rPr>
                      <w:szCs w:val="21"/>
                    </w:rPr>
                  </w:pPr>
                  <w:r>
                    <w:rPr>
                      <w:rFonts w:hint="eastAsia"/>
                      <w:szCs w:val="21"/>
                    </w:rPr>
                    <w:t>产生量(t/a)</w:t>
                  </w:r>
                </w:p>
              </w:tc>
              <w:tc>
                <w:tcPr>
                  <w:tcW w:w="427" w:type="pct"/>
                  <w:vAlign w:val="center"/>
                </w:tcPr>
                <w:p>
                  <w:pPr>
                    <w:jc w:val="center"/>
                    <w:rPr>
                      <w:szCs w:val="21"/>
                    </w:rPr>
                  </w:pPr>
                  <w:r>
                    <w:rPr>
                      <w:rFonts w:hint="eastAsia"/>
                      <w:szCs w:val="21"/>
                    </w:rPr>
                    <w:t>工艺</w:t>
                  </w:r>
                </w:p>
              </w:tc>
              <w:tc>
                <w:tcPr>
                  <w:tcW w:w="513" w:type="pct"/>
                  <w:vAlign w:val="center"/>
                </w:tcPr>
                <w:p>
                  <w:pPr>
                    <w:jc w:val="center"/>
                    <w:rPr>
                      <w:szCs w:val="21"/>
                    </w:rPr>
                  </w:pPr>
                  <w:r>
                    <w:rPr>
                      <w:rFonts w:hint="eastAsia"/>
                      <w:szCs w:val="21"/>
                    </w:rPr>
                    <w:t>处置量(t/a)</w:t>
                  </w:r>
                </w:p>
              </w:tc>
              <w:tc>
                <w:tcPr>
                  <w:tcW w:w="1243"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vAlign w:val="center"/>
                </w:tcPr>
                <w:p>
                  <w:pPr>
                    <w:jc w:val="center"/>
                    <w:rPr>
                      <w:szCs w:val="21"/>
                    </w:rPr>
                  </w:pPr>
                  <w:r>
                    <w:rPr>
                      <w:rFonts w:hint="eastAsia"/>
                      <w:szCs w:val="21"/>
                    </w:rPr>
                    <w:t>废水池、预处理池</w:t>
                  </w:r>
                </w:p>
              </w:tc>
              <w:tc>
                <w:tcPr>
                  <w:tcW w:w="666" w:type="pct"/>
                  <w:vAlign w:val="center"/>
                </w:tcPr>
                <w:p>
                  <w:pPr>
                    <w:jc w:val="center"/>
                    <w:rPr>
                      <w:szCs w:val="21"/>
                    </w:rPr>
                  </w:pPr>
                  <w:r>
                    <w:rPr>
                      <w:szCs w:val="21"/>
                    </w:rPr>
                    <w:t>污泥</w:t>
                  </w:r>
                </w:p>
              </w:tc>
              <w:tc>
                <w:tcPr>
                  <w:tcW w:w="595" w:type="pct"/>
                  <w:vAlign w:val="center"/>
                </w:tcPr>
                <w:p>
                  <w:pPr>
                    <w:jc w:val="center"/>
                    <w:rPr>
                      <w:szCs w:val="21"/>
                    </w:rPr>
                  </w:pPr>
                  <w:r>
                    <w:rPr>
                      <w:szCs w:val="21"/>
                    </w:rPr>
                    <w:t>461</w:t>
                  </w:r>
                  <w:r>
                    <w:rPr>
                      <w:rFonts w:hint="eastAsia"/>
                      <w:szCs w:val="21"/>
                    </w:rPr>
                    <w:t>-</w:t>
                  </w:r>
                  <w:r>
                    <w:rPr>
                      <w:szCs w:val="21"/>
                    </w:rPr>
                    <w:t>001</w:t>
                  </w:r>
                  <w:r>
                    <w:rPr>
                      <w:rFonts w:hint="eastAsia"/>
                      <w:szCs w:val="21"/>
                    </w:rPr>
                    <w:t>-</w:t>
                  </w:r>
                  <w:r>
                    <w:rPr>
                      <w:szCs w:val="21"/>
                    </w:rPr>
                    <w:t>61</w:t>
                  </w:r>
                </w:p>
              </w:tc>
              <w:tc>
                <w:tcPr>
                  <w:tcW w:w="513" w:type="pct"/>
                  <w:vAlign w:val="center"/>
                </w:tcPr>
                <w:p>
                  <w:pPr>
                    <w:jc w:val="center"/>
                    <w:rPr>
                      <w:szCs w:val="21"/>
                    </w:rPr>
                  </w:pPr>
                  <w:r>
                    <w:rPr>
                      <w:rFonts w:hint="eastAsia"/>
                      <w:szCs w:val="21"/>
                    </w:rPr>
                    <w:t>类比法</w:t>
                  </w:r>
                </w:p>
              </w:tc>
              <w:tc>
                <w:tcPr>
                  <w:tcW w:w="512" w:type="pct"/>
                  <w:vAlign w:val="center"/>
                </w:tcPr>
                <w:p>
                  <w:pPr>
                    <w:jc w:val="center"/>
                    <w:rPr>
                      <w:rFonts w:hint="default" w:eastAsia="宋体"/>
                      <w:szCs w:val="21"/>
                      <w:lang w:val="en-US" w:eastAsia="zh-CN"/>
                    </w:rPr>
                  </w:pPr>
                  <w:r>
                    <w:rPr>
                      <w:rFonts w:hint="eastAsia"/>
                      <w:szCs w:val="21"/>
                      <w:lang w:val="en-US" w:eastAsia="zh-CN"/>
                    </w:rPr>
                    <w:t>931.5</w:t>
                  </w:r>
                </w:p>
              </w:tc>
              <w:tc>
                <w:tcPr>
                  <w:tcW w:w="427" w:type="pct"/>
                  <w:vAlign w:val="center"/>
                </w:tcPr>
                <w:p>
                  <w:pPr>
                    <w:jc w:val="center"/>
                    <w:rPr>
                      <w:szCs w:val="21"/>
                    </w:rPr>
                  </w:pPr>
                  <w:r>
                    <w:rPr>
                      <w:szCs w:val="21"/>
                    </w:rPr>
                    <w:t>委托</w:t>
                  </w:r>
                  <w:r>
                    <w:rPr>
                      <w:rFonts w:hint="eastAsia"/>
                      <w:szCs w:val="21"/>
                    </w:rPr>
                    <w:t>利用</w:t>
                  </w:r>
                </w:p>
              </w:tc>
              <w:tc>
                <w:tcPr>
                  <w:tcW w:w="513" w:type="pct"/>
                  <w:vAlign w:val="center"/>
                </w:tcPr>
                <w:p>
                  <w:pPr>
                    <w:jc w:val="center"/>
                    <w:rPr>
                      <w:szCs w:val="21"/>
                    </w:rPr>
                  </w:pPr>
                  <w:r>
                    <w:rPr>
                      <w:rFonts w:hint="eastAsia"/>
                      <w:szCs w:val="21"/>
                      <w:lang w:val="en-US" w:eastAsia="zh-CN"/>
                    </w:rPr>
                    <w:t>931.5</w:t>
                  </w:r>
                </w:p>
              </w:tc>
              <w:tc>
                <w:tcPr>
                  <w:tcW w:w="1243" w:type="pct"/>
                  <w:vAlign w:val="center"/>
                </w:tcPr>
                <w:p>
                  <w:pPr>
                    <w:jc w:val="center"/>
                    <w:rPr>
                      <w:szCs w:val="21"/>
                    </w:rPr>
                  </w:pPr>
                  <w:r>
                    <w:rPr>
                      <w:rFonts w:hint="eastAsia"/>
                      <w:szCs w:val="21"/>
                    </w:rPr>
                    <w:t>交由环卫部门清运处理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tcPr>
                <w:p>
                  <w:pPr>
                    <w:jc w:val="center"/>
                    <w:rPr>
                      <w:szCs w:val="21"/>
                    </w:rPr>
                  </w:pPr>
                  <w:r>
                    <w:rPr>
                      <w:rFonts w:hint="eastAsia"/>
                      <w:szCs w:val="21"/>
                    </w:rPr>
                    <w:t>活性炭过滤器</w:t>
                  </w:r>
                </w:p>
              </w:tc>
              <w:tc>
                <w:tcPr>
                  <w:tcW w:w="666" w:type="pct"/>
                  <w:vAlign w:val="center"/>
                </w:tcPr>
                <w:p>
                  <w:pPr>
                    <w:jc w:val="center"/>
                    <w:rPr>
                      <w:szCs w:val="21"/>
                    </w:rPr>
                  </w:pPr>
                  <w:r>
                    <w:rPr>
                      <w:szCs w:val="21"/>
                    </w:rPr>
                    <w:t>废活性炭</w:t>
                  </w:r>
                </w:p>
              </w:tc>
              <w:tc>
                <w:tcPr>
                  <w:tcW w:w="595" w:type="pct"/>
                </w:tcPr>
                <w:p>
                  <w:pPr>
                    <w:jc w:val="center"/>
                    <w:rPr>
                      <w:szCs w:val="21"/>
                    </w:rPr>
                  </w:pPr>
                  <w:r>
                    <w:rPr>
                      <w:szCs w:val="21"/>
                    </w:rPr>
                    <w:t>461</w:t>
                  </w:r>
                  <w:r>
                    <w:rPr>
                      <w:rFonts w:hint="eastAsia"/>
                      <w:szCs w:val="21"/>
                    </w:rPr>
                    <w:t>-</w:t>
                  </w:r>
                  <w:r>
                    <w:rPr>
                      <w:szCs w:val="21"/>
                    </w:rPr>
                    <w:t>001</w:t>
                  </w:r>
                  <w:r>
                    <w:rPr>
                      <w:rFonts w:hint="eastAsia"/>
                      <w:szCs w:val="21"/>
                    </w:rPr>
                    <w:t>-</w:t>
                  </w:r>
                  <w:r>
                    <w:rPr>
                      <w:szCs w:val="21"/>
                    </w:rPr>
                    <w:t>99</w:t>
                  </w:r>
                </w:p>
              </w:tc>
              <w:tc>
                <w:tcPr>
                  <w:tcW w:w="513" w:type="pct"/>
                  <w:vAlign w:val="center"/>
                </w:tcPr>
                <w:p>
                  <w:pPr>
                    <w:jc w:val="center"/>
                    <w:rPr>
                      <w:szCs w:val="21"/>
                    </w:rPr>
                  </w:pPr>
                  <w:r>
                    <w:rPr>
                      <w:rFonts w:hint="eastAsia"/>
                      <w:szCs w:val="21"/>
                    </w:rPr>
                    <w:t>物料衡算法</w:t>
                  </w:r>
                </w:p>
              </w:tc>
              <w:tc>
                <w:tcPr>
                  <w:tcW w:w="512" w:type="pct"/>
                  <w:vAlign w:val="center"/>
                </w:tcPr>
                <w:p>
                  <w:pPr>
                    <w:jc w:val="center"/>
                    <w:rPr>
                      <w:szCs w:val="21"/>
                    </w:rPr>
                  </w:pPr>
                  <w:r>
                    <w:rPr>
                      <w:rFonts w:hint="eastAsia"/>
                      <w:szCs w:val="21"/>
                    </w:rPr>
                    <w:t>2</w:t>
                  </w:r>
                  <w:r>
                    <w:rPr>
                      <w:szCs w:val="21"/>
                    </w:rPr>
                    <w:t>.34</w:t>
                  </w:r>
                </w:p>
              </w:tc>
              <w:tc>
                <w:tcPr>
                  <w:tcW w:w="427" w:type="pct"/>
                  <w:vAlign w:val="center"/>
                </w:tcPr>
                <w:p>
                  <w:pPr>
                    <w:jc w:val="center"/>
                    <w:rPr>
                      <w:szCs w:val="21"/>
                    </w:rPr>
                  </w:pPr>
                  <w:r>
                    <w:rPr>
                      <w:szCs w:val="21"/>
                    </w:rPr>
                    <w:t>委托</w:t>
                  </w:r>
                  <w:r>
                    <w:rPr>
                      <w:rFonts w:hint="eastAsia"/>
                      <w:szCs w:val="21"/>
                    </w:rPr>
                    <w:t>利用</w:t>
                  </w:r>
                </w:p>
              </w:tc>
              <w:tc>
                <w:tcPr>
                  <w:tcW w:w="513" w:type="pct"/>
                  <w:vAlign w:val="center"/>
                </w:tcPr>
                <w:p>
                  <w:pPr>
                    <w:jc w:val="center"/>
                    <w:rPr>
                      <w:szCs w:val="21"/>
                    </w:rPr>
                  </w:pPr>
                  <w:r>
                    <w:rPr>
                      <w:rFonts w:hint="eastAsia"/>
                      <w:szCs w:val="21"/>
                    </w:rPr>
                    <w:t>2</w:t>
                  </w:r>
                  <w:r>
                    <w:rPr>
                      <w:szCs w:val="21"/>
                    </w:rPr>
                    <w:t>.34</w:t>
                  </w:r>
                </w:p>
              </w:tc>
              <w:tc>
                <w:tcPr>
                  <w:tcW w:w="1243" w:type="pct"/>
                  <w:vAlign w:val="center"/>
                </w:tcPr>
                <w:p>
                  <w:pPr>
                    <w:jc w:val="center"/>
                    <w:rPr>
                      <w:szCs w:val="21"/>
                    </w:rPr>
                  </w:pPr>
                  <w:r>
                    <w:rPr>
                      <w:rFonts w:hint="eastAsia"/>
                      <w:szCs w:val="21"/>
                    </w:rPr>
                    <w:t>交由厂商回收处理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tcPr>
                <w:p>
                  <w:pPr>
                    <w:jc w:val="center"/>
                    <w:rPr>
                      <w:szCs w:val="21"/>
                    </w:rPr>
                  </w:pPr>
                  <w:r>
                    <w:rPr>
                      <w:szCs w:val="21"/>
                    </w:rPr>
                    <w:t>生产过程</w:t>
                  </w:r>
                </w:p>
              </w:tc>
              <w:tc>
                <w:tcPr>
                  <w:tcW w:w="666" w:type="pct"/>
                  <w:vAlign w:val="center"/>
                </w:tcPr>
                <w:p>
                  <w:pPr>
                    <w:jc w:val="center"/>
                    <w:rPr>
                      <w:szCs w:val="21"/>
                    </w:rPr>
                  </w:pPr>
                  <w:r>
                    <w:rPr>
                      <w:szCs w:val="21"/>
                    </w:rPr>
                    <w:t>废包装料</w:t>
                  </w:r>
                </w:p>
              </w:tc>
              <w:tc>
                <w:tcPr>
                  <w:tcW w:w="595" w:type="pct"/>
                </w:tcPr>
                <w:p>
                  <w:pPr>
                    <w:jc w:val="center"/>
                    <w:rPr>
                      <w:szCs w:val="21"/>
                    </w:rPr>
                  </w:pPr>
                  <w:r>
                    <w:rPr>
                      <w:szCs w:val="21"/>
                    </w:rPr>
                    <w:t>461</w:t>
                  </w:r>
                  <w:r>
                    <w:rPr>
                      <w:rFonts w:hint="eastAsia"/>
                      <w:szCs w:val="21"/>
                    </w:rPr>
                    <w:t>-</w:t>
                  </w:r>
                  <w:r>
                    <w:rPr>
                      <w:szCs w:val="21"/>
                    </w:rPr>
                    <w:t>001</w:t>
                  </w:r>
                  <w:r>
                    <w:rPr>
                      <w:rFonts w:hint="eastAsia"/>
                      <w:szCs w:val="21"/>
                    </w:rPr>
                    <w:t>-</w:t>
                  </w:r>
                  <w:r>
                    <w:rPr>
                      <w:szCs w:val="21"/>
                    </w:rPr>
                    <w:t>07</w:t>
                  </w:r>
                </w:p>
              </w:tc>
              <w:tc>
                <w:tcPr>
                  <w:tcW w:w="513" w:type="pct"/>
                  <w:vAlign w:val="center"/>
                </w:tcPr>
                <w:p>
                  <w:pPr>
                    <w:jc w:val="center"/>
                    <w:rPr>
                      <w:szCs w:val="21"/>
                    </w:rPr>
                  </w:pPr>
                  <w:r>
                    <w:rPr>
                      <w:rFonts w:hint="eastAsia"/>
                      <w:szCs w:val="21"/>
                    </w:rPr>
                    <w:t>类比法</w:t>
                  </w:r>
                </w:p>
              </w:tc>
              <w:tc>
                <w:tcPr>
                  <w:tcW w:w="512" w:type="pct"/>
                  <w:vAlign w:val="center"/>
                </w:tcPr>
                <w:p>
                  <w:pPr>
                    <w:jc w:val="center"/>
                    <w:rPr>
                      <w:szCs w:val="21"/>
                    </w:rPr>
                  </w:pPr>
                  <w:r>
                    <w:rPr>
                      <w:rFonts w:hint="eastAsia"/>
                      <w:szCs w:val="21"/>
                    </w:rPr>
                    <w:t>0</w:t>
                  </w:r>
                  <w:r>
                    <w:rPr>
                      <w:szCs w:val="21"/>
                    </w:rPr>
                    <w:t>.02</w:t>
                  </w:r>
                </w:p>
              </w:tc>
              <w:tc>
                <w:tcPr>
                  <w:tcW w:w="427" w:type="pct"/>
                  <w:vAlign w:val="center"/>
                </w:tcPr>
                <w:p>
                  <w:pPr>
                    <w:jc w:val="center"/>
                    <w:rPr>
                      <w:szCs w:val="21"/>
                    </w:rPr>
                  </w:pPr>
                  <w:r>
                    <w:rPr>
                      <w:szCs w:val="21"/>
                    </w:rPr>
                    <w:t>委托</w:t>
                  </w:r>
                  <w:r>
                    <w:rPr>
                      <w:rFonts w:hint="eastAsia"/>
                      <w:szCs w:val="21"/>
                    </w:rPr>
                    <w:t>利用</w:t>
                  </w:r>
                </w:p>
              </w:tc>
              <w:tc>
                <w:tcPr>
                  <w:tcW w:w="513" w:type="pct"/>
                  <w:vAlign w:val="center"/>
                </w:tcPr>
                <w:p>
                  <w:pPr>
                    <w:jc w:val="center"/>
                    <w:rPr>
                      <w:szCs w:val="21"/>
                    </w:rPr>
                  </w:pPr>
                  <w:r>
                    <w:rPr>
                      <w:rFonts w:hint="eastAsia"/>
                      <w:szCs w:val="21"/>
                    </w:rPr>
                    <w:t>0</w:t>
                  </w:r>
                  <w:r>
                    <w:rPr>
                      <w:szCs w:val="21"/>
                    </w:rPr>
                    <w:t>.02</w:t>
                  </w:r>
                </w:p>
              </w:tc>
              <w:tc>
                <w:tcPr>
                  <w:tcW w:w="1243" w:type="pct"/>
                  <w:vAlign w:val="center"/>
                </w:tcPr>
                <w:p>
                  <w:pPr>
                    <w:jc w:val="center"/>
                    <w:rPr>
                      <w:szCs w:val="21"/>
                    </w:rPr>
                  </w:pPr>
                  <w:r>
                    <w:rPr>
                      <w:rFonts w:hint="eastAsia"/>
                      <w:szCs w:val="21"/>
                    </w:rPr>
                    <w:t>外售废旧资源回收站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vAlign w:val="center"/>
                </w:tcPr>
                <w:p>
                  <w:pPr>
                    <w:jc w:val="center"/>
                    <w:rPr>
                      <w:szCs w:val="21"/>
                    </w:rPr>
                  </w:pPr>
                  <w:r>
                    <w:rPr>
                      <w:rFonts w:hint="eastAsia"/>
                      <w:szCs w:val="21"/>
                    </w:rPr>
                    <w:t>值班人员</w:t>
                  </w:r>
                </w:p>
              </w:tc>
              <w:tc>
                <w:tcPr>
                  <w:tcW w:w="666" w:type="pct"/>
                  <w:vAlign w:val="center"/>
                </w:tcPr>
                <w:p>
                  <w:pPr>
                    <w:jc w:val="center"/>
                    <w:rPr>
                      <w:szCs w:val="21"/>
                    </w:rPr>
                  </w:pPr>
                  <w:r>
                    <w:rPr>
                      <w:rFonts w:hint="eastAsia"/>
                      <w:szCs w:val="21"/>
                    </w:rPr>
                    <w:t>生活垃圾</w:t>
                  </w:r>
                </w:p>
              </w:tc>
              <w:tc>
                <w:tcPr>
                  <w:tcW w:w="595" w:type="pct"/>
                  <w:vAlign w:val="center"/>
                </w:tcPr>
                <w:p>
                  <w:pPr>
                    <w:jc w:val="center"/>
                    <w:rPr>
                      <w:szCs w:val="21"/>
                    </w:rPr>
                  </w:pPr>
                  <w:r>
                    <w:rPr>
                      <w:rFonts w:hint="eastAsia"/>
                      <w:szCs w:val="21"/>
                    </w:rPr>
                    <w:t>/</w:t>
                  </w:r>
                </w:p>
              </w:tc>
              <w:tc>
                <w:tcPr>
                  <w:tcW w:w="513" w:type="pct"/>
                  <w:vAlign w:val="center"/>
                </w:tcPr>
                <w:p>
                  <w:pPr>
                    <w:jc w:val="center"/>
                    <w:rPr>
                      <w:szCs w:val="21"/>
                    </w:rPr>
                  </w:pPr>
                  <w:r>
                    <w:rPr>
                      <w:szCs w:val="21"/>
                    </w:rPr>
                    <w:t>产污系数法</w:t>
                  </w:r>
                </w:p>
              </w:tc>
              <w:tc>
                <w:tcPr>
                  <w:tcW w:w="512" w:type="pct"/>
                  <w:vAlign w:val="center"/>
                </w:tcPr>
                <w:p>
                  <w:pPr>
                    <w:jc w:val="center"/>
                    <w:rPr>
                      <w:rFonts w:hint="default" w:eastAsia="宋体"/>
                      <w:szCs w:val="21"/>
                      <w:lang w:val="en-US" w:eastAsia="zh-CN"/>
                    </w:rPr>
                  </w:pPr>
                  <w:r>
                    <w:rPr>
                      <w:rFonts w:hint="eastAsia"/>
                      <w:szCs w:val="21"/>
                      <w:lang w:val="en-US" w:eastAsia="zh-CN"/>
                    </w:rPr>
                    <w:t>1.1</w:t>
                  </w:r>
                </w:p>
              </w:tc>
              <w:tc>
                <w:tcPr>
                  <w:tcW w:w="427" w:type="pct"/>
                  <w:vAlign w:val="center"/>
                </w:tcPr>
                <w:p>
                  <w:pPr>
                    <w:jc w:val="center"/>
                    <w:rPr>
                      <w:szCs w:val="21"/>
                    </w:rPr>
                  </w:pPr>
                  <w:r>
                    <w:rPr>
                      <w:szCs w:val="21"/>
                    </w:rPr>
                    <w:t>委托</w:t>
                  </w:r>
                  <w:r>
                    <w:rPr>
                      <w:rFonts w:hint="eastAsia"/>
                      <w:szCs w:val="21"/>
                    </w:rPr>
                    <w:t>处置</w:t>
                  </w:r>
                </w:p>
              </w:tc>
              <w:tc>
                <w:tcPr>
                  <w:tcW w:w="513" w:type="pct"/>
                  <w:vAlign w:val="center"/>
                </w:tcPr>
                <w:p>
                  <w:pPr>
                    <w:jc w:val="center"/>
                    <w:rPr>
                      <w:rFonts w:hint="default" w:eastAsia="宋体"/>
                      <w:szCs w:val="21"/>
                      <w:lang w:val="en-US" w:eastAsia="zh-CN"/>
                    </w:rPr>
                  </w:pPr>
                  <w:r>
                    <w:rPr>
                      <w:rFonts w:hint="eastAsia"/>
                      <w:szCs w:val="21"/>
                      <w:lang w:val="en-US" w:eastAsia="zh-CN"/>
                    </w:rPr>
                    <w:t>1.1</w:t>
                  </w:r>
                </w:p>
              </w:tc>
              <w:tc>
                <w:tcPr>
                  <w:tcW w:w="1243" w:type="pct"/>
                  <w:vAlign w:val="center"/>
                </w:tcPr>
                <w:p>
                  <w:pPr>
                    <w:jc w:val="center"/>
                    <w:rPr>
                      <w:szCs w:val="21"/>
                    </w:rPr>
                  </w:pPr>
                  <w:r>
                    <w:rPr>
                      <w:rFonts w:hint="eastAsia"/>
                      <w:szCs w:val="21"/>
                    </w:rPr>
                    <w:t>交由环卫部门清运处理</w:t>
                  </w:r>
                </w:p>
              </w:tc>
            </w:tr>
          </w:tbl>
          <w:p>
            <w:pPr>
              <w:spacing w:line="360" w:lineRule="auto"/>
              <w:ind w:firstLine="480" w:firstLineChars="200"/>
              <w:rPr>
                <w:sz w:val="24"/>
                <w:szCs w:val="24"/>
              </w:rPr>
            </w:pPr>
            <w:r>
              <w:rPr>
                <w:rFonts w:hint="eastAsia"/>
                <w:sz w:val="24"/>
                <w:szCs w:val="24"/>
              </w:rPr>
              <w:t>综上所述，运营期严格落实本环评中提出的各类废物处置措施，可防止因处置不当出现的环境二次污染。</w:t>
            </w:r>
          </w:p>
          <w:p>
            <w:pPr>
              <w:spacing w:line="360" w:lineRule="auto"/>
              <w:ind w:firstLine="482" w:firstLineChars="200"/>
              <w:rPr>
                <w:b/>
                <w:sz w:val="24"/>
                <w:szCs w:val="24"/>
              </w:rPr>
            </w:pPr>
            <w:r>
              <w:rPr>
                <w:b/>
                <w:sz w:val="24"/>
                <w:szCs w:val="24"/>
              </w:rPr>
              <w:t>5</w:t>
            </w:r>
            <w:r>
              <w:rPr>
                <w:rFonts w:hint="eastAsia"/>
                <w:b/>
                <w:sz w:val="24"/>
                <w:szCs w:val="24"/>
              </w:rPr>
              <w:t>、地下水、土壤</w:t>
            </w:r>
          </w:p>
          <w:p>
            <w:pPr>
              <w:spacing w:line="360" w:lineRule="auto"/>
              <w:ind w:firstLine="482" w:firstLineChars="200"/>
              <w:rPr>
                <w:b/>
                <w:sz w:val="24"/>
                <w:szCs w:val="24"/>
              </w:rPr>
            </w:pPr>
            <w:r>
              <w:rPr>
                <w:rFonts w:hint="eastAsia"/>
                <w:b/>
                <w:sz w:val="24"/>
                <w:szCs w:val="24"/>
              </w:rPr>
              <w:t>（1）污染途径</w:t>
            </w:r>
          </w:p>
          <w:p>
            <w:pPr>
              <w:spacing w:line="360" w:lineRule="auto"/>
              <w:ind w:firstLine="480" w:firstLineChars="200"/>
              <w:rPr>
                <w:sz w:val="24"/>
                <w:szCs w:val="24"/>
              </w:rPr>
            </w:pPr>
            <w:r>
              <w:rPr>
                <w:rFonts w:hint="eastAsia"/>
                <w:sz w:val="24"/>
                <w:szCs w:val="24"/>
              </w:rPr>
              <w:t>运营期污染物进入地下水、土壤环境的途径主要是液态物料或污水通过垂直入渗、地面漫流等方式进入地下水环境或土壤环境，主要污染源为次氯酸钠加药装置、污水管网、预处理池发生“跑、冒、滴、漏”，导致次氯酸钠、废水</w:t>
            </w:r>
            <w:r>
              <w:rPr>
                <w:sz w:val="24"/>
                <w:szCs w:val="24"/>
              </w:rPr>
              <w:t>等污染物进入地下水环境</w:t>
            </w:r>
            <w:r>
              <w:rPr>
                <w:rFonts w:hint="eastAsia"/>
                <w:sz w:val="24"/>
                <w:szCs w:val="24"/>
              </w:rPr>
              <w:t>。</w:t>
            </w:r>
          </w:p>
          <w:p>
            <w:pPr>
              <w:spacing w:line="360" w:lineRule="auto"/>
              <w:ind w:firstLine="482" w:firstLineChars="200"/>
              <w:rPr>
                <w:b/>
                <w:sz w:val="24"/>
                <w:szCs w:val="24"/>
              </w:rPr>
            </w:pPr>
            <w:r>
              <w:rPr>
                <w:rFonts w:hint="eastAsia"/>
                <w:b/>
                <w:sz w:val="24"/>
                <w:szCs w:val="24"/>
              </w:rPr>
              <w:t>（2）防渗分区</w:t>
            </w:r>
          </w:p>
          <w:p>
            <w:pPr>
              <w:spacing w:line="360" w:lineRule="auto"/>
              <w:ind w:firstLine="480" w:firstLineChars="200"/>
              <w:rPr>
                <w:rFonts w:cs="Times New Roman"/>
                <w:sz w:val="24"/>
                <w:szCs w:val="24"/>
              </w:rPr>
            </w:pPr>
            <w:r>
              <w:rPr>
                <w:rFonts w:hint="eastAsia"/>
                <w:sz w:val="24"/>
                <w:szCs w:val="24"/>
              </w:rPr>
              <w:t>根据《环境影响评价技术导则 地下水环境》（HJ610-2016）防渗分区原则，将本项目分划为重点</w:t>
            </w:r>
            <w:r>
              <w:rPr>
                <w:rFonts w:cs="Times New Roman"/>
                <w:sz w:val="24"/>
                <w:szCs w:val="24"/>
              </w:rPr>
              <w:t>防渗区、一般防渗区和简单防渗区，划分区域如下：</w:t>
            </w:r>
          </w:p>
          <w:p>
            <w:pPr>
              <w:spacing w:line="360" w:lineRule="auto"/>
              <w:ind w:firstLine="482" w:firstLineChars="200"/>
              <w:rPr>
                <w:rFonts w:cs="Times New Roman"/>
                <w:sz w:val="24"/>
                <w:szCs w:val="24"/>
              </w:rPr>
            </w:pPr>
            <w:r>
              <w:rPr>
                <w:rFonts w:cs="Times New Roman"/>
                <w:b/>
                <w:sz w:val="24"/>
                <w:szCs w:val="24"/>
              </w:rPr>
              <w:t>重点防渗区</w:t>
            </w:r>
            <w:r>
              <w:rPr>
                <w:rFonts w:cs="Times New Roman"/>
                <w:sz w:val="24"/>
                <w:szCs w:val="24"/>
              </w:rPr>
              <w:t>：主要</w:t>
            </w:r>
            <w:r>
              <w:rPr>
                <w:rFonts w:hint="eastAsia" w:cs="Times New Roman"/>
                <w:sz w:val="24"/>
                <w:szCs w:val="24"/>
              </w:rPr>
              <w:t>为次氯酸钠</w:t>
            </w:r>
            <w:r>
              <w:rPr>
                <w:rFonts w:cs="Times New Roman"/>
                <w:sz w:val="24"/>
                <w:szCs w:val="24"/>
              </w:rPr>
              <w:t>加药装置区，防渗技术要求为</w:t>
            </w:r>
            <w:r>
              <w:rPr>
                <w:rFonts w:hint="eastAsia"/>
                <w:sz w:val="24"/>
                <w:szCs w:val="24"/>
              </w:rPr>
              <w:t>等效黏土防渗层Mb</w:t>
            </w:r>
            <w:r>
              <w:rPr>
                <w:sz w:val="24"/>
                <w:szCs w:val="24"/>
              </w:rPr>
              <w:t>≥6.0m，K≤10</w:t>
            </w:r>
            <w:r>
              <w:rPr>
                <w:sz w:val="24"/>
                <w:szCs w:val="24"/>
                <w:vertAlign w:val="superscript"/>
              </w:rPr>
              <w:t>-7</w:t>
            </w:r>
            <w:r>
              <w:rPr>
                <w:sz w:val="24"/>
                <w:szCs w:val="24"/>
              </w:rPr>
              <w:t>cm/s</w:t>
            </w:r>
            <w:r>
              <w:rPr>
                <w:rFonts w:hint="eastAsia"/>
                <w:sz w:val="24"/>
                <w:szCs w:val="24"/>
              </w:rPr>
              <w:t>。</w:t>
            </w:r>
          </w:p>
          <w:p>
            <w:pPr>
              <w:spacing w:line="360" w:lineRule="auto"/>
              <w:ind w:firstLine="482" w:firstLineChars="200"/>
              <w:rPr>
                <w:rFonts w:cs="Times New Roman"/>
                <w:color w:val="auto"/>
                <w:sz w:val="24"/>
                <w:szCs w:val="24"/>
              </w:rPr>
            </w:pPr>
            <w:r>
              <w:rPr>
                <w:rFonts w:cs="Times New Roman"/>
                <w:b/>
                <w:sz w:val="24"/>
                <w:szCs w:val="24"/>
              </w:rPr>
              <w:t>一般</w:t>
            </w:r>
            <w:r>
              <w:rPr>
                <w:rFonts w:cs="Times New Roman"/>
                <w:b/>
                <w:color w:val="auto"/>
                <w:sz w:val="24"/>
                <w:szCs w:val="24"/>
              </w:rPr>
              <w:t>防渗区</w:t>
            </w:r>
            <w:r>
              <w:rPr>
                <w:rFonts w:cs="Times New Roman"/>
                <w:color w:val="auto"/>
                <w:sz w:val="24"/>
                <w:szCs w:val="24"/>
              </w:rPr>
              <w:t>：包括</w:t>
            </w:r>
            <w:r>
              <w:rPr>
                <w:rFonts w:hint="eastAsia" w:cs="Times New Roman"/>
                <w:color w:val="auto"/>
                <w:sz w:val="24"/>
                <w:szCs w:val="24"/>
              </w:rPr>
              <w:t>脱水机房（含</w:t>
            </w:r>
            <w:r>
              <w:rPr>
                <w:rFonts w:hint="eastAsia" w:cs="Times New Roman"/>
                <w:color w:val="auto"/>
                <w:sz w:val="24"/>
                <w:szCs w:val="24"/>
                <w:lang w:val="en-US" w:eastAsia="zh-CN"/>
              </w:rPr>
              <w:t>污泥间</w:t>
            </w:r>
            <w:r>
              <w:rPr>
                <w:rFonts w:hint="eastAsia" w:cs="Times New Roman"/>
                <w:color w:val="auto"/>
                <w:sz w:val="24"/>
                <w:szCs w:val="24"/>
              </w:rPr>
              <w:t>）、废水池、生产区、预处理池</w:t>
            </w:r>
            <w:r>
              <w:rPr>
                <w:rFonts w:cs="Times New Roman"/>
                <w:color w:val="auto"/>
                <w:sz w:val="24"/>
                <w:szCs w:val="24"/>
              </w:rPr>
              <w:t>等，防渗技术要求为等效粘土防渗层Mb≥1.5m，K≤10</w:t>
            </w:r>
            <w:r>
              <w:rPr>
                <w:rFonts w:cs="Times New Roman"/>
                <w:color w:val="auto"/>
                <w:sz w:val="24"/>
                <w:szCs w:val="24"/>
                <w:vertAlign w:val="superscript"/>
              </w:rPr>
              <w:t>-7</w:t>
            </w:r>
            <w:r>
              <w:rPr>
                <w:rFonts w:cs="Times New Roman"/>
                <w:color w:val="auto"/>
                <w:sz w:val="24"/>
                <w:szCs w:val="24"/>
              </w:rPr>
              <w:t>cm/s。</w:t>
            </w:r>
          </w:p>
          <w:p>
            <w:pPr>
              <w:spacing w:line="360" w:lineRule="auto"/>
              <w:ind w:firstLine="482" w:firstLineChars="200"/>
              <w:rPr>
                <w:rFonts w:cs="Times New Roman"/>
                <w:sz w:val="24"/>
                <w:szCs w:val="24"/>
              </w:rPr>
            </w:pPr>
            <w:r>
              <w:rPr>
                <w:rFonts w:cs="Times New Roman"/>
                <w:b/>
                <w:color w:val="auto"/>
                <w:sz w:val="24"/>
                <w:szCs w:val="24"/>
              </w:rPr>
              <w:t>简单防渗区</w:t>
            </w:r>
            <w:r>
              <w:rPr>
                <w:rFonts w:cs="Times New Roman"/>
                <w:color w:val="auto"/>
                <w:sz w:val="24"/>
                <w:szCs w:val="24"/>
              </w:rPr>
              <w:t>：</w:t>
            </w:r>
            <w:r>
              <w:rPr>
                <w:rFonts w:hint="eastAsia" w:cs="Times New Roman"/>
                <w:color w:val="auto"/>
                <w:sz w:val="24"/>
                <w:szCs w:val="24"/>
              </w:rPr>
              <w:t>值班室、配电间及控制室、</w:t>
            </w:r>
            <w:r>
              <w:rPr>
                <w:rFonts w:cs="Times New Roman"/>
                <w:color w:val="auto"/>
                <w:sz w:val="24"/>
                <w:szCs w:val="24"/>
              </w:rPr>
              <w:t>厂区道路等，防渗技术</w:t>
            </w:r>
            <w:r>
              <w:rPr>
                <w:rFonts w:cs="Times New Roman"/>
                <w:sz w:val="24"/>
                <w:szCs w:val="24"/>
              </w:rPr>
              <w:t>要求为一般地面硬化。</w:t>
            </w:r>
          </w:p>
          <w:p>
            <w:pPr>
              <w:spacing w:line="360" w:lineRule="auto"/>
              <w:ind w:firstLine="482" w:firstLineChars="200"/>
              <w:rPr>
                <w:b/>
                <w:sz w:val="24"/>
                <w:szCs w:val="24"/>
              </w:rPr>
            </w:pPr>
            <w:r>
              <w:rPr>
                <w:rFonts w:hint="eastAsia"/>
                <w:b/>
                <w:sz w:val="24"/>
                <w:szCs w:val="24"/>
              </w:rPr>
              <w:t>（3）防控措施</w:t>
            </w:r>
          </w:p>
          <w:p>
            <w:pPr>
              <w:spacing w:line="360" w:lineRule="auto"/>
              <w:ind w:firstLine="482" w:firstLineChars="200"/>
              <w:rPr>
                <w:b/>
                <w:sz w:val="24"/>
                <w:szCs w:val="24"/>
              </w:rPr>
            </w:pPr>
            <w:r>
              <w:rPr>
                <w:rFonts w:hint="eastAsia"/>
                <w:b/>
                <w:sz w:val="24"/>
                <w:szCs w:val="24"/>
              </w:rPr>
              <w:t>①源头控制</w:t>
            </w:r>
            <w:r>
              <w:rPr>
                <w:b/>
                <w:sz w:val="24"/>
                <w:szCs w:val="24"/>
              </w:rPr>
              <w:t>措施</w:t>
            </w:r>
          </w:p>
          <w:p>
            <w:pPr>
              <w:spacing w:line="360" w:lineRule="auto"/>
              <w:ind w:firstLine="480" w:firstLineChars="200"/>
              <w:rPr>
                <w:rFonts w:cs="Times New Roman"/>
                <w:b/>
                <w:sz w:val="24"/>
                <w:szCs w:val="24"/>
              </w:rPr>
            </w:pPr>
            <w:r>
              <w:rPr>
                <w:rFonts w:hint="eastAsia"/>
                <w:sz w:val="24"/>
                <w:szCs w:val="24"/>
              </w:rPr>
              <w:t>项目减少有害原料的贮存和使用，次氯酸钠输送管道、设备、污水收集设施均采取防腐、防渗漏措施，防止污染物“跑、冒、滴、漏”。</w:t>
            </w:r>
          </w:p>
          <w:p>
            <w:pPr>
              <w:spacing w:line="360" w:lineRule="auto"/>
              <w:ind w:firstLine="482" w:firstLineChars="200"/>
              <w:rPr>
                <w:rFonts w:cs="Times New Roman"/>
                <w:b/>
                <w:sz w:val="24"/>
                <w:szCs w:val="24"/>
              </w:rPr>
            </w:pPr>
            <w:r>
              <w:rPr>
                <w:rFonts w:hint="eastAsia" w:cs="Times New Roman"/>
                <w:b/>
                <w:sz w:val="24"/>
                <w:szCs w:val="24"/>
              </w:rPr>
              <w:t>②分区防渗措施</w:t>
            </w:r>
          </w:p>
          <w:p>
            <w:pPr>
              <w:spacing w:line="360" w:lineRule="auto"/>
              <w:ind w:firstLine="482" w:firstLineChars="200"/>
              <w:rPr>
                <w:rFonts w:cs="Times New Roman"/>
                <w:sz w:val="24"/>
                <w:szCs w:val="24"/>
              </w:rPr>
            </w:pPr>
            <w:r>
              <w:rPr>
                <w:rFonts w:cs="Times New Roman"/>
                <w:b/>
                <w:sz w:val="24"/>
                <w:szCs w:val="24"/>
              </w:rPr>
              <w:t>重点防渗区</w:t>
            </w:r>
            <w:r>
              <w:rPr>
                <w:rFonts w:cs="Times New Roman"/>
                <w:sz w:val="24"/>
                <w:szCs w:val="24"/>
              </w:rPr>
              <w:t>：采取防渗混凝土+2mm厚HDPE防渗层进行防渗、防腐处理，确保防渗性能与6m厚黏土防渗层等效，防渗系数K≤1×10</w:t>
            </w:r>
            <w:r>
              <w:rPr>
                <w:rFonts w:cs="Times New Roman"/>
                <w:sz w:val="24"/>
                <w:szCs w:val="24"/>
                <w:vertAlign w:val="superscript"/>
              </w:rPr>
              <w:t>-7</w:t>
            </w:r>
            <w:r>
              <w:rPr>
                <w:rFonts w:cs="Times New Roman"/>
                <w:sz w:val="24"/>
                <w:szCs w:val="24"/>
              </w:rPr>
              <w:t>cm/s。</w:t>
            </w:r>
          </w:p>
          <w:p>
            <w:pPr>
              <w:spacing w:line="360" w:lineRule="auto"/>
              <w:ind w:firstLine="482" w:firstLineChars="200"/>
              <w:rPr>
                <w:rFonts w:cs="Times New Roman"/>
                <w:sz w:val="24"/>
                <w:szCs w:val="24"/>
              </w:rPr>
            </w:pPr>
            <w:r>
              <w:rPr>
                <w:rFonts w:cs="Times New Roman"/>
                <w:b/>
                <w:sz w:val="24"/>
                <w:szCs w:val="24"/>
              </w:rPr>
              <w:t>一般防渗区</w:t>
            </w:r>
            <w:r>
              <w:rPr>
                <w:rFonts w:cs="Times New Roman"/>
                <w:sz w:val="24"/>
                <w:szCs w:val="24"/>
              </w:rPr>
              <w:t>：采取防渗混凝土+黏土防渗层，确保防渗性能与1.5m厚黏土防渗层等效，防渗系数K≤1×10</w:t>
            </w:r>
            <w:r>
              <w:rPr>
                <w:rFonts w:cs="Times New Roman"/>
                <w:sz w:val="24"/>
                <w:szCs w:val="24"/>
                <w:vertAlign w:val="superscript"/>
              </w:rPr>
              <w:t>-7</w:t>
            </w:r>
            <w:r>
              <w:rPr>
                <w:rFonts w:cs="Times New Roman"/>
                <w:sz w:val="24"/>
                <w:szCs w:val="24"/>
              </w:rPr>
              <w:t>cm/s。</w:t>
            </w:r>
          </w:p>
          <w:p>
            <w:pPr>
              <w:spacing w:line="360" w:lineRule="auto"/>
              <w:ind w:firstLine="482" w:firstLineChars="200"/>
              <w:rPr>
                <w:rFonts w:cs="Times New Roman"/>
                <w:sz w:val="24"/>
                <w:szCs w:val="24"/>
              </w:rPr>
            </w:pPr>
            <w:r>
              <w:rPr>
                <w:rFonts w:cs="Times New Roman"/>
                <w:b/>
                <w:sz w:val="24"/>
                <w:szCs w:val="24"/>
              </w:rPr>
              <w:t>简单防渗区</w:t>
            </w:r>
            <w:r>
              <w:rPr>
                <w:rFonts w:cs="Times New Roman"/>
                <w:sz w:val="24"/>
                <w:szCs w:val="24"/>
              </w:rPr>
              <w:t>：采取水泥地面硬化。</w:t>
            </w:r>
          </w:p>
          <w:p>
            <w:pPr>
              <w:spacing w:line="360" w:lineRule="auto"/>
              <w:ind w:firstLine="480" w:firstLineChars="200"/>
              <w:rPr>
                <w:sz w:val="24"/>
                <w:szCs w:val="24"/>
              </w:rPr>
            </w:pPr>
            <w:r>
              <w:rPr>
                <w:rFonts w:hint="eastAsia"/>
                <w:sz w:val="24"/>
                <w:szCs w:val="24"/>
              </w:rPr>
              <w:t>采取上述治理措施后，本项目防控措施基本满足《环境影响评价技术导则 地下水环境》（HJ610-2016）和</w:t>
            </w:r>
            <w:r>
              <w:rPr>
                <w:rFonts w:hint="eastAsia" w:cs="宋体"/>
                <w:sz w:val="24"/>
                <w:szCs w:val="24"/>
              </w:rPr>
              <w:t>《环境影响评价技术导则 土壤环境（试行）》（HJ964-2018）</w:t>
            </w:r>
            <w:r>
              <w:rPr>
                <w:rFonts w:hint="eastAsia"/>
                <w:sz w:val="24"/>
                <w:szCs w:val="24"/>
              </w:rPr>
              <w:t>中要求，不会对地下水、土壤环境造成不利影响。</w:t>
            </w:r>
          </w:p>
          <w:p>
            <w:pPr>
              <w:spacing w:line="360" w:lineRule="auto"/>
              <w:ind w:firstLine="482" w:firstLineChars="200"/>
              <w:rPr>
                <w:b/>
                <w:sz w:val="24"/>
                <w:szCs w:val="24"/>
              </w:rPr>
            </w:pPr>
            <w:r>
              <w:rPr>
                <w:rFonts w:hint="eastAsia"/>
                <w:b/>
                <w:sz w:val="24"/>
                <w:szCs w:val="24"/>
              </w:rPr>
              <w:t>（</w:t>
            </w:r>
            <w:r>
              <w:rPr>
                <w:b/>
                <w:sz w:val="24"/>
                <w:szCs w:val="24"/>
              </w:rPr>
              <w:t>4</w:t>
            </w:r>
            <w:r>
              <w:rPr>
                <w:rFonts w:hint="eastAsia"/>
                <w:b/>
                <w:sz w:val="24"/>
                <w:szCs w:val="24"/>
              </w:rPr>
              <w:t>）监测要求</w:t>
            </w:r>
          </w:p>
          <w:p>
            <w:pPr>
              <w:spacing w:line="360" w:lineRule="auto"/>
              <w:ind w:firstLine="480" w:firstLineChars="200"/>
              <w:rPr>
                <w:sz w:val="24"/>
                <w:szCs w:val="24"/>
              </w:rPr>
            </w:pPr>
            <w:r>
              <w:rPr>
                <w:rFonts w:hint="eastAsia"/>
                <w:sz w:val="24"/>
                <w:szCs w:val="24"/>
              </w:rPr>
              <w:t>根据《环境影响评价技术导则 地下水环境》（HJ610-2016）和</w:t>
            </w:r>
            <w:r>
              <w:rPr>
                <w:rFonts w:hint="eastAsia" w:cs="宋体"/>
                <w:sz w:val="24"/>
                <w:szCs w:val="24"/>
              </w:rPr>
              <w:t>《环境影响评价技术导则 土壤环境（试行）》（HJ964-2018）中跟踪监测要求，本项目</w:t>
            </w:r>
            <w:r>
              <w:rPr>
                <w:rFonts w:hint="eastAsia"/>
                <w:sz w:val="24"/>
                <w:szCs w:val="24"/>
              </w:rPr>
              <w:t>可不开展地下水、土壤的跟踪监测。</w:t>
            </w:r>
          </w:p>
          <w:p>
            <w:pPr>
              <w:spacing w:line="360" w:lineRule="auto"/>
              <w:ind w:firstLine="482" w:firstLineChars="200"/>
              <w:rPr>
                <w:b/>
                <w:sz w:val="24"/>
                <w:szCs w:val="24"/>
              </w:rPr>
            </w:pPr>
            <w:r>
              <w:rPr>
                <w:b/>
                <w:sz w:val="24"/>
                <w:szCs w:val="24"/>
              </w:rPr>
              <w:t>6</w:t>
            </w:r>
            <w:r>
              <w:rPr>
                <w:rFonts w:hint="eastAsia"/>
                <w:b/>
                <w:sz w:val="24"/>
                <w:szCs w:val="24"/>
              </w:rPr>
              <w:t>、环境风险</w:t>
            </w:r>
          </w:p>
          <w:p>
            <w:pPr>
              <w:spacing w:line="360" w:lineRule="auto"/>
              <w:ind w:firstLine="482" w:firstLineChars="200"/>
              <w:rPr>
                <w:b/>
                <w:sz w:val="24"/>
                <w:szCs w:val="24"/>
              </w:rPr>
            </w:pPr>
            <w:r>
              <w:rPr>
                <w:rFonts w:hint="eastAsia"/>
                <w:b/>
                <w:sz w:val="24"/>
                <w:szCs w:val="24"/>
              </w:rPr>
              <w:t>（1）风险调查</w:t>
            </w:r>
          </w:p>
          <w:p>
            <w:pPr>
              <w:spacing w:line="360" w:lineRule="auto"/>
              <w:ind w:firstLine="480"/>
              <w:rPr>
                <w:sz w:val="24"/>
                <w:szCs w:val="24"/>
              </w:rPr>
            </w:pPr>
            <w:r>
              <w:rPr>
                <w:rFonts w:hint="eastAsia"/>
                <w:sz w:val="24"/>
                <w:szCs w:val="24"/>
              </w:rPr>
              <w:t>通过对运营期主要原辅材料及其分布情况、生产工艺特点进行分析，项目使用、贮存的次氯酸钠为有毒危险物质，其危险特性、贮存情况见下表：</w:t>
            </w:r>
          </w:p>
          <w:p>
            <w:pPr>
              <w:spacing w:line="360" w:lineRule="auto"/>
              <w:jc w:val="center"/>
              <w:rPr>
                <w:rFonts w:eastAsia="黑体" w:cs="Times New Roman"/>
                <w:szCs w:val="21"/>
              </w:rPr>
            </w:pPr>
            <w:r>
              <w:rPr>
                <w:rFonts w:hint="eastAsia" w:eastAsia="黑体"/>
                <w:szCs w:val="21"/>
              </w:rPr>
              <w:t>表</w:t>
            </w:r>
            <w:r>
              <w:rPr>
                <w:rFonts w:eastAsia="黑体" w:cs="Times New Roman"/>
                <w:szCs w:val="21"/>
              </w:rPr>
              <w:t>4</w:t>
            </w:r>
            <w:r>
              <w:rPr>
                <w:rFonts w:hint="eastAsia" w:eastAsia="黑体" w:cs="Times New Roman"/>
                <w:szCs w:val="21"/>
              </w:rPr>
              <w:t>-</w:t>
            </w:r>
            <w:r>
              <w:rPr>
                <w:rFonts w:eastAsia="黑体" w:cs="Times New Roman"/>
                <w:szCs w:val="21"/>
              </w:rPr>
              <w:t xml:space="preserve">12  </w:t>
            </w:r>
            <w:r>
              <w:rPr>
                <w:rFonts w:hint="eastAsia" w:eastAsia="黑体" w:cs="Times New Roman"/>
                <w:szCs w:val="21"/>
              </w:rPr>
              <w:t>主要危险物质储存及危险特性</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1278"/>
              <w:gridCol w:w="1135"/>
              <w:gridCol w:w="1135"/>
              <w:gridCol w:w="1558"/>
              <w:gridCol w:w="709"/>
              <w:gridCol w:w="1134"/>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7" w:type="pct"/>
                  <w:vAlign w:val="center"/>
                </w:tcPr>
                <w:p>
                  <w:pPr>
                    <w:jc w:val="center"/>
                    <w:rPr>
                      <w:szCs w:val="21"/>
                    </w:rPr>
                  </w:pPr>
                  <w:r>
                    <w:rPr>
                      <w:rFonts w:hint="eastAsia"/>
                      <w:szCs w:val="21"/>
                    </w:rPr>
                    <w:t>序号</w:t>
                  </w:r>
                </w:p>
              </w:tc>
              <w:tc>
                <w:tcPr>
                  <w:tcW w:w="737" w:type="pct"/>
                  <w:vAlign w:val="center"/>
                </w:tcPr>
                <w:p>
                  <w:pPr>
                    <w:jc w:val="center"/>
                    <w:rPr>
                      <w:szCs w:val="21"/>
                    </w:rPr>
                  </w:pPr>
                  <w:r>
                    <w:rPr>
                      <w:rFonts w:hint="eastAsia"/>
                      <w:szCs w:val="21"/>
                    </w:rPr>
                    <w:t>危险单元</w:t>
                  </w:r>
                </w:p>
              </w:tc>
              <w:tc>
                <w:tcPr>
                  <w:tcW w:w="655" w:type="pct"/>
                  <w:vAlign w:val="center"/>
                </w:tcPr>
                <w:p>
                  <w:pPr>
                    <w:jc w:val="center"/>
                    <w:rPr>
                      <w:szCs w:val="21"/>
                    </w:rPr>
                  </w:pPr>
                  <w:r>
                    <w:rPr>
                      <w:rFonts w:hint="eastAsia"/>
                      <w:szCs w:val="21"/>
                    </w:rPr>
                    <w:t>危险物质</w:t>
                  </w:r>
                </w:p>
              </w:tc>
              <w:tc>
                <w:tcPr>
                  <w:tcW w:w="655" w:type="pct"/>
                  <w:vAlign w:val="center"/>
                </w:tcPr>
                <w:p>
                  <w:pPr>
                    <w:jc w:val="center"/>
                    <w:rPr>
                      <w:szCs w:val="21"/>
                    </w:rPr>
                  </w:pPr>
                  <w:r>
                    <w:rPr>
                      <w:rFonts w:hint="eastAsia"/>
                      <w:szCs w:val="21"/>
                    </w:rPr>
                    <w:t>CAS号</w:t>
                  </w:r>
                </w:p>
              </w:tc>
              <w:tc>
                <w:tcPr>
                  <w:tcW w:w="899" w:type="pct"/>
                  <w:vAlign w:val="center"/>
                </w:tcPr>
                <w:p>
                  <w:pPr>
                    <w:jc w:val="center"/>
                    <w:rPr>
                      <w:szCs w:val="21"/>
                    </w:rPr>
                  </w:pPr>
                  <w:r>
                    <w:rPr>
                      <w:rFonts w:hint="eastAsia"/>
                      <w:szCs w:val="21"/>
                    </w:rPr>
                    <w:t>储存量（t）</w:t>
                  </w:r>
                </w:p>
              </w:tc>
              <w:tc>
                <w:tcPr>
                  <w:tcW w:w="409" w:type="pct"/>
                  <w:vAlign w:val="center"/>
                </w:tcPr>
                <w:p>
                  <w:pPr>
                    <w:jc w:val="center"/>
                    <w:rPr>
                      <w:szCs w:val="21"/>
                    </w:rPr>
                  </w:pPr>
                  <w:r>
                    <w:rPr>
                      <w:rFonts w:hint="eastAsia"/>
                      <w:szCs w:val="21"/>
                    </w:rPr>
                    <w:t>形态</w:t>
                  </w:r>
                </w:p>
              </w:tc>
              <w:tc>
                <w:tcPr>
                  <w:tcW w:w="654" w:type="pct"/>
                  <w:vAlign w:val="center"/>
                </w:tcPr>
                <w:p>
                  <w:pPr>
                    <w:jc w:val="center"/>
                    <w:rPr>
                      <w:szCs w:val="21"/>
                    </w:rPr>
                  </w:pPr>
                  <w:r>
                    <w:rPr>
                      <w:rFonts w:hint="eastAsia"/>
                      <w:szCs w:val="21"/>
                    </w:rPr>
                    <w:t>储存方式</w:t>
                  </w:r>
                </w:p>
              </w:tc>
              <w:tc>
                <w:tcPr>
                  <w:tcW w:w="505" w:type="pct"/>
                  <w:vAlign w:val="center"/>
                </w:tcPr>
                <w:p>
                  <w:pPr>
                    <w:jc w:val="center"/>
                    <w:rPr>
                      <w:szCs w:val="21"/>
                    </w:rPr>
                  </w:pPr>
                  <w:r>
                    <w:rPr>
                      <w:rFonts w:hint="eastAsia"/>
                      <w:szCs w:val="21"/>
                    </w:rPr>
                    <w:t>危险性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87" w:type="pct"/>
                  <w:vAlign w:val="center"/>
                </w:tcPr>
                <w:p>
                  <w:pPr>
                    <w:jc w:val="center"/>
                    <w:rPr>
                      <w:szCs w:val="21"/>
                    </w:rPr>
                  </w:pPr>
                  <w:r>
                    <w:rPr>
                      <w:szCs w:val="21"/>
                    </w:rPr>
                    <w:t>1</w:t>
                  </w:r>
                </w:p>
              </w:tc>
              <w:tc>
                <w:tcPr>
                  <w:tcW w:w="737" w:type="pct"/>
                  <w:vAlign w:val="center"/>
                </w:tcPr>
                <w:p>
                  <w:pPr>
                    <w:jc w:val="center"/>
                    <w:rPr>
                      <w:rFonts w:cstheme="minorHAnsi"/>
                      <w:szCs w:val="21"/>
                    </w:rPr>
                  </w:pPr>
                  <w:r>
                    <w:rPr>
                      <w:rFonts w:hint="eastAsia" w:cstheme="minorHAnsi"/>
                      <w:szCs w:val="21"/>
                    </w:rPr>
                    <w:t>次氯酸钠</w:t>
                  </w:r>
                  <w:r>
                    <w:rPr>
                      <w:rFonts w:cstheme="minorHAnsi"/>
                      <w:szCs w:val="21"/>
                    </w:rPr>
                    <w:t>加药装置区</w:t>
                  </w:r>
                </w:p>
              </w:tc>
              <w:tc>
                <w:tcPr>
                  <w:tcW w:w="655" w:type="pct"/>
                  <w:vAlign w:val="center"/>
                </w:tcPr>
                <w:p>
                  <w:pPr>
                    <w:jc w:val="center"/>
                    <w:rPr>
                      <w:szCs w:val="21"/>
                    </w:rPr>
                  </w:pPr>
                  <w:r>
                    <w:rPr>
                      <w:rFonts w:hint="eastAsia"/>
                      <w:szCs w:val="21"/>
                    </w:rPr>
                    <w:t>次氯酸钠</w:t>
                  </w:r>
                </w:p>
              </w:tc>
              <w:tc>
                <w:tcPr>
                  <w:tcW w:w="655" w:type="pct"/>
                  <w:vAlign w:val="center"/>
                </w:tcPr>
                <w:p>
                  <w:pPr>
                    <w:jc w:val="center"/>
                    <w:rPr>
                      <w:szCs w:val="21"/>
                    </w:rPr>
                  </w:pPr>
                  <w:r>
                    <w:rPr>
                      <w:szCs w:val="21"/>
                    </w:rPr>
                    <w:t>7681-52-9</w:t>
                  </w:r>
                </w:p>
              </w:tc>
              <w:tc>
                <w:tcPr>
                  <w:tcW w:w="899" w:type="pct"/>
                  <w:vAlign w:val="center"/>
                </w:tcPr>
                <w:p>
                  <w:pPr>
                    <w:jc w:val="center"/>
                    <w:rPr>
                      <w:szCs w:val="21"/>
                    </w:rPr>
                  </w:pPr>
                  <w:r>
                    <w:rPr>
                      <w:szCs w:val="21"/>
                    </w:rPr>
                    <w:t>0.08（</w:t>
                  </w:r>
                  <w:r>
                    <w:rPr>
                      <w:rFonts w:hint="eastAsia"/>
                      <w:szCs w:val="21"/>
                    </w:rPr>
                    <w:t>折</w:t>
                  </w:r>
                  <w:r>
                    <w:rPr>
                      <w:szCs w:val="21"/>
                    </w:rPr>
                    <w:t>算成次氯酸钠）</w:t>
                  </w:r>
                </w:p>
              </w:tc>
              <w:tc>
                <w:tcPr>
                  <w:tcW w:w="409" w:type="pct"/>
                  <w:vAlign w:val="center"/>
                </w:tcPr>
                <w:p>
                  <w:pPr>
                    <w:jc w:val="center"/>
                    <w:rPr>
                      <w:szCs w:val="21"/>
                    </w:rPr>
                  </w:pPr>
                  <w:r>
                    <w:rPr>
                      <w:rFonts w:hint="eastAsia"/>
                      <w:szCs w:val="21"/>
                    </w:rPr>
                    <w:t>液体</w:t>
                  </w:r>
                </w:p>
              </w:tc>
              <w:tc>
                <w:tcPr>
                  <w:tcW w:w="654" w:type="pct"/>
                  <w:vAlign w:val="center"/>
                </w:tcPr>
                <w:p>
                  <w:pPr>
                    <w:jc w:val="center"/>
                    <w:rPr>
                      <w:szCs w:val="21"/>
                    </w:rPr>
                  </w:pPr>
                  <w:r>
                    <w:rPr>
                      <w:rFonts w:hint="eastAsia"/>
                      <w:szCs w:val="21"/>
                    </w:rPr>
                    <w:t>储药箱</w:t>
                  </w:r>
                </w:p>
              </w:tc>
              <w:tc>
                <w:tcPr>
                  <w:tcW w:w="505" w:type="pct"/>
                  <w:vAlign w:val="center"/>
                </w:tcPr>
                <w:p>
                  <w:pPr>
                    <w:jc w:val="center"/>
                    <w:rPr>
                      <w:szCs w:val="21"/>
                    </w:rPr>
                  </w:pPr>
                  <w:r>
                    <w:rPr>
                      <w:rFonts w:hint="eastAsia"/>
                      <w:szCs w:val="21"/>
                    </w:rPr>
                    <w:t>有毒</w:t>
                  </w:r>
                </w:p>
              </w:tc>
            </w:tr>
          </w:tbl>
          <w:p>
            <w:pPr>
              <w:spacing w:line="360" w:lineRule="auto"/>
              <w:ind w:firstLine="482" w:firstLineChars="200"/>
              <w:rPr>
                <w:b/>
                <w:sz w:val="24"/>
                <w:szCs w:val="24"/>
              </w:rPr>
            </w:pPr>
            <w:r>
              <w:rPr>
                <w:rFonts w:hint="eastAsia"/>
                <w:b/>
                <w:sz w:val="24"/>
                <w:szCs w:val="24"/>
              </w:rPr>
              <w:t>（</w:t>
            </w:r>
            <w:r>
              <w:rPr>
                <w:b/>
                <w:sz w:val="24"/>
                <w:szCs w:val="24"/>
              </w:rPr>
              <w:t>2</w:t>
            </w:r>
            <w:r>
              <w:rPr>
                <w:rFonts w:hint="eastAsia"/>
                <w:b/>
                <w:sz w:val="24"/>
                <w:szCs w:val="24"/>
              </w:rPr>
              <w:t>）风险潜势初判</w:t>
            </w:r>
          </w:p>
          <w:p>
            <w:pPr>
              <w:spacing w:line="360" w:lineRule="auto"/>
              <w:ind w:firstLine="480"/>
              <w:rPr>
                <w:sz w:val="24"/>
                <w:szCs w:val="24"/>
              </w:rPr>
            </w:pPr>
            <w:r>
              <w:rPr>
                <w:rFonts w:hint="eastAsia"/>
                <w:sz w:val="24"/>
                <w:szCs w:val="24"/>
              </w:rPr>
              <w:t>建设项目环境风险潜势划分为I、II、III、IV</w:t>
            </w:r>
            <w:r>
              <w:rPr>
                <w:sz w:val="24"/>
                <w:szCs w:val="24"/>
              </w:rPr>
              <w:t>/IV</w:t>
            </w:r>
            <w:r>
              <w:rPr>
                <w:rFonts w:hint="eastAsia"/>
                <w:sz w:val="24"/>
                <w:szCs w:val="24"/>
                <w:vertAlign w:val="superscript"/>
              </w:rPr>
              <w:t>+</w:t>
            </w:r>
            <w:r>
              <w:rPr>
                <w:sz w:val="24"/>
                <w:szCs w:val="24"/>
              </w:rPr>
              <w:t>级</w:t>
            </w:r>
            <w:r>
              <w:rPr>
                <w:rFonts w:hint="eastAsia"/>
                <w:sz w:val="24"/>
                <w:szCs w:val="24"/>
              </w:rPr>
              <w:t>，</w:t>
            </w:r>
            <w:r>
              <w:rPr>
                <w:sz w:val="24"/>
                <w:szCs w:val="24"/>
              </w:rPr>
              <w:t>主要根据建设项目涉及的物质和工艺系统的危险性及其所在地的环境敏感</w:t>
            </w:r>
            <w:r>
              <w:rPr>
                <w:rFonts w:hint="eastAsia"/>
                <w:sz w:val="24"/>
                <w:szCs w:val="24"/>
              </w:rPr>
              <w:t>程度，</w:t>
            </w:r>
            <w:r>
              <w:rPr>
                <w:sz w:val="24"/>
                <w:szCs w:val="24"/>
              </w:rPr>
              <w:t>结合事故情形下环境影响途径</w:t>
            </w:r>
            <w:r>
              <w:rPr>
                <w:rFonts w:hint="eastAsia"/>
                <w:sz w:val="24"/>
                <w:szCs w:val="24"/>
              </w:rPr>
              <w:t>，</w:t>
            </w:r>
            <w:r>
              <w:rPr>
                <w:sz w:val="24"/>
                <w:szCs w:val="24"/>
              </w:rPr>
              <w:t>按照</w:t>
            </w:r>
            <w:r>
              <w:rPr>
                <w:rFonts w:hint="eastAsia"/>
                <w:sz w:val="24"/>
                <w:szCs w:val="24"/>
              </w:rPr>
              <w:t>《建设项目环境风险评价技术导则》（HJ169-2018）表2进行确定，其中：危险物质数量与临界量比值（</w:t>
            </w:r>
            <w:r>
              <w:rPr>
                <w:rFonts w:hint="eastAsia"/>
                <w:i/>
                <w:sz w:val="24"/>
                <w:szCs w:val="24"/>
              </w:rPr>
              <w:t>Q</w:t>
            </w:r>
            <w:r>
              <w:rPr>
                <w:rFonts w:hint="eastAsia"/>
                <w:sz w:val="24"/>
                <w:szCs w:val="24"/>
              </w:rPr>
              <w:t>）为每种</w:t>
            </w:r>
            <w:r>
              <w:rPr>
                <w:sz w:val="24"/>
                <w:szCs w:val="24"/>
              </w:rPr>
              <w:t>危险物质在厂界内的最大存在总量与其在</w:t>
            </w:r>
            <w:r>
              <w:rPr>
                <w:rFonts w:hint="eastAsia"/>
                <w:sz w:val="24"/>
                <w:szCs w:val="24"/>
              </w:rPr>
              <w:t>HJ169-2018附录B中对应临界量的比值，即：</w:t>
            </w:r>
          </w:p>
          <w:p>
            <w:pPr>
              <w:spacing w:line="360" w:lineRule="auto"/>
              <w:jc w:val="center"/>
              <w:rPr>
                <w:sz w:val="24"/>
                <w:szCs w:val="24"/>
              </w:rPr>
            </w:pPr>
            <w:r>
              <w:rPr>
                <w:position w:val="-30"/>
              </w:rPr>
              <w:object>
                <v:shape id="_x0000_i1032" o:spt="75" type="#_x0000_t75" style="height:33.75pt;width:99pt;" o:ole="t" filled="f" o:preferrelative="t" stroked="f" coordsize="21600,21600">
                  <v:path/>
                  <v:fill on="f" focussize="0,0"/>
                  <v:stroke on="f" joinstyle="miter"/>
                  <v:imagedata r:id="rId25" o:title=""/>
                  <o:lock v:ext="edit" aspectratio="t"/>
                  <w10:wrap type="none"/>
                  <w10:anchorlock/>
                </v:shape>
                <o:OLEObject Type="Embed" ProgID="Equation.DSMT4" ShapeID="_x0000_i1032" DrawAspect="Content" ObjectID="_1468075731" r:id="rId24">
                  <o:LockedField>false</o:LockedField>
                </o:OLEObject>
              </w:object>
            </w:r>
          </w:p>
          <w:p>
            <w:pPr>
              <w:spacing w:line="360" w:lineRule="auto"/>
              <w:ind w:firstLine="480" w:firstLineChars="200"/>
              <w:rPr>
                <w:i/>
                <w:sz w:val="24"/>
              </w:rPr>
            </w:pPr>
            <w:r>
              <w:rPr>
                <w:rFonts w:hint="eastAsia"/>
                <w:sz w:val="24"/>
              </w:rPr>
              <w:t>式中：</w:t>
            </w:r>
            <w:r>
              <w:rPr>
                <w:i/>
                <w:sz w:val="24"/>
              </w:rPr>
              <w:t>q</w:t>
            </w:r>
            <w:r>
              <w:rPr>
                <w:sz w:val="24"/>
                <w:vertAlign w:val="subscript"/>
              </w:rPr>
              <w:t>1</w:t>
            </w:r>
            <w:r>
              <w:rPr>
                <w:rFonts w:hint="eastAsia"/>
                <w:sz w:val="24"/>
              </w:rPr>
              <w:t>，</w:t>
            </w:r>
            <w:r>
              <w:rPr>
                <w:i/>
                <w:sz w:val="24"/>
              </w:rPr>
              <w:t>q</w:t>
            </w:r>
            <w:r>
              <w:rPr>
                <w:sz w:val="24"/>
                <w:vertAlign w:val="subscript"/>
              </w:rPr>
              <w:t>2</w:t>
            </w:r>
            <w:r>
              <w:rPr>
                <w:rFonts w:hint="eastAsia"/>
                <w:sz w:val="24"/>
              </w:rPr>
              <w:t>，</w:t>
            </w:r>
            <w:r>
              <w:rPr>
                <w:rFonts w:cstheme="minorHAnsi"/>
                <w:sz w:val="24"/>
              </w:rPr>
              <w:t>···，</w:t>
            </w:r>
            <w:r>
              <w:rPr>
                <w:i/>
                <w:sz w:val="24"/>
              </w:rPr>
              <w:t>q</w:t>
            </w:r>
            <w:r>
              <w:rPr>
                <w:i/>
                <w:sz w:val="24"/>
                <w:vertAlign w:val="subscript"/>
              </w:rPr>
              <w:t>n</w:t>
            </w:r>
            <w:r>
              <w:rPr>
                <w:sz w:val="24"/>
              </w:rPr>
              <w:t>——</w:t>
            </w:r>
            <w:r>
              <w:rPr>
                <w:rFonts w:hint="eastAsia"/>
                <w:sz w:val="24"/>
              </w:rPr>
              <w:t>每种危险物质的最大存在总量，t；</w:t>
            </w:r>
          </w:p>
          <w:p>
            <w:pPr>
              <w:spacing w:line="360" w:lineRule="auto"/>
              <w:ind w:firstLine="1200" w:firstLineChars="500"/>
              <w:rPr>
                <w:sz w:val="24"/>
              </w:rPr>
            </w:pPr>
            <w:r>
              <w:rPr>
                <w:i/>
                <w:sz w:val="24"/>
              </w:rPr>
              <w:t>Q</w:t>
            </w:r>
            <w:r>
              <w:rPr>
                <w:sz w:val="24"/>
                <w:vertAlign w:val="subscript"/>
              </w:rPr>
              <w:t>1</w:t>
            </w:r>
            <w:r>
              <w:rPr>
                <w:rFonts w:hint="eastAsia"/>
                <w:sz w:val="24"/>
              </w:rPr>
              <w:t>，</w:t>
            </w:r>
            <w:r>
              <w:rPr>
                <w:i/>
                <w:sz w:val="24"/>
              </w:rPr>
              <w:t>Q</w:t>
            </w:r>
            <w:r>
              <w:rPr>
                <w:sz w:val="24"/>
                <w:vertAlign w:val="subscript"/>
              </w:rPr>
              <w:t>2</w:t>
            </w:r>
            <w:r>
              <w:rPr>
                <w:rFonts w:hint="eastAsia"/>
                <w:sz w:val="24"/>
              </w:rPr>
              <w:t>，</w:t>
            </w:r>
            <w:r>
              <w:rPr>
                <w:rFonts w:cstheme="minorHAnsi"/>
                <w:sz w:val="24"/>
              </w:rPr>
              <w:t>···，</w:t>
            </w:r>
            <w:r>
              <w:rPr>
                <w:i/>
                <w:sz w:val="24"/>
              </w:rPr>
              <w:t>Q</w:t>
            </w:r>
            <w:r>
              <w:rPr>
                <w:i/>
                <w:sz w:val="24"/>
                <w:vertAlign w:val="subscript"/>
              </w:rPr>
              <w:t>n</w:t>
            </w:r>
            <w:r>
              <w:rPr>
                <w:sz w:val="24"/>
              </w:rPr>
              <w:t>——</w:t>
            </w:r>
            <w:r>
              <w:rPr>
                <w:rFonts w:hint="eastAsia"/>
                <w:sz w:val="24"/>
              </w:rPr>
              <w:t>每种危险物质的临界量，t。</w:t>
            </w:r>
          </w:p>
          <w:p>
            <w:pPr>
              <w:spacing w:line="360" w:lineRule="auto"/>
              <w:ind w:firstLine="480" w:firstLineChars="200"/>
              <w:rPr>
                <w:rFonts w:cstheme="minorHAnsi"/>
                <w:sz w:val="24"/>
              </w:rPr>
            </w:pPr>
            <w:r>
              <w:rPr>
                <w:rFonts w:cstheme="minorHAnsi"/>
                <w:sz w:val="24"/>
              </w:rPr>
              <w:t>当</w:t>
            </w:r>
            <w:r>
              <w:rPr>
                <w:rFonts w:cstheme="minorHAnsi"/>
                <w:i/>
                <w:sz w:val="24"/>
              </w:rPr>
              <w:t>Q</w:t>
            </w:r>
            <w:r>
              <w:rPr>
                <w:rFonts w:cstheme="minorHAnsi"/>
                <w:sz w:val="24"/>
              </w:rPr>
              <w:t>&lt;1时，该项目环境风险潜势为I；当</w:t>
            </w:r>
            <w:r>
              <w:rPr>
                <w:rFonts w:cstheme="minorHAnsi"/>
                <w:i/>
                <w:sz w:val="24"/>
              </w:rPr>
              <w:t>Q</w:t>
            </w:r>
            <w:r>
              <w:rPr>
                <w:rFonts w:cstheme="minorHAnsi"/>
                <w:sz w:val="24"/>
              </w:rPr>
              <w:t>≥1时</w:t>
            </w:r>
            <w:r>
              <w:rPr>
                <w:rFonts w:hint="eastAsia" w:cstheme="minorHAnsi"/>
                <w:sz w:val="24"/>
              </w:rPr>
              <w:t>，</w:t>
            </w:r>
            <w:r>
              <w:rPr>
                <w:rFonts w:cstheme="minorHAnsi"/>
                <w:sz w:val="24"/>
              </w:rPr>
              <w:t>将</w:t>
            </w:r>
            <w:r>
              <w:rPr>
                <w:rFonts w:cstheme="minorHAnsi"/>
                <w:i/>
                <w:sz w:val="24"/>
              </w:rPr>
              <w:t>Q</w:t>
            </w:r>
            <w:r>
              <w:rPr>
                <w:rFonts w:cstheme="minorHAnsi"/>
                <w:sz w:val="24"/>
              </w:rPr>
              <w:t>值划分为：a.1≤</w:t>
            </w:r>
            <w:r>
              <w:rPr>
                <w:rFonts w:cstheme="minorHAnsi"/>
                <w:i/>
                <w:sz w:val="24"/>
              </w:rPr>
              <w:t>Q</w:t>
            </w:r>
            <w:r>
              <w:rPr>
                <w:rFonts w:cstheme="minorHAnsi"/>
                <w:sz w:val="24"/>
              </w:rPr>
              <w:t>&lt;10</w:t>
            </w:r>
            <w:r>
              <w:rPr>
                <w:rFonts w:hint="eastAsia" w:cstheme="minorHAnsi"/>
                <w:sz w:val="24"/>
              </w:rPr>
              <w:t>；</w:t>
            </w:r>
            <w:r>
              <w:rPr>
                <w:rFonts w:cstheme="minorHAnsi"/>
                <w:sz w:val="24"/>
              </w:rPr>
              <w:t>b. 10≤</w:t>
            </w:r>
            <w:r>
              <w:rPr>
                <w:rFonts w:cstheme="minorHAnsi"/>
                <w:i/>
                <w:sz w:val="24"/>
              </w:rPr>
              <w:t>Q</w:t>
            </w:r>
            <w:r>
              <w:rPr>
                <w:rFonts w:cstheme="minorHAnsi"/>
                <w:sz w:val="24"/>
              </w:rPr>
              <w:t>&lt;100</w:t>
            </w:r>
            <w:r>
              <w:rPr>
                <w:rFonts w:hint="eastAsia" w:cstheme="minorHAnsi"/>
                <w:sz w:val="24"/>
              </w:rPr>
              <w:t>；c</w:t>
            </w:r>
            <w:r>
              <w:rPr>
                <w:rFonts w:cstheme="minorHAnsi"/>
                <w:sz w:val="24"/>
              </w:rPr>
              <w:t>.</w:t>
            </w:r>
            <w:r>
              <w:rPr>
                <w:rFonts w:cstheme="minorHAnsi"/>
                <w:i/>
                <w:sz w:val="24"/>
              </w:rPr>
              <w:t>Q</w:t>
            </w:r>
            <w:r>
              <w:rPr>
                <w:rFonts w:cstheme="minorHAnsi"/>
                <w:sz w:val="24"/>
              </w:rPr>
              <w:t>≥100</w:t>
            </w:r>
            <w:r>
              <w:rPr>
                <w:rFonts w:hint="eastAsia" w:cstheme="minorHAnsi"/>
                <w:sz w:val="24"/>
              </w:rPr>
              <w:t>。</w:t>
            </w:r>
          </w:p>
          <w:p>
            <w:pPr>
              <w:spacing w:line="360" w:lineRule="auto"/>
              <w:ind w:firstLine="480"/>
              <w:rPr>
                <w:sz w:val="24"/>
                <w:szCs w:val="24"/>
              </w:rPr>
            </w:pPr>
            <w:r>
              <w:rPr>
                <w:sz w:val="24"/>
                <w:szCs w:val="24"/>
              </w:rPr>
              <w:t>根据计算</w:t>
            </w:r>
            <w:r>
              <w:rPr>
                <w:rFonts w:hint="eastAsia"/>
                <w:sz w:val="24"/>
                <w:szCs w:val="24"/>
              </w:rPr>
              <w:t>，</w:t>
            </w:r>
            <w:r>
              <w:rPr>
                <w:sz w:val="24"/>
                <w:szCs w:val="24"/>
              </w:rPr>
              <w:t>项目</w:t>
            </w:r>
            <w:r>
              <w:rPr>
                <w:rFonts w:hint="eastAsia"/>
                <w:sz w:val="24"/>
                <w:szCs w:val="24"/>
              </w:rPr>
              <w:t>危险物质数量与临界量比值见表</w:t>
            </w:r>
            <w:r>
              <w:rPr>
                <w:sz w:val="24"/>
                <w:szCs w:val="24"/>
              </w:rPr>
              <w:t>4</w:t>
            </w:r>
            <w:r>
              <w:rPr>
                <w:rFonts w:hint="eastAsia"/>
                <w:sz w:val="24"/>
                <w:szCs w:val="24"/>
              </w:rPr>
              <w:t>-</w:t>
            </w:r>
            <w:r>
              <w:rPr>
                <w:sz w:val="24"/>
                <w:szCs w:val="24"/>
              </w:rPr>
              <w:t>13</w:t>
            </w:r>
            <w:r>
              <w:rPr>
                <w:rFonts w:hint="eastAsia"/>
                <w:sz w:val="24"/>
                <w:szCs w:val="24"/>
              </w:rPr>
              <w:t>。</w:t>
            </w:r>
          </w:p>
          <w:p>
            <w:pPr>
              <w:spacing w:line="360" w:lineRule="auto"/>
              <w:jc w:val="center"/>
              <w:rPr>
                <w:rFonts w:eastAsia="黑体"/>
                <w:szCs w:val="21"/>
              </w:rPr>
            </w:pPr>
            <w:r>
              <w:rPr>
                <w:rFonts w:hint="eastAsia" w:eastAsia="黑体"/>
                <w:szCs w:val="21"/>
              </w:rPr>
              <w:t>表</w:t>
            </w:r>
            <w:r>
              <w:rPr>
                <w:rFonts w:eastAsia="黑体"/>
                <w:szCs w:val="21"/>
              </w:rPr>
              <w:t>4</w:t>
            </w:r>
            <w:r>
              <w:rPr>
                <w:rFonts w:hint="eastAsia" w:eastAsia="黑体"/>
                <w:szCs w:val="21"/>
              </w:rPr>
              <w:t>-</w:t>
            </w:r>
            <w:r>
              <w:rPr>
                <w:rFonts w:eastAsia="黑体"/>
                <w:szCs w:val="21"/>
              </w:rPr>
              <w:t xml:space="preserve">13  </w:t>
            </w:r>
            <w:r>
              <w:rPr>
                <w:rFonts w:hint="eastAsia" w:eastAsia="黑体"/>
                <w:szCs w:val="21"/>
              </w:rPr>
              <w:t>危险物质数量与临界量比值计算表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418"/>
              <w:gridCol w:w="1274"/>
              <w:gridCol w:w="1193"/>
              <w:gridCol w:w="1362"/>
              <w:gridCol w:w="1362"/>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shd w:val="clear" w:color="auto" w:fill="auto"/>
                  <w:vAlign w:val="center"/>
                </w:tcPr>
                <w:p>
                  <w:pPr>
                    <w:jc w:val="center"/>
                    <w:rPr>
                      <w:szCs w:val="21"/>
                    </w:rPr>
                  </w:pPr>
                  <w:r>
                    <w:rPr>
                      <w:rFonts w:hint="eastAsia"/>
                      <w:szCs w:val="21"/>
                    </w:rPr>
                    <w:t>序号</w:t>
                  </w:r>
                </w:p>
              </w:tc>
              <w:tc>
                <w:tcPr>
                  <w:tcW w:w="818" w:type="pct"/>
                  <w:shd w:val="clear" w:color="auto" w:fill="auto"/>
                  <w:vAlign w:val="center"/>
                </w:tcPr>
                <w:p>
                  <w:pPr>
                    <w:jc w:val="center"/>
                    <w:rPr>
                      <w:szCs w:val="21"/>
                    </w:rPr>
                  </w:pPr>
                  <w:r>
                    <w:rPr>
                      <w:rFonts w:hint="eastAsia"/>
                      <w:szCs w:val="21"/>
                    </w:rPr>
                    <w:t>危险单元</w:t>
                  </w:r>
                </w:p>
              </w:tc>
              <w:tc>
                <w:tcPr>
                  <w:tcW w:w="735" w:type="pct"/>
                  <w:vAlign w:val="center"/>
                </w:tcPr>
                <w:p>
                  <w:pPr>
                    <w:jc w:val="center"/>
                    <w:rPr>
                      <w:szCs w:val="21"/>
                    </w:rPr>
                  </w:pPr>
                  <w:r>
                    <w:rPr>
                      <w:rFonts w:hint="eastAsia"/>
                      <w:szCs w:val="21"/>
                    </w:rPr>
                    <w:t>危险物质</w:t>
                  </w:r>
                </w:p>
              </w:tc>
              <w:tc>
                <w:tcPr>
                  <w:tcW w:w="688" w:type="pct"/>
                  <w:vAlign w:val="center"/>
                </w:tcPr>
                <w:p>
                  <w:pPr>
                    <w:jc w:val="center"/>
                    <w:rPr>
                      <w:szCs w:val="21"/>
                    </w:rPr>
                  </w:pPr>
                  <w:r>
                    <w:rPr>
                      <w:rFonts w:hint="eastAsia"/>
                      <w:szCs w:val="21"/>
                    </w:rPr>
                    <w:t>CAS号</w:t>
                  </w:r>
                </w:p>
              </w:tc>
              <w:tc>
                <w:tcPr>
                  <w:tcW w:w="786" w:type="pct"/>
                  <w:shd w:val="clear" w:color="auto" w:fill="auto"/>
                  <w:vAlign w:val="center"/>
                </w:tcPr>
                <w:p>
                  <w:pPr>
                    <w:rPr>
                      <w:szCs w:val="21"/>
                    </w:rPr>
                  </w:pPr>
                  <w:r>
                    <w:rPr>
                      <w:rFonts w:hint="eastAsia"/>
                      <w:szCs w:val="21"/>
                    </w:rPr>
                    <w:t>储存量（</w:t>
                  </w:r>
                  <w:r>
                    <w:rPr>
                      <w:rFonts w:hint="eastAsia"/>
                      <w:i/>
                      <w:szCs w:val="21"/>
                    </w:rPr>
                    <w:t>q</w:t>
                  </w:r>
                  <w:r>
                    <w:rPr>
                      <w:rFonts w:hint="eastAsia"/>
                      <w:szCs w:val="21"/>
                    </w:rPr>
                    <w:t>）</w:t>
                  </w:r>
                </w:p>
              </w:tc>
              <w:tc>
                <w:tcPr>
                  <w:tcW w:w="786" w:type="pct"/>
                  <w:shd w:val="clear" w:color="auto" w:fill="auto"/>
                  <w:vAlign w:val="center"/>
                </w:tcPr>
                <w:p>
                  <w:pPr>
                    <w:rPr>
                      <w:szCs w:val="21"/>
                    </w:rPr>
                  </w:pPr>
                  <w:r>
                    <w:rPr>
                      <w:rFonts w:hint="eastAsia"/>
                      <w:szCs w:val="21"/>
                    </w:rPr>
                    <w:t>临界量（</w:t>
                  </w:r>
                  <w:r>
                    <w:rPr>
                      <w:rFonts w:hint="eastAsia"/>
                      <w:i/>
                      <w:szCs w:val="21"/>
                    </w:rPr>
                    <w:t>Q</w:t>
                  </w:r>
                  <w:r>
                    <w:rPr>
                      <w:rFonts w:hint="eastAsia"/>
                      <w:szCs w:val="21"/>
                    </w:rPr>
                    <w:t>）</w:t>
                  </w:r>
                </w:p>
              </w:tc>
              <w:tc>
                <w:tcPr>
                  <w:tcW w:w="782" w:type="pct"/>
                  <w:shd w:val="clear" w:color="auto" w:fill="auto"/>
                  <w:vAlign w:val="center"/>
                </w:tcPr>
                <w:p>
                  <w:pPr>
                    <w:jc w:val="center"/>
                    <w:rPr>
                      <w:szCs w:val="21"/>
                    </w:rPr>
                  </w:pPr>
                  <w:r>
                    <w:rPr>
                      <w:rFonts w:hint="eastAsia"/>
                      <w:szCs w:val="21"/>
                    </w:rPr>
                    <w:t>比值（</w:t>
                  </w:r>
                  <w:r>
                    <w:rPr>
                      <w:rFonts w:hint="eastAsia"/>
                      <w:i/>
                      <w:szCs w:val="21"/>
                    </w:rPr>
                    <w:t>Q</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405" w:type="pct"/>
                  <w:shd w:val="clear" w:color="auto" w:fill="auto"/>
                  <w:vAlign w:val="center"/>
                </w:tcPr>
                <w:p>
                  <w:pPr>
                    <w:jc w:val="center"/>
                    <w:rPr>
                      <w:szCs w:val="21"/>
                    </w:rPr>
                  </w:pPr>
                  <w:r>
                    <w:rPr>
                      <w:szCs w:val="21"/>
                    </w:rPr>
                    <w:t>1</w:t>
                  </w:r>
                </w:p>
              </w:tc>
              <w:tc>
                <w:tcPr>
                  <w:tcW w:w="818" w:type="pct"/>
                  <w:shd w:val="clear" w:color="auto" w:fill="auto"/>
                  <w:vAlign w:val="center"/>
                </w:tcPr>
                <w:p>
                  <w:pPr>
                    <w:jc w:val="center"/>
                    <w:rPr>
                      <w:szCs w:val="21"/>
                    </w:rPr>
                  </w:pPr>
                  <w:r>
                    <w:rPr>
                      <w:rFonts w:hint="eastAsia" w:cstheme="minorHAnsi"/>
                      <w:szCs w:val="21"/>
                    </w:rPr>
                    <w:t>次氯酸钠</w:t>
                  </w:r>
                  <w:r>
                    <w:rPr>
                      <w:rFonts w:cstheme="minorHAnsi"/>
                      <w:szCs w:val="21"/>
                    </w:rPr>
                    <w:t>加药装置区</w:t>
                  </w:r>
                </w:p>
              </w:tc>
              <w:tc>
                <w:tcPr>
                  <w:tcW w:w="735" w:type="pct"/>
                  <w:vAlign w:val="center"/>
                </w:tcPr>
                <w:p>
                  <w:pPr>
                    <w:jc w:val="center"/>
                    <w:rPr>
                      <w:szCs w:val="21"/>
                    </w:rPr>
                  </w:pPr>
                  <w:r>
                    <w:rPr>
                      <w:rFonts w:hint="eastAsia"/>
                      <w:szCs w:val="21"/>
                    </w:rPr>
                    <w:t>次氯酸钠</w:t>
                  </w:r>
                </w:p>
              </w:tc>
              <w:tc>
                <w:tcPr>
                  <w:tcW w:w="688" w:type="pct"/>
                  <w:vAlign w:val="center"/>
                </w:tcPr>
                <w:p>
                  <w:pPr>
                    <w:jc w:val="center"/>
                    <w:rPr>
                      <w:szCs w:val="21"/>
                    </w:rPr>
                  </w:pPr>
                  <w:r>
                    <w:rPr>
                      <w:szCs w:val="21"/>
                    </w:rPr>
                    <w:t>7681-52-9</w:t>
                  </w:r>
                </w:p>
              </w:tc>
              <w:tc>
                <w:tcPr>
                  <w:tcW w:w="786" w:type="pct"/>
                  <w:shd w:val="clear" w:color="auto" w:fill="auto"/>
                  <w:vAlign w:val="center"/>
                </w:tcPr>
                <w:p>
                  <w:pPr>
                    <w:jc w:val="center"/>
                    <w:rPr>
                      <w:szCs w:val="21"/>
                    </w:rPr>
                  </w:pPr>
                  <w:r>
                    <w:rPr>
                      <w:szCs w:val="21"/>
                    </w:rPr>
                    <w:t>0.08t</w:t>
                  </w:r>
                </w:p>
              </w:tc>
              <w:tc>
                <w:tcPr>
                  <w:tcW w:w="786" w:type="pct"/>
                  <w:shd w:val="clear" w:color="auto" w:fill="auto"/>
                  <w:vAlign w:val="center"/>
                </w:tcPr>
                <w:p>
                  <w:pPr>
                    <w:jc w:val="center"/>
                    <w:rPr>
                      <w:szCs w:val="21"/>
                    </w:rPr>
                  </w:pPr>
                  <w:r>
                    <w:rPr>
                      <w:szCs w:val="21"/>
                    </w:rPr>
                    <w:t>5</w:t>
                  </w:r>
                  <w:r>
                    <w:rPr>
                      <w:rFonts w:hint="eastAsia"/>
                      <w:szCs w:val="21"/>
                    </w:rPr>
                    <w:t>t</w:t>
                  </w:r>
                </w:p>
              </w:tc>
              <w:tc>
                <w:tcPr>
                  <w:tcW w:w="782" w:type="pct"/>
                  <w:shd w:val="clear" w:color="auto" w:fill="auto"/>
                  <w:vAlign w:val="center"/>
                </w:tcPr>
                <w:p>
                  <w:pPr>
                    <w:widowControl/>
                    <w:jc w:val="center"/>
                    <w:rPr>
                      <w:rFonts w:cs="Times New Roman"/>
                      <w:szCs w:val="21"/>
                    </w:rPr>
                  </w:pPr>
                  <w:r>
                    <w:rPr>
                      <w:rFonts w:cs="Times New Roman"/>
                      <w:szCs w:val="21"/>
                    </w:rPr>
                    <w:t>0.016</w:t>
                  </w:r>
                </w:p>
              </w:tc>
            </w:tr>
          </w:tbl>
          <w:p>
            <w:pPr>
              <w:spacing w:line="360" w:lineRule="auto"/>
              <w:ind w:firstLine="480" w:firstLineChars="200"/>
              <w:rPr>
                <w:sz w:val="24"/>
                <w:szCs w:val="24"/>
              </w:rPr>
            </w:pPr>
            <w:r>
              <w:rPr>
                <w:rFonts w:hint="eastAsia"/>
                <w:sz w:val="24"/>
                <w:szCs w:val="24"/>
              </w:rPr>
              <w:t>由计算可知，项目危险物质数量与临界量比值（</w:t>
            </w:r>
            <w:r>
              <w:rPr>
                <w:rFonts w:hint="eastAsia"/>
                <w:i/>
                <w:sz w:val="24"/>
                <w:szCs w:val="24"/>
              </w:rPr>
              <w:t>Q</w:t>
            </w:r>
            <w:r>
              <w:rPr>
                <w:rFonts w:hint="eastAsia"/>
                <w:sz w:val="24"/>
                <w:szCs w:val="24"/>
              </w:rPr>
              <w:t>）小于1，</w:t>
            </w:r>
            <w:r>
              <w:rPr>
                <w:rFonts w:cstheme="minorHAnsi"/>
                <w:sz w:val="24"/>
              </w:rPr>
              <w:t>环境风险潜势为I</w:t>
            </w:r>
            <w:r>
              <w:rPr>
                <w:rFonts w:hint="eastAsia" w:cstheme="minorHAnsi"/>
                <w:sz w:val="24"/>
              </w:rPr>
              <w:t>。</w:t>
            </w:r>
          </w:p>
          <w:p>
            <w:pPr>
              <w:spacing w:line="360" w:lineRule="auto"/>
              <w:ind w:firstLine="482" w:firstLineChars="200"/>
              <w:rPr>
                <w:b/>
                <w:sz w:val="24"/>
                <w:szCs w:val="24"/>
              </w:rPr>
            </w:pPr>
            <w:r>
              <w:rPr>
                <w:rFonts w:hint="eastAsia"/>
                <w:b/>
                <w:sz w:val="24"/>
                <w:szCs w:val="24"/>
              </w:rPr>
              <w:t>（</w:t>
            </w:r>
            <w:r>
              <w:rPr>
                <w:b/>
                <w:sz w:val="24"/>
                <w:szCs w:val="24"/>
              </w:rPr>
              <w:t>3</w:t>
            </w:r>
            <w:r>
              <w:rPr>
                <w:rFonts w:hint="eastAsia"/>
                <w:b/>
                <w:sz w:val="24"/>
                <w:szCs w:val="24"/>
              </w:rPr>
              <w:t>）环境风险识别</w:t>
            </w:r>
          </w:p>
          <w:p>
            <w:pPr>
              <w:spacing w:line="360" w:lineRule="auto"/>
              <w:ind w:firstLine="480" w:firstLineChars="200"/>
              <w:rPr>
                <w:sz w:val="24"/>
                <w:szCs w:val="24"/>
              </w:rPr>
            </w:pPr>
            <w:r>
              <w:rPr>
                <w:rFonts w:hint="eastAsia"/>
                <w:sz w:val="24"/>
                <w:szCs w:val="24"/>
              </w:rPr>
              <w:t>环境风险识别内容包括物质危险性识别、生产系统危险性识别和危险物质向环境转移的途径识别。</w:t>
            </w:r>
          </w:p>
          <w:p>
            <w:pPr>
              <w:spacing w:line="360" w:lineRule="auto"/>
              <w:ind w:firstLine="480" w:firstLineChars="200"/>
              <w:rPr>
                <w:sz w:val="24"/>
                <w:szCs w:val="24"/>
              </w:rPr>
            </w:pPr>
            <w:r>
              <w:rPr>
                <w:rFonts w:hint="eastAsia"/>
                <w:sz w:val="24"/>
                <w:szCs w:val="24"/>
              </w:rPr>
              <w:t>物质危险性识别：包括主要原辅材料、燃料、中间产品、副产品、最终产品、污染物、火灾和爆炸伴生/次生物等。</w:t>
            </w:r>
          </w:p>
          <w:p>
            <w:pPr>
              <w:spacing w:line="360" w:lineRule="auto"/>
              <w:ind w:firstLine="480" w:firstLineChars="200"/>
              <w:rPr>
                <w:sz w:val="24"/>
                <w:szCs w:val="24"/>
              </w:rPr>
            </w:pPr>
            <w:r>
              <w:rPr>
                <w:rFonts w:hint="eastAsia"/>
                <w:sz w:val="24"/>
                <w:szCs w:val="24"/>
              </w:rPr>
              <w:t>生产系统危险性识别：包括主要生产装置、储运设施、公用工程和辅助生产设施以及环境保护实施等。</w:t>
            </w:r>
          </w:p>
          <w:p>
            <w:pPr>
              <w:spacing w:line="360" w:lineRule="auto"/>
              <w:ind w:firstLine="480" w:firstLineChars="200"/>
              <w:rPr>
                <w:sz w:val="24"/>
                <w:szCs w:val="24"/>
              </w:rPr>
            </w:pPr>
            <w:r>
              <w:rPr>
                <w:rFonts w:hint="eastAsia"/>
                <w:sz w:val="24"/>
                <w:szCs w:val="24"/>
              </w:rPr>
              <w:t>危险物质向环境转移的途径识别：包括分析危险物质特性及可能的环境风险类型，识别危险物质影响环境的途径，分析可能影响的环境敏感目标。</w:t>
            </w:r>
          </w:p>
          <w:p>
            <w:pPr>
              <w:spacing w:line="360" w:lineRule="auto"/>
              <w:ind w:firstLine="482" w:firstLineChars="200"/>
              <w:rPr>
                <w:b/>
                <w:sz w:val="24"/>
                <w:szCs w:val="24"/>
              </w:rPr>
            </w:pPr>
            <w:r>
              <w:rPr>
                <w:rFonts w:hint="eastAsia"/>
                <w:b/>
                <w:sz w:val="24"/>
                <w:szCs w:val="24"/>
              </w:rPr>
              <w:t>1）物质危险性识别</w:t>
            </w:r>
          </w:p>
          <w:p>
            <w:pPr>
              <w:spacing w:line="360" w:lineRule="auto"/>
              <w:ind w:firstLine="480" w:firstLineChars="200"/>
              <w:rPr>
                <w:sz w:val="24"/>
                <w:szCs w:val="24"/>
              </w:rPr>
            </w:pPr>
            <w:r>
              <w:rPr>
                <w:rFonts w:hint="eastAsia"/>
                <w:sz w:val="24"/>
                <w:szCs w:val="24"/>
              </w:rPr>
              <w:t>根据对生产中主要原辅材料进行识别，项目使用、贮存的次氯酸钠为有毒危险物质，其主要危险特性及贮存情况见表</w:t>
            </w:r>
            <w:r>
              <w:rPr>
                <w:sz w:val="24"/>
                <w:szCs w:val="24"/>
              </w:rPr>
              <w:t>4</w:t>
            </w:r>
            <w:r>
              <w:rPr>
                <w:rFonts w:hint="eastAsia"/>
                <w:sz w:val="24"/>
                <w:szCs w:val="24"/>
              </w:rPr>
              <w:t>-</w:t>
            </w:r>
            <w:r>
              <w:rPr>
                <w:sz w:val="24"/>
                <w:szCs w:val="24"/>
              </w:rPr>
              <w:t>12</w:t>
            </w:r>
            <w:r>
              <w:rPr>
                <w:rFonts w:hint="eastAsia"/>
                <w:sz w:val="24"/>
                <w:szCs w:val="24"/>
              </w:rPr>
              <w:t>。</w:t>
            </w:r>
          </w:p>
          <w:p>
            <w:pPr>
              <w:spacing w:line="360" w:lineRule="auto"/>
              <w:ind w:firstLine="482" w:firstLineChars="200"/>
              <w:rPr>
                <w:b/>
                <w:sz w:val="24"/>
                <w:szCs w:val="24"/>
              </w:rPr>
            </w:pPr>
            <w:r>
              <w:rPr>
                <w:rFonts w:hint="eastAsia"/>
                <w:b/>
                <w:sz w:val="24"/>
                <w:szCs w:val="24"/>
              </w:rPr>
              <w:t>2）生产系统危险性识别</w:t>
            </w:r>
          </w:p>
          <w:p>
            <w:pPr>
              <w:spacing w:line="360" w:lineRule="auto"/>
              <w:ind w:firstLine="482" w:firstLineChars="200"/>
              <w:rPr>
                <w:b/>
                <w:sz w:val="24"/>
                <w:szCs w:val="24"/>
              </w:rPr>
            </w:pPr>
            <w:r>
              <w:rPr>
                <w:rFonts w:hint="eastAsia"/>
                <w:b/>
                <w:sz w:val="24"/>
                <w:szCs w:val="24"/>
              </w:rPr>
              <w:t>①生产设备风险识别</w:t>
            </w:r>
          </w:p>
          <w:p>
            <w:pPr>
              <w:spacing w:line="360" w:lineRule="auto"/>
              <w:ind w:firstLine="480" w:firstLineChars="200"/>
              <w:rPr>
                <w:sz w:val="24"/>
                <w:szCs w:val="24"/>
              </w:rPr>
            </w:pPr>
            <w:r>
              <w:rPr>
                <w:rFonts w:hint="eastAsia"/>
                <w:sz w:val="24"/>
                <w:szCs w:val="24"/>
              </w:rPr>
              <w:t>运营期主要风险源于贮存的次氯酸钠泄漏，泄漏触发因素主要包括：a</w:t>
            </w:r>
            <w:r>
              <w:rPr>
                <w:sz w:val="24"/>
                <w:szCs w:val="24"/>
              </w:rPr>
              <w:t>.</w:t>
            </w:r>
            <w:r>
              <w:rPr>
                <w:rFonts w:hint="eastAsia"/>
                <w:sz w:val="24"/>
                <w:szCs w:val="24"/>
              </w:rPr>
              <w:t>储药箱破损导致泄漏；b</w:t>
            </w:r>
            <w:r>
              <w:rPr>
                <w:sz w:val="24"/>
                <w:szCs w:val="24"/>
              </w:rPr>
              <w:t>.</w:t>
            </w:r>
            <w:r>
              <w:rPr>
                <w:rFonts w:hint="eastAsia"/>
                <w:sz w:val="24"/>
                <w:szCs w:val="24"/>
              </w:rPr>
              <w:t>自然因素，如地震、雷击等；c</w:t>
            </w:r>
            <w:r>
              <w:rPr>
                <w:sz w:val="24"/>
                <w:szCs w:val="24"/>
              </w:rPr>
              <w:t>.</w:t>
            </w:r>
            <w:r>
              <w:rPr>
                <w:rFonts w:hint="eastAsia"/>
                <w:sz w:val="24"/>
                <w:szCs w:val="24"/>
              </w:rPr>
              <w:t>生产人员的安全卫生知识缺乏，违章操作或操作不规范导致的泄漏。</w:t>
            </w:r>
          </w:p>
          <w:p>
            <w:pPr>
              <w:spacing w:line="360" w:lineRule="auto"/>
              <w:ind w:firstLine="482" w:firstLineChars="200"/>
              <w:rPr>
                <w:b/>
                <w:sz w:val="24"/>
                <w:szCs w:val="24"/>
              </w:rPr>
            </w:pPr>
            <w:r>
              <w:rPr>
                <w:rFonts w:hint="eastAsia"/>
                <w:b/>
                <w:sz w:val="24"/>
                <w:szCs w:val="24"/>
              </w:rPr>
              <w:t>②运输过程风险识别</w:t>
            </w:r>
          </w:p>
          <w:p>
            <w:pPr>
              <w:spacing w:line="360" w:lineRule="auto"/>
              <w:ind w:firstLine="480" w:firstLineChars="200"/>
              <w:rPr>
                <w:sz w:val="24"/>
                <w:szCs w:val="24"/>
              </w:rPr>
            </w:pPr>
            <w:r>
              <w:rPr>
                <w:rFonts w:hint="eastAsia"/>
                <w:sz w:val="24"/>
                <w:szCs w:val="24"/>
              </w:rPr>
              <w:t>项目次氯酸钠需经公路进行运输，在装卸、运输可能由于碰撞、震动、挤压等，或因操作不当、重装重卸、容器多次回收利用，强度下降，垫圈失落没有拧紧等原因，造成次氯酸钠泄漏，甚至引起污染环境事故。同时在运输途中，由于意外各种原因，可能汽车翻车等，造成次氯酸钠抛至水体，造成较大事故。因此，危险物质在运输过程中存在一定环境风险。</w:t>
            </w:r>
          </w:p>
          <w:p>
            <w:pPr>
              <w:spacing w:line="360" w:lineRule="auto"/>
              <w:ind w:firstLine="480" w:firstLineChars="200"/>
              <w:rPr>
                <w:sz w:val="24"/>
                <w:szCs w:val="24"/>
              </w:rPr>
            </w:pPr>
            <w:r>
              <w:rPr>
                <w:sz w:val="24"/>
                <w:szCs w:val="24"/>
              </w:rPr>
              <w:t>此外，项目输水管道存在破裂、断裂风险，</w:t>
            </w:r>
            <w:r>
              <w:rPr>
                <w:rFonts w:hint="eastAsia"/>
                <w:sz w:val="24"/>
                <w:szCs w:val="24"/>
              </w:rPr>
              <w:t>原因主要有两个方面，一是自然因素，即地震、气候变化等；二是人为因素，即选材、施工、防腐、检修、操作以及管沟的回填土没有按规范要求进行以及后续建设项目施工损坏管道等。</w:t>
            </w:r>
          </w:p>
          <w:p>
            <w:pPr>
              <w:spacing w:line="360" w:lineRule="auto"/>
              <w:ind w:firstLine="482" w:firstLineChars="200"/>
              <w:rPr>
                <w:b/>
                <w:sz w:val="24"/>
                <w:szCs w:val="24"/>
              </w:rPr>
            </w:pPr>
            <w:r>
              <w:rPr>
                <w:rFonts w:hint="eastAsia"/>
                <w:b/>
                <w:sz w:val="24"/>
                <w:szCs w:val="24"/>
              </w:rPr>
              <w:t>③贮存过程风险识别</w:t>
            </w:r>
          </w:p>
          <w:p>
            <w:pPr>
              <w:spacing w:line="360" w:lineRule="auto"/>
              <w:ind w:firstLine="480" w:firstLineChars="200"/>
              <w:rPr>
                <w:sz w:val="24"/>
                <w:szCs w:val="24"/>
              </w:rPr>
            </w:pPr>
            <w:r>
              <w:rPr>
                <w:rFonts w:hint="eastAsia"/>
                <w:sz w:val="24"/>
                <w:szCs w:val="24"/>
              </w:rPr>
              <w:t>尽管项目危险物质贮存量较小，但其为毒性物质，潜在的事故原因为储药箱破损、裂缝而造成的泄漏，进而引发环境污染事故。</w:t>
            </w:r>
          </w:p>
          <w:p>
            <w:pPr>
              <w:spacing w:line="360" w:lineRule="auto"/>
              <w:ind w:firstLine="482" w:firstLineChars="200"/>
              <w:rPr>
                <w:b/>
                <w:sz w:val="24"/>
                <w:szCs w:val="24"/>
              </w:rPr>
            </w:pPr>
            <w:r>
              <w:rPr>
                <w:rFonts w:hint="eastAsia"/>
                <w:b/>
                <w:sz w:val="24"/>
                <w:szCs w:val="24"/>
              </w:rPr>
              <w:t>④水源水质污染风险识别</w:t>
            </w:r>
          </w:p>
          <w:p>
            <w:pPr>
              <w:spacing w:line="360" w:lineRule="auto"/>
              <w:ind w:firstLine="480" w:firstLineChars="200"/>
              <w:rPr>
                <w:sz w:val="24"/>
                <w:szCs w:val="24"/>
              </w:rPr>
            </w:pPr>
            <w:r>
              <w:rPr>
                <w:rFonts w:hint="eastAsia"/>
                <w:sz w:val="24"/>
                <w:szCs w:val="24"/>
              </w:rPr>
              <w:t>本</w:t>
            </w:r>
            <w:r>
              <w:rPr>
                <w:rFonts w:hint="eastAsia"/>
                <w:color w:val="auto"/>
                <w:sz w:val="24"/>
                <w:szCs w:val="24"/>
              </w:rPr>
              <w:t>项目为供水工程，水质的优劣直接关系到人群健康和社会稳定，受不可预见的因素影响，水质污染是项目运行期潜在的一种风险。本项目不新增新的取水口，取水从</w:t>
            </w:r>
            <w:r>
              <w:rPr>
                <w:rFonts w:hint="eastAsia"/>
                <w:color w:val="auto"/>
                <w:sz w:val="24"/>
                <w:szCs w:val="24"/>
                <w:lang w:eastAsia="zh-CN"/>
              </w:rPr>
              <w:t>徐家坡水厂DN700</w:t>
            </w:r>
            <w:r>
              <w:rPr>
                <w:rFonts w:hint="eastAsia"/>
                <w:color w:val="auto"/>
                <w:sz w:val="24"/>
                <w:szCs w:val="24"/>
              </w:rPr>
              <w:t>原水输水管道取水，水源来自</w:t>
            </w:r>
            <w:r>
              <w:rPr>
                <w:rFonts w:hint="eastAsia"/>
                <w:color w:val="auto"/>
                <w:sz w:val="24"/>
                <w:szCs w:val="24"/>
                <w:lang w:eastAsia="zh-CN"/>
              </w:rPr>
              <w:t>后河</w:t>
            </w:r>
            <w:r>
              <w:rPr>
                <w:rFonts w:hint="eastAsia"/>
                <w:color w:val="auto"/>
                <w:sz w:val="24"/>
                <w:szCs w:val="24"/>
              </w:rPr>
              <w:t>，取水口已按照相关要求划定保护区范围，主要污染风险来源于水库水质受污染，以及原水管</w:t>
            </w:r>
            <w:r>
              <w:rPr>
                <w:rFonts w:hint="eastAsia"/>
                <w:sz w:val="24"/>
                <w:szCs w:val="24"/>
              </w:rPr>
              <w:t>道破裂，其它污染物进入原水输水管道污染水质。</w:t>
            </w:r>
          </w:p>
          <w:p>
            <w:pPr>
              <w:spacing w:line="360" w:lineRule="auto"/>
              <w:ind w:firstLine="482" w:firstLineChars="200"/>
              <w:rPr>
                <w:b/>
                <w:sz w:val="24"/>
                <w:szCs w:val="24"/>
              </w:rPr>
            </w:pPr>
            <w:r>
              <w:rPr>
                <w:rFonts w:hint="eastAsia"/>
                <w:b/>
                <w:sz w:val="24"/>
                <w:szCs w:val="24"/>
              </w:rPr>
              <w:t>3）环境风险类型及危险分析</w:t>
            </w:r>
          </w:p>
          <w:p>
            <w:pPr>
              <w:spacing w:line="360" w:lineRule="auto"/>
              <w:ind w:firstLine="482" w:firstLineChars="200"/>
              <w:rPr>
                <w:b/>
                <w:sz w:val="24"/>
                <w:szCs w:val="24"/>
              </w:rPr>
            </w:pPr>
            <w:r>
              <w:rPr>
                <w:rFonts w:hint="eastAsia"/>
                <w:b/>
                <w:sz w:val="24"/>
                <w:szCs w:val="24"/>
              </w:rPr>
              <w:t>①环境风险类型</w:t>
            </w:r>
          </w:p>
          <w:p>
            <w:pPr>
              <w:spacing w:line="360" w:lineRule="auto"/>
              <w:ind w:firstLine="480" w:firstLineChars="200"/>
              <w:rPr>
                <w:sz w:val="24"/>
                <w:szCs w:val="24"/>
              </w:rPr>
            </w:pPr>
            <w:r>
              <w:rPr>
                <w:rFonts w:hint="eastAsia"/>
                <w:sz w:val="24"/>
                <w:szCs w:val="24"/>
              </w:rPr>
              <w:t>根据项目建设特点，运营期环境风险类型主要包括：a.次氯酸钠泄漏引发的环境污染事故；</w:t>
            </w:r>
            <w:r>
              <w:rPr>
                <w:sz w:val="24"/>
                <w:szCs w:val="24"/>
              </w:rPr>
              <w:t>b</w:t>
            </w:r>
            <w:r>
              <w:rPr>
                <w:rFonts w:hint="eastAsia"/>
                <w:sz w:val="24"/>
                <w:szCs w:val="24"/>
              </w:rPr>
              <w:t>.一般性火灾事故风险。</w:t>
            </w:r>
          </w:p>
          <w:p>
            <w:pPr>
              <w:spacing w:line="360" w:lineRule="auto"/>
              <w:ind w:firstLine="482" w:firstLineChars="200"/>
              <w:rPr>
                <w:b/>
                <w:sz w:val="24"/>
                <w:szCs w:val="24"/>
              </w:rPr>
            </w:pPr>
            <w:r>
              <w:rPr>
                <w:rFonts w:hint="eastAsia"/>
                <w:b/>
                <w:sz w:val="24"/>
                <w:szCs w:val="24"/>
              </w:rPr>
              <w:t>②危险物质向环境转移的途径识别</w:t>
            </w:r>
          </w:p>
          <w:p>
            <w:pPr>
              <w:spacing w:line="360" w:lineRule="auto"/>
              <w:ind w:firstLine="480" w:firstLineChars="200"/>
              <w:rPr>
                <w:sz w:val="24"/>
                <w:szCs w:val="24"/>
              </w:rPr>
            </w:pPr>
            <w:r>
              <w:rPr>
                <w:rFonts w:hint="eastAsia"/>
                <w:sz w:val="24"/>
                <w:szCs w:val="24"/>
              </w:rPr>
              <w:t>根据物质及生产系统危险性识别结果，结合运营期环境风险类型，分析得出危险物质向环境转移的可能途径如下：</w:t>
            </w:r>
          </w:p>
          <w:p>
            <w:pPr>
              <w:spacing w:line="360" w:lineRule="auto"/>
              <w:ind w:firstLine="480" w:firstLineChars="200"/>
              <w:rPr>
                <w:sz w:val="24"/>
                <w:szCs w:val="24"/>
              </w:rPr>
            </w:pPr>
            <w:r>
              <w:rPr>
                <w:rFonts w:hint="eastAsia"/>
                <w:sz w:val="24"/>
                <w:szCs w:val="24"/>
              </w:rPr>
              <w:t>a.次氯酸钠储药箱破损、裂缝造成有害物质泄漏，通过地表径流或雨水管道进入地表水环境，此外还可能通过垂直渗透进入地下水环境或土壤环境。</w:t>
            </w:r>
          </w:p>
          <w:p>
            <w:pPr>
              <w:spacing w:line="360" w:lineRule="auto"/>
              <w:ind w:firstLine="480" w:firstLineChars="200"/>
              <w:rPr>
                <w:sz w:val="24"/>
                <w:szCs w:val="24"/>
              </w:rPr>
            </w:pPr>
            <w:r>
              <w:rPr>
                <w:sz w:val="24"/>
                <w:szCs w:val="24"/>
              </w:rPr>
              <w:t>b</w:t>
            </w:r>
            <w:r>
              <w:rPr>
                <w:rFonts w:hint="eastAsia"/>
                <w:sz w:val="24"/>
                <w:szCs w:val="24"/>
              </w:rPr>
              <w:t>.生产过程中因管理不规范、操作不当等造成一般性火灾事故产生次生污染物进入大气环境，在灭火过程中事故消防废水通过地表径流或雨水管道进入地表水环境。</w:t>
            </w:r>
          </w:p>
          <w:p>
            <w:pPr>
              <w:spacing w:line="360" w:lineRule="auto"/>
              <w:ind w:firstLine="480" w:firstLineChars="200"/>
              <w:rPr>
                <w:sz w:val="24"/>
                <w:szCs w:val="24"/>
              </w:rPr>
            </w:pPr>
            <w:r>
              <w:rPr>
                <w:rFonts w:hint="eastAsia"/>
                <w:sz w:val="24"/>
                <w:szCs w:val="24"/>
              </w:rPr>
              <w:t>综上所述，本项目环境风险类型、风险源分布及影响途径见下表：</w:t>
            </w:r>
          </w:p>
          <w:p>
            <w:pPr>
              <w:spacing w:line="360" w:lineRule="auto"/>
              <w:jc w:val="center"/>
              <w:rPr>
                <w:rFonts w:eastAsia="黑体"/>
                <w:szCs w:val="21"/>
              </w:rPr>
            </w:pPr>
            <w:r>
              <w:rPr>
                <w:rFonts w:hint="eastAsia" w:eastAsia="黑体"/>
                <w:szCs w:val="21"/>
              </w:rPr>
              <w:t>表</w:t>
            </w:r>
            <w:r>
              <w:rPr>
                <w:rFonts w:eastAsia="黑体"/>
                <w:szCs w:val="21"/>
              </w:rPr>
              <w:t>4</w:t>
            </w:r>
            <w:r>
              <w:rPr>
                <w:rFonts w:hint="eastAsia" w:eastAsia="黑体"/>
                <w:szCs w:val="21"/>
              </w:rPr>
              <w:t>-</w:t>
            </w:r>
            <w:r>
              <w:rPr>
                <w:rFonts w:eastAsia="黑体"/>
                <w:szCs w:val="21"/>
              </w:rPr>
              <w:t xml:space="preserve">14  </w:t>
            </w:r>
            <w:r>
              <w:rPr>
                <w:rFonts w:hint="eastAsia" w:eastAsia="黑体"/>
                <w:szCs w:val="21"/>
              </w:rPr>
              <w:t>环境风险类型、风险源分布及影响途径表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5"/>
              <w:gridCol w:w="1175"/>
              <w:gridCol w:w="1175"/>
              <w:gridCol w:w="1177"/>
              <w:gridCol w:w="3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78" w:type="pct"/>
                  <w:vAlign w:val="center"/>
                </w:tcPr>
                <w:p>
                  <w:pPr>
                    <w:jc w:val="center"/>
                    <w:rPr>
                      <w:rFonts w:cstheme="minorHAnsi"/>
                      <w:szCs w:val="21"/>
                    </w:rPr>
                  </w:pPr>
                  <w:r>
                    <w:rPr>
                      <w:rFonts w:hint="eastAsia" w:cstheme="minorHAnsi"/>
                      <w:szCs w:val="21"/>
                    </w:rPr>
                    <w:t>风险类型</w:t>
                  </w:r>
                </w:p>
              </w:tc>
              <w:tc>
                <w:tcPr>
                  <w:tcW w:w="678" w:type="pct"/>
                  <w:vAlign w:val="center"/>
                </w:tcPr>
                <w:p>
                  <w:pPr>
                    <w:jc w:val="center"/>
                    <w:rPr>
                      <w:rFonts w:cstheme="minorHAnsi"/>
                      <w:szCs w:val="21"/>
                    </w:rPr>
                  </w:pPr>
                  <w:r>
                    <w:rPr>
                      <w:rFonts w:cstheme="minorHAnsi"/>
                      <w:szCs w:val="21"/>
                    </w:rPr>
                    <w:t>风险源</w:t>
                  </w:r>
                </w:p>
              </w:tc>
              <w:tc>
                <w:tcPr>
                  <w:tcW w:w="678" w:type="pct"/>
                  <w:vAlign w:val="center"/>
                </w:tcPr>
                <w:p>
                  <w:pPr>
                    <w:jc w:val="center"/>
                    <w:rPr>
                      <w:rFonts w:cstheme="minorHAnsi"/>
                      <w:szCs w:val="21"/>
                    </w:rPr>
                  </w:pPr>
                  <w:r>
                    <w:rPr>
                      <w:rFonts w:cstheme="minorHAnsi"/>
                      <w:szCs w:val="21"/>
                    </w:rPr>
                    <w:t>危险单元</w:t>
                  </w:r>
                </w:p>
              </w:tc>
              <w:tc>
                <w:tcPr>
                  <w:tcW w:w="679" w:type="pct"/>
                  <w:vAlign w:val="center"/>
                </w:tcPr>
                <w:p>
                  <w:pPr>
                    <w:jc w:val="center"/>
                    <w:rPr>
                      <w:rFonts w:cstheme="minorHAnsi"/>
                      <w:szCs w:val="21"/>
                    </w:rPr>
                  </w:pPr>
                  <w:r>
                    <w:rPr>
                      <w:rFonts w:cstheme="minorHAnsi"/>
                      <w:szCs w:val="21"/>
                    </w:rPr>
                    <w:t>危险物质</w:t>
                  </w:r>
                </w:p>
              </w:tc>
              <w:tc>
                <w:tcPr>
                  <w:tcW w:w="2287" w:type="pct"/>
                  <w:vAlign w:val="center"/>
                </w:tcPr>
                <w:p>
                  <w:pPr>
                    <w:jc w:val="center"/>
                    <w:rPr>
                      <w:rFonts w:cstheme="minorHAnsi"/>
                      <w:szCs w:val="21"/>
                    </w:rPr>
                  </w:pPr>
                  <w:r>
                    <w:rPr>
                      <w:rFonts w:cstheme="minorHAnsi"/>
                      <w:szCs w:val="21"/>
                    </w:rPr>
                    <w:t>影响途径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78" w:type="pct"/>
                  <w:shd w:val="clear" w:color="auto" w:fill="auto"/>
                  <w:vAlign w:val="center"/>
                </w:tcPr>
                <w:p>
                  <w:pPr>
                    <w:jc w:val="center"/>
                    <w:rPr>
                      <w:rFonts w:cstheme="minorHAnsi"/>
                      <w:szCs w:val="21"/>
                    </w:rPr>
                  </w:pPr>
                  <w:r>
                    <w:rPr>
                      <w:rFonts w:hint="eastAsia" w:cstheme="minorHAnsi"/>
                      <w:szCs w:val="21"/>
                    </w:rPr>
                    <w:t>次氯酸钠泄漏</w:t>
                  </w:r>
                </w:p>
              </w:tc>
              <w:tc>
                <w:tcPr>
                  <w:tcW w:w="678" w:type="pct"/>
                  <w:shd w:val="clear" w:color="auto" w:fill="auto"/>
                  <w:vAlign w:val="center"/>
                </w:tcPr>
                <w:p>
                  <w:pPr>
                    <w:jc w:val="center"/>
                    <w:rPr>
                      <w:rFonts w:cstheme="minorHAnsi"/>
                      <w:szCs w:val="21"/>
                    </w:rPr>
                  </w:pPr>
                  <w:r>
                    <w:rPr>
                      <w:rFonts w:hint="eastAsia" w:cstheme="minorHAnsi"/>
                      <w:szCs w:val="21"/>
                    </w:rPr>
                    <w:t>次氯酸钠加药装置</w:t>
                  </w:r>
                </w:p>
              </w:tc>
              <w:tc>
                <w:tcPr>
                  <w:tcW w:w="678" w:type="pct"/>
                  <w:shd w:val="clear" w:color="auto" w:fill="auto"/>
                  <w:vAlign w:val="center"/>
                </w:tcPr>
                <w:p>
                  <w:pPr>
                    <w:jc w:val="center"/>
                    <w:rPr>
                      <w:rFonts w:cstheme="minorHAnsi"/>
                      <w:szCs w:val="21"/>
                    </w:rPr>
                  </w:pPr>
                  <w:r>
                    <w:rPr>
                      <w:rFonts w:hint="eastAsia" w:cstheme="minorHAnsi"/>
                      <w:szCs w:val="21"/>
                    </w:rPr>
                    <w:t>次氯酸钠加药装置区</w:t>
                  </w:r>
                </w:p>
              </w:tc>
              <w:tc>
                <w:tcPr>
                  <w:tcW w:w="679" w:type="pct"/>
                  <w:vAlign w:val="center"/>
                </w:tcPr>
                <w:p>
                  <w:pPr>
                    <w:jc w:val="center"/>
                    <w:rPr>
                      <w:rFonts w:cstheme="minorHAnsi"/>
                      <w:szCs w:val="21"/>
                    </w:rPr>
                  </w:pPr>
                  <w:r>
                    <w:rPr>
                      <w:rFonts w:hint="eastAsia" w:cstheme="minorHAnsi"/>
                      <w:szCs w:val="21"/>
                    </w:rPr>
                    <w:t>次氯酸钠</w:t>
                  </w:r>
                </w:p>
              </w:tc>
              <w:tc>
                <w:tcPr>
                  <w:tcW w:w="2287" w:type="pct"/>
                  <w:vAlign w:val="center"/>
                </w:tcPr>
                <w:p>
                  <w:pPr>
                    <w:rPr>
                      <w:rFonts w:cstheme="minorHAnsi"/>
                      <w:szCs w:val="21"/>
                    </w:rPr>
                  </w:pPr>
                  <w:r>
                    <w:rPr>
                      <w:rFonts w:hint="eastAsia" w:cstheme="minorHAnsi"/>
                      <w:szCs w:val="21"/>
                    </w:rPr>
                    <w:t>地表水环境：次氯酸钠泄漏通过地表径流或雨水管道进入地表水环境，火灾消防过程废水通过地表径流或雨水管网排入地表水环境；</w:t>
                  </w:r>
                </w:p>
                <w:p>
                  <w:pPr>
                    <w:rPr>
                      <w:rFonts w:cstheme="minorHAnsi"/>
                      <w:szCs w:val="21"/>
                    </w:rPr>
                  </w:pPr>
                  <w:r>
                    <w:rPr>
                      <w:rFonts w:cstheme="minorHAnsi"/>
                      <w:szCs w:val="21"/>
                    </w:rPr>
                    <w:t>地下水环境或土壤环境</w:t>
                  </w:r>
                  <w:r>
                    <w:rPr>
                      <w:rFonts w:hint="eastAsia" w:cstheme="minorHAnsi"/>
                      <w:szCs w:val="21"/>
                    </w:rPr>
                    <w:t>：次氯酸钠泄漏通过垂直渗透进入地下水环境或土壤环境。</w:t>
                  </w:r>
                </w:p>
              </w:tc>
            </w:tr>
          </w:tbl>
          <w:p>
            <w:pPr>
              <w:spacing w:line="360" w:lineRule="auto"/>
              <w:ind w:firstLine="482" w:firstLineChars="200"/>
              <w:rPr>
                <w:b/>
                <w:sz w:val="24"/>
                <w:szCs w:val="24"/>
              </w:rPr>
            </w:pPr>
            <w:r>
              <w:rPr>
                <w:rFonts w:hint="eastAsia"/>
                <w:b/>
                <w:sz w:val="24"/>
                <w:szCs w:val="24"/>
              </w:rPr>
              <w:t>（</w:t>
            </w:r>
            <w:r>
              <w:rPr>
                <w:b/>
                <w:sz w:val="24"/>
                <w:szCs w:val="24"/>
              </w:rPr>
              <w:t>3</w:t>
            </w:r>
            <w:r>
              <w:rPr>
                <w:rFonts w:hint="eastAsia"/>
                <w:b/>
                <w:sz w:val="24"/>
                <w:szCs w:val="24"/>
              </w:rPr>
              <w:t>）环境风险防范措施</w:t>
            </w:r>
          </w:p>
          <w:p>
            <w:pPr>
              <w:spacing w:line="360" w:lineRule="auto"/>
              <w:ind w:firstLine="482" w:firstLineChars="200"/>
              <w:rPr>
                <w:b/>
                <w:sz w:val="24"/>
                <w:szCs w:val="24"/>
              </w:rPr>
            </w:pPr>
            <w:r>
              <w:rPr>
                <w:rFonts w:hint="eastAsia"/>
                <w:b/>
                <w:sz w:val="24"/>
                <w:szCs w:val="24"/>
              </w:rPr>
              <w:t>①贮存过程风险防范措施</w:t>
            </w:r>
          </w:p>
          <w:p>
            <w:pPr>
              <w:spacing w:line="360" w:lineRule="auto"/>
              <w:ind w:firstLine="480" w:firstLineChars="200"/>
              <w:rPr>
                <w:sz w:val="24"/>
                <w:szCs w:val="24"/>
              </w:rPr>
            </w:pPr>
            <w:r>
              <w:rPr>
                <w:rFonts w:hint="eastAsia"/>
                <w:sz w:val="24"/>
                <w:szCs w:val="24"/>
              </w:rPr>
              <w:t>次氯酸钠加药装置区应采取重点防渗措施，储药箱设置防渗围堰，围堰采用不渗透的材料做防渗处理。一旦发生泄漏，不要直接接触泄漏物，在确保安全情况下堵漏。发生小量的泄漏，用砂土或其它惰性材料吸收，然后收集运至危险废物处理场所处置。发生大量泄漏，应及时将围堰里物质的抽取到安全不易泄漏的收集器内，回收或运至危险废物处理场所处置。</w:t>
            </w:r>
          </w:p>
          <w:p>
            <w:pPr>
              <w:spacing w:line="360" w:lineRule="auto"/>
              <w:ind w:firstLine="482" w:firstLineChars="200"/>
              <w:rPr>
                <w:sz w:val="24"/>
                <w:szCs w:val="24"/>
              </w:rPr>
            </w:pPr>
            <w:r>
              <w:rPr>
                <w:rFonts w:hint="eastAsia"/>
                <w:b/>
                <w:sz w:val="24"/>
                <w:szCs w:val="24"/>
              </w:rPr>
              <w:t>②火灾风险防范措施</w:t>
            </w:r>
          </w:p>
          <w:p>
            <w:pPr>
              <w:spacing w:line="360" w:lineRule="auto"/>
              <w:ind w:firstLine="480" w:firstLineChars="200"/>
              <w:rPr>
                <w:sz w:val="24"/>
                <w:szCs w:val="24"/>
              </w:rPr>
            </w:pPr>
            <w:r>
              <w:rPr>
                <w:rFonts w:hint="eastAsia"/>
                <w:sz w:val="24"/>
                <w:szCs w:val="24"/>
              </w:rPr>
              <w:t>a.消防通道和建筑物耐火等级应满足消防要求。</w:t>
            </w:r>
          </w:p>
          <w:p>
            <w:pPr>
              <w:spacing w:line="360" w:lineRule="auto"/>
              <w:ind w:firstLine="480" w:firstLineChars="200"/>
              <w:rPr>
                <w:sz w:val="24"/>
                <w:szCs w:val="24"/>
              </w:rPr>
            </w:pPr>
            <w:r>
              <w:rPr>
                <w:rFonts w:hint="eastAsia"/>
                <w:sz w:val="24"/>
                <w:szCs w:val="24"/>
              </w:rPr>
              <w:t>b.按照《建筑灭火器配置设计规范》（GBJ140-90）的规定，应配置相应的灭火器类型（干粉灭火器等）与数量，并在火灾危险场所设置报警装置；严禁区内有明火出现。</w:t>
            </w:r>
          </w:p>
          <w:p>
            <w:pPr>
              <w:spacing w:line="360" w:lineRule="auto"/>
              <w:ind w:firstLine="480" w:firstLineChars="200"/>
              <w:rPr>
                <w:sz w:val="24"/>
                <w:szCs w:val="24"/>
              </w:rPr>
            </w:pPr>
            <w:r>
              <w:rPr>
                <w:rFonts w:hint="eastAsia"/>
                <w:sz w:val="24"/>
                <w:szCs w:val="24"/>
              </w:rPr>
              <w:t>c.严格执行防火、防爆、防雷击、防毒害等各项要求。</w:t>
            </w:r>
          </w:p>
          <w:p>
            <w:pPr>
              <w:spacing w:line="360" w:lineRule="auto"/>
              <w:ind w:firstLine="480" w:firstLineChars="200"/>
              <w:rPr>
                <w:sz w:val="24"/>
                <w:szCs w:val="24"/>
              </w:rPr>
            </w:pPr>
            <w:r>
              <w:rPr>
                <w:rFonts w:hint="eastAsia"/>
                <w:sz w:val="24"/>
                <w:szCs w:val="24"/>
              </w:rPr>
              <w:t>d.加强公司职工的教育培训，实行上岗证制度，增强职工风险意识，提高事故自救能力，制定和强化各种安全管理、安全生产的规程，减少人为风险事故（如误操作）的发生。</w:t>
            </w:r>
          </w:p>
          <w:p>
            <w:pPr>
              <w:spacing w:line="360" w:lineRule="auto"/>
              <w:ind w:firstLine="480" w:firstLineChars="200"/>
              <w:rPr>
                <w:sz w:val="24"/>
                <w:szCs w:val="24"/>
              </w:rPr>
            </w:pPr>
            <w:r>
              <w:rPr>
                <w:rFonts w:hint="eastAsia"/>
                <w:sz w:val="24"/>
                <w:szCs w:val="24"/>
              </w:rPr>
              <w:t>e.加强管理，防止因管理不善而导致火灾：每天对贮存设施设备进行全面检查，防止因为设备故障发生泄漏而引起火灾。</w:t>
            </w:r>
          </w:p>
          <w:p>
            <w:pPr>
              <w:spacing w:line="360" w:lineRule="auto"/>
              <w:ind w:firstLine="480" w:firstLineChars="200"/>
              <w:rPr>
                <w:sz w:val="24"/>
                <w:szCs w:val="24"/>
              </w:rPr>
            </w:pPr>
            <w:r>
              <w:rPr>
                <w:rFonts w:hint="eastAsia"/>
                <w:sz w:val="24"/>
                <w:szCs w:val="24"/>
              </w:rPr>
              <w:t>f.防止静电起火：防止静电灾害可以采用的措施有：a.接地：使物体与大地之间构成电气泄漏电路，将产生在物体上的静电泄于大地，防止物体贮存静电；b.工作人员应该穿上防静电工作服；c.防止流动带电：管道输送溶剂时，流速越快，产生的静电越多。为防止高速流动带电，应该对流速作出限制；d.维持湿度：保持现场湿度大于60%，有利于静电的释放。</w:t>
            </w:r>
          </w:p>
          <w:p>
            <w:pPr>
              <w:spacing w:line="360" w:lineRule="auto"/>
              <w:ind w:firstLine="482" w:firstLineChars="200"/>
              <w:rPr>
                <w:sz w:val="24"/>
                <w:szCs w:val="24"/>
              </w:rPr>
            </w:pPr>
            <w:r>
              <w:rPr>
                <w:rFonts w:hint="eastAsia"/>
                <w:b/>
                <w:sz w:val="24"/>
                <w:szCs w:val="24"/>
              </w:rPr>
              <w:t>③输水管道破裂风险防范措施</w:t>
            </w:r>
          </w:p>
          <w:p>
            <w:pPr>
              <w:spacing w:line="360" w:lineRule="auto"/>
              <w:ind w:firstLine="480" w:firstLineChars="200"/>
              <w:rPr>
                <w:sz w:val="24"/>
                <w:szCs w:val="24"/>
              </w:rPr>
            </w:pPr>
            <w:r>
              <w:rPr>
                <w:sz w:val="24"/>
                <w:szCs w:val="24"/>
              </w:rPr>
              <w:t>a.</w:t>
            </w:r>
            <w:r>
              <w:rPr>
                <w:rFonts w:hint="eastAsia"/>
                <w:sz w:val="24"/>
                <w:szCs w:val="24"/>
              </w:rPr>
              <w:t>严格施工管理，加强施工材料管理，严禁使用不符合要求的建筑施工材料；加强施工期间的管理、检查，确保施工质量</w:t>
            </w:r>
            <w:r>
              <w:rPr>
                <w:sz w:val="24"/>
                <w:szCs w:val="24"/>
              </w:rPr>
              <w:t>。</w:t>
            </w:r>
          </w:p>
          <w:p>
            <w:pPr>
              <w:spacing w:line="360" w:lineRule="auto"/>
              <w:ind w:firstLine="480" w:firstLineChars="200"/>
              <w:rPr>
                <w:sz w:val="24"/>
                <w:szCs w:val="24"/>
              </w:rPr>
            </w:pPr>
            <w:r>
              <w:rPr>
                <w:sz w:val="24"/>
                <w:szCs w:val="24"/>
              </w:rPr>
              <w:t>b.</w:t>
            </w:r>
            <w:r>
              <w:rPr>
                <w:rFonts w:hint="eastAsia"/>
                <w:sz w:val="24"/>
                <w:szCs w:val="24"/>
              </w:rPr>
              <w:t>密切监控供水水压变化情况，及时发现泄水环节和路段。</w:t>
            </w:r>
          </w:p>
          <w:p>
            <w:pPr>
              <w:spacing w:line="360" w:lineRule="auto"/>
              <w:ind w:firstLine="480" w:firstLineChars="200"/>
              <w:rPr>
                <w:sz w:val="24"/>
                <w:szCs w:val="24"/>
              </w:rPr>
            </w:pPr>
            <w:r>
              <w:rPr>
                <w:sz w:val="24"/>
                <w:szCs w:val="24"/>
              </w:rPr>
              <w:t>c.</w:t>
            </w:r>
            <w:r>
              <w:rPr>
                <w:rFonts w:hint="eastAsia"/>
                <w:sz w:val="24"/>
                <w:szCs w:val="24"/>
              </w:rPr>
              <w:t>建立事故抢修队伍，配备先进的施工设备，及时抢修。</w:t>
            </w:r>
          </w:p>
          <w:p>
            <w:pPr>
              <w:spacing w:line="360" w:lineRule="auto"/>
              <w:ind w:firstLine="480" w:firstLineChars="200"/>
              <w:rPr>
                <w:sz w:val="24"/>
                <w:szCs w:val="24"/>
              </w:rPr>
            </w:pPr>
            <w:r>
              <w:rPr>
                <w:rFonts w:hint="eastAsia"/>
                <w:sz w:val="24"/>
                <w:szCs w:val="24"/>
              </w:rPr>
              <w:t>d</w:t>
            </w:r>
            <w:r>
              <w:rPr>
                <w:sz w:val="24"/>
                <w:szCs w:val="24"/>
              </w:rPr>
              <w:t>.成立事故应急处置机构，一旦输水管道破裂，立即暂停供水，待事故处置完毕，委托专业机构进行原水水质监测</w:t>
            </w:r>
            <w:r>
              <w:rPr>
                <w:rFonts w:hint="eastAsia"/>
                <w:sz w:val="24"/>
                <w:szCs w:val="24"/>
              </w:rPr>
              <w:t>合格后，再恢复供水。</w:t>
            </w:r>
          </w:p>
          <w:p>
            <w:pPr>
              <w:spacing w:line="360" w:lineRule="auto"/>
              <w:ind w:firstLine="482" w:firstLineChars="200"/>
              <w:rPr>
                <w:sz w:val="24"/>
                <w:szCs w:val="24"/>
              </w:rPr>
            </w:pPr>
            <w:r>
              <w:rPr>
                <w:rFonts w:hint="eastAsia"/>
                <w:b/>
                <w:sz w:val="24"/>
                <w:szCs w:val="24"/>
              </w:rPr>
              <w:t>④水源水质污染风险防范措施</w:t>
            </w:r>
          </w:p>
          <w:p>
            <w:pPr>
              <w:spacing w:line="360" w:lineRule="auto"/>
              <w:ind w:firstLine="480" w:firstLineChars="200"/>
              <w:rPr>
                <w:color w:val="auto"/>
                <w:sz w:val="24"/>
                <w:szCs w:val="24"/>
              </w:rPr>
            </w:pPr>
            <w:r>
              <w:rPr>
                <w:rFonts w:hint="eastAsia"/>
                <w:sz w:val="24"/>
                <w:szCs w:val="24"/>
              </w:rPr>
              <w:t>本项目不新</w:t>
            </w:r>
            <w:r>
              <w:rPr>
                <w:rFonts w:hint="eastAsia"/>
                <w:color w:val="auto"/>
                <w:sz w:val="24"/>
                <w:szCs w:val="24"/>
              </w:rPr>
              <w:t>增取水口，取水从</w:t>
            </w:r>
            <w:r>
              <w:rPr>
                <w:rFonts w:hint="eastAsia"/>
                <w:color w:val="auto"/>
                <w:sz w:val="24"/>
                <w:szCs w:val="24"/>
                <w:lang w:eastAsia="zh-CN"/>
              </w:rPr>
              <w:t>徐家坡水厂DN700</w:t>
            </w:r>
            <w:r>
              <w:rPr>
                <w:rFonts w:hint="eastAsia"/>
                <w:color w:val="auto"/>
                <w:sz w:val="24"/>
                <w:szCs w:val="24"/>
              </w:rPr>
              <w:t>原水输水管道取水，</w:t>
            </w:r>
            <w:r>
              <w:rPr>
                <w:rFonts w:hint="eastAsia"/>
                <w:color w:val="auto"/>
                <w:sz w:val="24"/>
                <w:szCs w:val="24"/>
                <w:lang w:eastAsia="zh-CN"/>
              </w:rPr>
              <w:t>徐家坡水厂DN700</w:t>
            </w:r>
            <w:r>
              <w:rPr>
                <w:rFonts w:hint="eastAsia"/>
                <w:color w:val="auto"/>
                <w:sz w:val="24"/>
                <w:szCs w:val="24"/>
              </w:rPr>
              <w:t>原水输水管道取自</w:t>
            </w:r>
            <w:r>
              <w:rPr>
                <w:rFonts w:hint="eastAsia"/>
                <w:color w:val="auto"/>
                <w:sz w:val="24"/>
                <w:szCs w:val="24"/>
                <w:lang w:val="en-US" w:eastAsia="zh-CN"/>
              </w:rPr>
              <w:t>后河</w:t>
            </w:r>
            <w:r>
              <w:rPr>
                <w:rFonts w:hint="eastAsia"/>
                <w:color w:val="auto"/>
                <w:sz w:val="24"/>
                <w:szCs w:val="24"/>
              </w:rPr>
              <w:t>。根据《宣汉县徐家坡农村居民供水工程环境影响报告表》，该项目已提出建立在线自动监测网与预警系统，设立水源水质自动监测点，并设置明显的水域保护标识、标牌；一旦发生饮用水源水质污染事故，立即上报主管单位，取水口停止取水，同时以最快时间查出污染原因，并根据污染采取消除或减缓污染措施，待水源水质满足要求后方可恢复取水。</w:t>
            </w:r>
          </w:p>
          <w:p>
            <w:pPr>
              <w:spacing w:line="360" w:lineRule="auto"/>
              <w:ind w:firstLine="480" w:firstLineChars="200"/>
              <w:rPr>
                <w:sz w:val="24"/>
                <w:szCs w:val="24"/>
              </w:rPr>
            </w:pPr>
            <w:r>
              <w:rPr>
                <w:color w:val="auto"/>
                <w:sz w:val="24"/>
                <w:szCs w:val="24"/>
              </w:rPr>
              <w:t>项目水源水质监测依托</w:t>
            </w:r>
            <w:r>
              <w:rPr>
                <w:rFonts w:hint="eastAsia"/>
                <w:color w:val="auto"/>
                <w:sz w:val="24"/>
                <w:szCs w:val="24"/>
                <w:lang w:eastAsia="zh-CN"/>
              </w:rPr>
              <w:t>徐家坡水厂</w:t>
            </w:r>
            <w:r>
              <w:rPr>
                <w:rFonts w:hint="eastAsia"/>
                <w:color w:val="auto"/>
                <w:sz w:val="24"/>
                <w:szCs w:val="24"/>
              </w:rPr>
              <w:t>在线自动监测网与预警系统，运营期只要加强与</w:t>
            </w:r>
            <w:r>
              <w:rPr>
                <w:rFonts w:hint="eastAsia"/>
                <w:color w:val="auto"/>
                <w:sz w:val="24"/>
                <w:szCs w:val="24"/>
                <w:lang w:eastAsia="zh-CN"/>
              </w:rPr>
              <w:t>徐家坡水厂</w:t>
            </w:r>
            <w:r>
              <w:rPr>
                <w:rFonts w:hint="eastAsia"/>
                <w:color w:val="auto"/>
                <w:sz w:val="24"/>
                <w:szCs w:val="24"/>
              </w:rPr>
              <w:t>管理部门加强联动，可有效预防水源水质污染的风险。针对输水管道破损水源污染风险，环评要求建设单位要落实前文输水管道破裂风险防范措施，并委托第三方单位定期检测</w:t>
            </w:r>
            <w:r>
              <w:rPr>
                <w:rFonts w:hint="eastAsia"/>
                <w:color w:val="auto"/>
                <w:sz w:val="24"/>
                <w:szCs w:val="24"/>
                <w:lang w:eastAsia="zh-CN"/>
              </w:rPr>
              <w:t>水厂</w:t>
            </w:r>
            <w:r>
              <w:rPr>
                <w:rFonts w:hint="eastAsia"/>
                <w:color w:val="auto"/>
                <w:sz w:val="24"/>
                <w:szCs w:val="24"/>
              </w:rPr>
              <w:t>进、出水质，一旦发生水质超标情</w:t>
            </w:r>
            <w:r>
              <w:rPr>
                <w:rFonts w:hint="eastAsia"/>
                <w:sz w:val="24"/>
                <w:szCs w:val="24"/>
              </w:rPr>
              <w:t>况，应立即停止取水、供水，上报主管部门，启动应急预案，以最快速度查清并消除污染，待水质满足要求后恢复供水。</w:t>
            </w:r>
          </w:p>
          <w:p>
            <w:pPr>
              <w:spacing w:line="360" w:lineRule="auto"/>
              <w:ind w:firstLine="482" w:firstLineChars="200"/>
              <w:rPr>
                <w:b/>
                <w:sz w:val="24"/>
                <w:szCs w:val="24"/>
              </w:rPr>
            </w:pPr>
            <w:r>
              <w:rPr>
                <w:rFonts w:hint="eastAsia"/>
                <w:b/>
                <w:sz w:val="24"/>
                <w:szCs w:val="24"/>
              </w:rPr>
              <w:t>③环境风险应急预案</w:t>
            </w:r>
          </w:p>
          <w:p>
            <w:pPr>
              <w:spacing w:line="360" w:lineRule="auto"/>
              <w:ind w:firstLine="480" w:firstLineChars="200"/>
              <w:rPr>
                <w:rFonts w:cs="Times New Roman"/>
                <w:sz w:val="24"/>
                <w:szCs w:val="24"/>
              </w:rPr>
            </w:pPr>
            <w:r>
              <w:rPr>
                <w:rFonts w:hint="eastAsia"/>
                <w:sz w:val="24"/>
                <w:szCs w:val="24"/>
              </w:rPr>
              <w:t>根据《突发事件应急预案管理办法》（国办发〔2013〕101 号）、《突发环境事件应急管理办法》（环境保护部第34号）、《企业事业单位突发环境事件应急预案备案管理办法（试行）》（环发〔2015〕4号）、《突发环境事件信息报告办法》（环境保护部令第17号）、《突发环境事件应急预案管理暂行办法》（环发〔2010〕113号）等文件要求，建设单位应制订和完善项目风险事故应急预案，应急预案的应包括下表内容。</w:t>
            </w:r>
          </w:p>
          <w:p>
            <w:pPr>
              <w:spacing w:line="360" w:lineRule="auto"/>
              <w:jc w:val="center"/>
              <w:rPr>
                <w:rFonts w:eastAsia="黑体" w:cstheme="minorHAnsi"/>
                <w:szCs w:val="21"/>
              </w:rPr>
            </w:pPr>
            <w:r>
              <w:rPr>
                <w:rFonts w:eastAsia="黑体" w:cstheme="minorHAnsi"/>
                <w:szCs w:val="21"/>
              </w:rPr>
              <w:t>表4</w:t>
            </w:r>
            <w:r>
              <w:rPr>
                <w:rFonts w:hint="eastAsia" w:eastAsia="黑体" w:cstheme="minorHAnsi"/>
                <w:szCs w:val="21"/>
              </w:rPr>
              <w:t>-</w:t>
            </w:r>
            <w:r>
              <w:rPr>
                <w:rFonts w:eastAsia="黑体" w:cstheme="minorHAnsi"/>
                <w:szCs w:val="21"/>
              </w:rPr>
              <w:t xml:space="preserve">15  </w:t>
            </w:r>
            <w:r>
              <w:rPr>
                <w:rFonts w:hint="eastAsia" w:eastAsia="黑体" w:cstheme="minorHAnsi"/>
                <w:szCs w:val="21"/>
              </w:rPr>
              <w:t>环境风险</w:t>
            </w:r>
            <w:r>
              <w:rPr>
                <w:rFonts w:eastAsia="黑体" w:cstheme="minorHAnsi"/>
                <w:szCs w:val="21"/>
              </w:rPr>
              <w:t>应急</w:t>
            </w:r>
            <w:r>
              <w:rPr>
                <w:rFonts w:hint="eastAsia" w:eastAsia="黑体" w:cstheme="minorHAnsi"/>
                <w:szCs w:val="21"/>
              </w:rPr>
              <w:t>预案内容</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9"/>
              <w:gridCol w:w="2702"/>
              <w:gridCol w:w="4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pPr>
                    <w:widowControl/>
                    <w:jc w:val="center"/>
                    <w:rPr>
                      <w:rFonts w:cs="Times New Roman"/>
                      <w:kern w:val="0"/>
                      <w:szCs w:val="21"/>
                    </w:rPr>
                  </w:pPr>
                  <w:r>
                    <w:rPr>
                      <w:rFonts w:cs="Times New Roman"/>
                      <w:kern w:val="0"/>
                      <w:szCs w:val="21"/>
                    </w:rPr>
                    <w:t>序号</w:t>
                  </w:r>
                </w:p>
              </w:tc>
              <w:tc>
                <w:tcPr>
                  <w:tcW w:w="1559" w:type="pct"/>
                  <w:vAlign w:val="center"/>
                </w:tcPr>
                <w:p>
                  <w:pPr>
                    <w:widowControl/>
                    <w:jc w:val="center"/>
                    <w:rPr>
                      <w:rFonts w:cs="Times New Roman"/>
                      <w:kern w:val="0"/>
                      <w:szCs w:val="21"/>
                    </w:rPr>
                  </w:pPr>
                  <w:r>
                    <w:rPr>
                      <w:rFonts w:cs="Times New Roman"/>
                      <w:kern w:val="0"/>
                      <w:szCs w:val="21"/>
                    </w:rPr>
                    <w:t>项目</w:t>
                  </w:r>
                </w:p>
              </w:tc>
              <w:tc>
                <w:tcPr>
                  <w:tcW w:w="2853" w:type="pct"/>
                  <w:vAlign w:val="center"/>
                </w:tcPr>
                <w:p>
                  <w:pPr>
                    <w:widowControl/>
                    <w:jc w:val="center"/>
                    <w:rPr>
                      <w:rFonts w:cs="Times New Roman"/>
                      <w:kern w:val="0"/>
                      <w:szCs w:val="21"/>
                    </w:rPr>
                  </w:pPr>
                  <w:r>
                    <w:rPr>
                      <w:rFonts w:cs="Times New Roman"/>
                      <w:kern w:val="0"/>
                      <w:szCs w:val="21"/>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pPr>
                    <w:widowControl/>
                    <w:jc w:val="center"/>
                    <w:rPr>
                      <w:rFonts w:cs="Times New Roman"/>
                      <w:kern w:val="0"/>
                      <w:szCs w:val="21"/>
                    </w:rPr>
                  </w:pPr>
                  <w:r>
                    <w:rPr>
                      <w:rFonts w:cs="Times New Roman"/>
                      <w:kern w:val="0"/>
                      <w:szCs w:val="21"/>
                    </w:rPr>
                    <w:t>1</w:t>
                  </w:r>
                </w:p>
              </w:tc>
              <w:tc>
                <w:tcPr>
                  <w:tcW w:w="1559" w:type="pct"/>
                  <w:vAlign w:val="center"/>
                </w:tcPr>
                <w:p>
                  <w:pPr>
                    <w:widowControl/>
                    <w:rPr>
                      <w:rFonts w:cs="Times New Roman"/>
                      <w:kern w:val="0"/>
                      <w:szCs w:val="21"/>
                    </w:rPr>
                  </w:pPr>
                  <w:r>
                    <w:rPr>
                      <w:rFonts w:cs="Times New Roman"/>
                      <w:kern w:val="0"/>
                      <w:szCs w:val="21"/>
                    </w:rPr>
                    <w:t>应急组织机构、人员</w:t>
                  </w:r>
                </w:p>
              </w:tc>
              <w:tc>
                <w:tcPr>
                  <w:tcW w:w="2853" w:type="pct"/>
                  <w:vAlign w:val="center"/>
                </w:tcPr>
                <w:p>
                  <w:pPr>
                    <w:widowControl/>
                    <w:rPr>
                      <w:rFonts w:cs="Times New Roman"/>
                      <w:kern w:val="0"/>
                      <w:szCs w:val="21"/>
                    </w:rPr>
                  </w:pPr>
                  <w:r>
                    <w:rPr>
                      <w:rFonts w:cs="Times New Roman"/>
                      <w:kern w:val="0"/>
                      <w:szCs w:val="21"/>
                    </w:rPr>
                    <w:t>公司应急机构人员，地方政府应急组织人员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pPr>
                    <w:widowControl/>
                    <w:jc w:val="center"/>
                    <w:rPr>
                      <w:rFonts w:cs="Times New Roman"/>
                      <w:kern w:val="0"/>
                      <w:szCs w:val="21"/>
                    </w:rPr>
                  </w:pPr>
                  <w:r>
                    <w:rPr>
                      <w:rFonts w:cs="Times New Roman"/>
                      <w:kern w:val="0"/>
                      <w:szCs w:val="21"/>
                    </w:rPr>
                    <w:t>2</w:t>
                  </w:r>
                </w:p>
              </w:tc>
              <w:tc>
                <w:tcPr>
                  <w:tcW w:w="1559" w:type="pct"/>
                  <w:vAlign w:val="center"/>
                </w:tcPr>
                <w:p>
                  <w:pPr>
                    <w:widowControl/>
                    <w:rPr>
                      <w:rFonts w:cs="Times New Roman"/>
                      <w:kern w:val="0"/>
                      <w:szCs w:val="21"/>
                    </w:rPr>
                  </w:pPr>
                  <w:r>
                    <w:rPr>
                      <w:rFonts w:cs="Times New Roman"/>
                      <w:kern w:val="0"/>
                      <w:szCs w:val="21"/>
                    </w:rPr>
                    <w:t>预案分级响应条件</w:t>
                  </w:r>
                </w:p>
              </w:tc>
              <w:tc>
                <w:tcPr>
                  <w:tcW w:w="2853" w:type="pct"/>
                  <w:vAlign w:val="center"/>
                </w:tcPr>
                <w:p>
                  <w:pPr>
                    <w:widowControl/>
                    <w:rPr>
                      <w:rFonts w:cs="Times New Roman"/>
                      <w:kern w:val="0"/>
                      <w:szCs w:val="21"/>
                    </w:rPr>
                  </w:pPr>
                  <w:r>
                    <w:rPr>
                      <w:rFonts w:cs="Times New Roman"/>
                      <w:kern w:val="0"/>
                      <w:szCs w:val="21"/>
                    </w:rPr>
                    <w:t>规定预案的级别及分级响应程序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pPr>
                    <w:widowControl/>
                    <w:jc w:val="center"/>
                    <w:rPr>
                      <w:rFonts w:cs="Times New Roman"/>
                      <w:kern w:val="0"/>
                      <w:szCs w:val="21"/>
                    </w:rPr>
                  </w:pPr>
                  <w:r>
                    <w:rPr>
                      <w:rFonts w:cs="Times New Roman"/>
                      <w:kern w:val="0"/>
                      <w:szCs w:val="21"/>
                    </w:rPr>
                    <w:t>3</w:t>
                  </w:r>
                </w:p>
              </w:tc>
              <w:tc>
                <w:tcPr>
                  <w:tcW w:w="1559" w:type="pct"/>
                  <w:vAlign w:val="center"/>
                </w:tcPr>
                <w:p>
                  <w:pPr>
                    <w:widowControl/>
                    <w:rPr>
                      <w:rFonts w:cs="Times New Roman"/>
                      <w:kern w:val="0"/>
                      <w:szCs w:val="21"/>
                    </w:rPr>
                  </w:pPr>
                  <w:r>
                    <w:rPr>
                      <w:rFonts w:cs="Times New Roman"/>
                      <w:kern w:val="0"/>
                      <w:szCs w:val="21"/>
                    </w:rPr>
                    <w:t>应急救缓保障</w:t>
                  </w:r>
                </w:p>
              </w:tc>
              <w:tc>
                <w:tcPr>
                  <w:tcW w:w="2853" w:type="pct"/>
                  <w:vAlign w:val="center"/>
                </w:tcPr>
                <w:p>
                  <w:pPr>
                    <w:widowControl/>
                    <w:rPr>
                      <w:rFonts w:cs="Times New Roman"/>
                      <w:kern w:val="0"/>
                      <w:szCs w:val="21"/>
                    </w:rPr>
                  </w:pPr>
                  <w:r>
                    <w:rPr>
                      <w:rFonts w:cs="Times New Roman"/>
                      <w:kern w:val="0"/>
                      <w:szCs w:val="21"/>
                    </w:rPr>
                    <w:t>应急设施、设备与器材等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pPr>
                    <w:widowControl/>
                    <w:jc w:val="center"/>
                    <w:rPr>
                      <w:rFonts w:cs="Times New Roman"/>
                      <w:kern w:val="0"/>
                      <w:szCs w:val="21"/>
                    </w:rPr>
                  </w:pPr>
                  <w:r>
                    <w:rPr>
                      <w:rFonts w:cs="Times New Roman"/>
                      <w:kern w:val="0"/>
                      <w:szCs w:val="21"/>
                    </w:rPr>
                    <w:t>4</w:t>
                  </w:r>
                </w:p>
              </w:tc>
              <w:tc>
                <w:tcPr>
                  <w:tcW w:w="1559" w:type="pct"/>
                  <w:vAlign w:val="center"/>
                </w:tcPr>
                <w:p>
                  <w:pPr>
                    <w:widowControl/>
                    <w:rPr>
                      <w:rFonts w:cs="Times New Roman"/>
                      <w:kern w:val="0"/>
                      <w:szCs w:val="21"/>
                    </w:rPr>
                  </w:pPr>
                  <w:r>
                    <w:rPr>
                      <w:rFonts w:cs="Times New Roman"/>
                      <w:kern w:val="0"/>
                      <w:szCs w:val="21"/>
                    </w:rPr>
                    <w:t>报警、通讯联络方式</w:t>
                  </w:r>
                </w:p>
              </w:tc>
              <w:tc>
                <w:tcPr>
                  <w:tcW w:w="2853" w:type="pct"/>
                  <w:vAlign w:val="center"/>
                </w:tcPr>
                <w:p>
                  <w:pPr>
                    <w:widowControl/>
                    <w:rPr>
                      <w:rFonts w:cs="Times New Roman"/>
                      <w:kern w:val="0"/>
                      <w:szCs w:val="21"/>
                    </w:rPr>
                  </w:pPr>
                  <w:r>
                    <w:rPr>
                      <w:rFonts w:cs="Times New Roman"/>
                      <w:kern w:val="0"/>
                      <w:szCs w:val="21"/>
                    </w:rPr>
                    <w:t>规定应急状态下的报警通讯方式；交通保障、管制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pPr>
                    <w:widowControl/>
                    <w:jc w:val="center"/>
                    <w:rPr>
                      <w:rFonts w:cs="Times New Roman"/>
                      <w:kern w:val="0"/>
                      <w:szCs w:val="21"/>
                    </w:rPr>
                  </w:pPr>
                  <w:r>
                    <w:rPr>
                      <w:rFonts w:cs="Times New Roman"/>
                      <w:kern w:val="0"/>
                      <w:szCs w:val="21"/>
                    </w:rPr>
                    <w:t>5</w:t>
                  </w:r>
                </w:p>
              </w:tc>
              <w:tc>
                <w:tcPr>
                  <w:tcW w:w="1559" w:type="pct"/>
                  <w:vAlign w:val="center"/>
                </w:tcPr>
                <w:p>
                  <w:pPr>
                    <w:widowControl/>
                    <w:rPr>
                      <w:rFonts w:cs="Times New Roman"/>
                      <w:kern w:val="0"/>
                      <w:szCs w:val="21"/>
                    </w:rPr>
                  </w:pPr>
                  <w:r>
                    <w:rPr>
                      <w:rFonts w:cs="Times New Roman"/>
                      <w:kern w:val="0"/>
                      <w:szCs w:val="21"/>
                    </w:rPr>
                    <w:t>应急环境监测、抢险、救缓及控制措施</w:t>
                  </w:r>
                </w:p>
              </w:tc>
              <w:tc>
                <w:tcPr>
                  <w:tcW w:w="2853" w:type="pct"/>
                  <w:vAlign w:val="center"/>
                </w:tcPr>
                <w:p>
                  <w:pPr>
                    <w:widowControl/>
                    <w:rPr>
                      <w:rFonts w:cs="Times New Roman"/>
                      <w:kern w:val="0"/>
                      <w:szCs w:val="21"/>
                    </w:rPr>
                  </w:pPr>
                  <w:r>
                    <w:rPr>
                      <w:rFonts w:cs="Times New Roman"/>
                      <w:kern w:val="0"/>
                      <w:szCs w:val="21"/>
                    </w:rPr>
                    <w:t>由环境监测站负责对事故现场进行监测，对事故性质、参数与后果进行评估，为指挥部门提供决策根据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pPr>
                    <w:widowControl/>
                    <w:jc w:val="center"/>
                    <w:rPr>
                      <w:rFonts w:cs="Times New Roman"/>
                      <w:kern w:val="0"/>
                      <w:szCs w:val="21"/>
                    </w:rPr>
                  </w:pPr>
                  <w:r>
                    <w:rPr>
                      <w:rFonts w:cs="Times New Roman"/>
                      <w:kern w:val="0"/>
                      <w:szCs w:val="21"/>
                    </w:rPr>
                    <w:t>6</w:t>
                  </w:r>
                </w:p>
              </w:tc>
              <w:tc>
                <w:tcPr>
                  <w:tcW w:w="1559" w:type="pct"/>
                  <w:vAlign w:val="center"/>
                </w:tcPr>
                <w:p>
                  <w:pPr>
                    <w:widowControl/>
                    <w:rPr>
                      <w:rFonts w:cs="Times New Roman"/>
                      <w:kern w:val="0"/>
                      <w:szCs w:val="21"/>
                    </w:rPr>
                  </w:pPr>
                  <w:r>
                    <w:rPr>
                      <w:rFonts w:cs="Times New Roman"/>
                      <w:kern w:val="0"/>
                      <w:szCs w:val="21"/>
                    </w:rPr>
                    <w:t>应急检测、防护措施、清除泄漏措施器材</w:t>
                  </w:r>
                </w:p>
              </w:tc>
              <w:tc>
                <w:tcPr>
                  <w:tcW w:w="2853" w:type="pct"/>
                  <w:vAlign w:val="center"/>
                </w:tcPr>
                <w:p>
                  <w:pPr>
                    <w:widowControl/>
                    <w:rPr>
                      <w:rFonts w:cs="Times New Roman"/>
                      <w:kern w:val="0"/>
                      <w:szCs w:val="21"/>
                    </w:rPr>
                  </w:pPr>
                  <w:r>
                    <w:rPr>
                      <w:rFonts w:cs="Times New Roman"/>
                      <w:kern w:val="0"/>
                      <w:szCs w:val="21"/>
                    </w:rPr>
                    <w:t>事故现场、邻近区域、控制防火区域，控制和清除污染措施及相应设备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pPr>
                    <w:widowControl/>
                    <w:jc w:val="center"/>
                    <w:rPr>
                      <w:rFonts w:cs="Times New Roman"/>
                      <w:kern w:val="0"/>
                      <w:szCs w:val="21"/>
                    </w:rPr>
                  </w:pPr>
                  <w:r>
                    <w:rPr>
                      <w:rFonts w:cs="Times New Roman"/>
                      <w:kern w:val="0"/>
                      <w:szCs w:val="21"/>
                    </w:rPr>
                    <w:t>7</w:t>
                  </w:r>
                </w:p>
              </w:tc>
              <w:tc>
                <w:tcPr>
                  <w:tcW w:w="1559" w:type="pct"/>
                  <w:vAlign w:val="center"/>
                </w:tcPr>
                <w:p>
                  <w:pPr>
                    <w:widowControl/>
                    <w:rPr>
                      <w:rFonts w:cs="Times New Roman"/>
                      <w:kern w:val="0"/>
                      <w:szCs w:val="21"/>
                    </w:rPr>
                  </w:pPr>
                  <w:r>
                    <w:rPr>
                      <w:rFonts w:cs="Times New Roman"/>
                      <w:kern w:val="0"/>
                      <w:szCs w:val="21"/>
                    </w:rPr>
                    <w:t>人员紧急撤离、疏散</w:t>
                  </w:r>
                </w:p>
              </w:tc>
              <w:tc>
                <w:tcPr>
                  <w:tcW w:w="2853" w:type="pct"/>
                  <w:vAlign w:val="center"/>
                </w:tcPr>
                <w:p>
                  <w:pPr>
                    <w:widowControl/>
                    <w:rPr>
                      <w:rFonts w:cs="Times New Roman"/>
                      <w:kern w:val="0"/>
                      <w:szCs w:val="21"/>
                    </w:rPr>
                  </w:pPr>
                  <w:r>
                    <w:rPr>
                      <w:rFonts w:cs="Times New Roman"/>
                      <w:kern w:val="0"/>
                      <w:szCs w:val="21"/>
                    </w:rPr>
                    <w:t>撤离组织计划及救护，医疗救护与公众健康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pPr>
                    <w:widowControl/>
                    <w:jc w:val="center"/>
                    <w:rPr>
                      <w:rFonts w:cs="Times New Roman"/>
                      <w:kern w:val="0"/>
                      <w:szCs w:val="21"/>
                    </w:rPr>
                  </w:pPr>
                  <w:r>
                    <w:rPr>
                      <w:rFonts w:cs="Times New Roman"/>
                      <w:kern w:val="0"/>
                      <w:szCs w:val="21"/>
                    </w:rPr>
                    <w:t>8</w:t>
                  </w:r>
                </w:p>
              </w:tc>
              <w:tc>
                <w:tcPr>
                  <w:tcW w:w="1559" w:type="pct"/>
                  <w:vAlign w:val="center"/>
                </w:tcPr>
                <w:p>
                  <w:pPr>
                    <w:widowControl/>
                    <w:rPr>
                      <w:rFonts w:cs="Times New Roman"/>
                      <w:kern w:val="0"/>
                      <w:szCs w:val="21"/>
                    </w:rPr>
                  </w:pPr>
                  <w:r>
                    <w:rPr>
                      <w:rFonts w:cs="Times New Roman"/>
                      <w:kern w:val="0"/>
                      <w:szCs w:val="21"/>
                    </w:rPr>
                    <w:t>事故应急救缓关闭程序与恢复措施</w:t>
                  </w:r>
                </w:p>
              </w:tc>
              <w:tc>
                <w:tcPr>
                  <w:tcW w:w="2853" w:type="pct"/>
                  <w:vAlign w:val="center"/>
                </w:tcPr>
                <w:p>
                  <w:pPr>
                    <w:widowControl/>
                    <w:rPr>
                      <w:rFonts w:cs="Times New Roman"/>
                      <w:kern w:val="0"/>
                      <w:szCs w:val="21"/>
                    </w:rPr>
                  </w:pPr>
                  <w:r>
                    <w:rPr>
                      <w:rFonts w:cs="Times New Roman"/>
                      <w:kern w:val="0"/>
                      <w:szCs w:val="21"/>
                    </w:rPr>
                    <w:t>专业队伍抢救结束后，做好事故现场善后处理，邻近区域解除事故警戒及善后恢复措施，现场调查、清理、清洗工作恢复生产状态，组织生产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pPr>
                    <w:widowControl/>
                    <w:jc w:val="center"/>
                    <w:rPr>
                      <w:rFonts w:cs="Times New Roman"/>
                      <w:kern w:val="0"/>
                      <w:szCs w:val="21"/>
                    </w:rPr>
                  </w:pPr>
                  <w:r>
                    <w:rPr>
                      <w:rFonts w:cs="Times New Roman"/>
                      <w:kern w:val="0"/>
                      <w:szCs w:val="21"/>
                    </w:rPr>
                    <w:t>9</w:t>
                  </w:r>
                </w:p>
              </w:tc>
              <w:tc>
                <w:tcPr>
                  <w:tcW w:w="1559" w:type="pct"/>
                  <w:vAlign w:val="center"/>
                </w:tcPr>
                <w:p>
                  <w:pPr>
                    <w:widowControl/>
                    <w:rPr>
                      <w:rFonts w:cs="Times New Roman"/>
                      <w:kern w:val="0"/>
                      <w:szCs w:val="21"/>
                    </w:rPr>
                  </w:pPr>
                  <w:r>
                    <w:rPr>
                      <w:rFonts w:cs="Times New Roman"/>
                      <w:kern w:val="0"/>
                      <w:szCs w:val="21"/>
                    </w:rPr>
                    <w:t>应急培训计划</w:t>
                  </w:r>
                </w:p>
              </w:tc>
              <w:tc>
                <w:tcPr>
                  <w:tcW w:w="2853" w:type="pct"/>
                  <w:vAlign w:val="center"/>
                </w:tcPr>
                <w:p>
                  <w:pPr>
                    <w:widowControl/>
                    <w:rPr>
                      <w:rFonts w:cs="Times New Roman"/>
                      <w:kern w:val="0"/>
                      <w:szCs w:val="21"/>
                    </w:rPr>
                  </w:pPr>
                  <w:r>
                    <w:rPr>
                      <w:rFonts w:cs="Times New Roman"/>
                      <w:kern w:val="0"/>
                      <w:szCs w:val="21"/>
                    </w:rPr>
                    <w:t>制定计划，安排人员培训与演练</w:t>
                  </w:r>
                </w:p>
              </w:tc>
            </w:tr>
          </w:tbl>
          <w:p>
            <w:pPr>
              <w:spacing w:line="360" w:lineRule="auto"/>
              <w:ind w:firstLine="482" w:firstLineChars="200"/>
              <w:rPr>
                <w:b/>
                <w:sz w:val="24"/>
                <w:szCs w:val="24"/>
              </w:rPr>
            </w:pPr>
            <w:r>
              <w:rPr>
                <w:rFonts w:hint="eastAsia"/>
                <w:b/>
                <w:sz w:val="24"/>
                <w:szCs w:val="24"/>
              </w:rPr>
              <w:t>（</w:t>
            </w:r>
            <w:r>
              <w:rPr>
                <w:b/>
                <w:sz w:val="24"/>
                <w:szCs w:val="24"/>
              </w:rPr>
              <w:t>4</w:t>
            </w:r>
            <w:r>
              <w:rPr>
                <w:rFonts w:hint="eastAsia"/>
                <w:b/>
                <w:sz w:val="24"/>
                <w:szCs w:val="24"/>
              </w:rPr>
              <w:t>）环境风险分析结论</w:t>
            </w:r>
          </w:p>
          <w:p>
            <w:pPr>
              <w:spacing w:line="360" w:lineRule="auto"/>
              <w:ind w:firstLine="480" w:firstLineChars="200"/>
              <w:rPr>
                <w:sz w:val="24"/>
                <w:szCs w:val="24"/>
              </w:rPr>
            </w:pPr>
            <w:r>
              <w:rPr>
                <w:rFonts w:hint="eastAsia"/>
                <w:sz w:val="24"/>
                <w:szCs w:val="24"/>
              </w:rPr>
              <w:t>本项目环境风险简单分析内容见表</w:t>
            </w:r>
            <w:r>
              <w:rPr>
                <w:sz w:val="24"/>
                <w:szCs w:val="24"/>
              </w:rPr>
              <w:t>4</w:t>
            </w:r>
            <w:r>
              <w:rPr>
                <w:rFonts w:hint="eastAsia"/>
                <w:sz w:val="24"/>
                <w:szCs w:val="24"/>
              </w:rPr>
              <w:t>-</w:t>
            </w:r>
            <w:r>
              <w:rPr>
                <w:sz w:val="24"/>
                <w:szCs w:val="24"/>
              </w:rPr>
              <w:t>16</w:t>
            </w:r>
            <w:r>
              <w:rPr>
                <w:rFonts w:hint="eastAsia"/>
                <w:sz w:val="24"/>
                <w:szCs w:val="24"/>
              </w:rPr>
              <w:t>。</w:t>
            </w:r>
          </w:p>
          <w:p>
            <w:pPr>
              <w:spacing w:line="360" w:lineRule="auto"/>
              <w:jc w:val="center"/>
              <w:rPr>
                <w:rFonts w:eastAsia="黑体" w:cs="Calibri"/>
                <w:szCs w:val="21"/>
              </w:rPr>
            </w:pPr>
            <w:r>
              <w:rPr>
                <w:rFonts w:hint="eastAsia" w:eastAsia="黑体" w:cs="Calibri"/>
                <w:szCs w:val="21"/>
              </w:rPr>
              <w:t>表</w:t>
            </w:r>
            <w:r>
              <w:rPr>
                <w:rFonts w:eastAsia="黑体" w:cs="Calibri"/>
                <w:szCs w:val="21"/>
              </w:rPr>
              <w:t>4</w:t>
            </w:r>
            <w:r>
              <w:rPr>
                <w:rFonts w:hint="eastAsia" w:eastAsia="黑体" w:cs="Calibri"/>
                <w:szCs w:val="21"/>
              </w:rPr>
              <w:t>-</w:t>
            </w:r>
            <w:r>
              <w:rPr>
                <w:rFonts w:eastAsia="黑体" w:cs="Calibri"/>
                <w:szCs w:val="21"/>
              </w:rPr>
              <w:t xml:space="preserve">16  </w:t>
            </w:r>
            <w:r>
              <w:rPr>
                <w:rFonts w:hint="eastAsia" w:eastAsia="黑体" w:cs="Calibri"/>
                <w:szCs w:val="21"/>
              </w:rPr>
              <w:t>建设</w:t>
            </w:r>
            <w:r>
              <w:rPr>
                <w:rFonts w:eastAsia="黑体" w:cs="Calibri"/>
                <w:szCs w:val="21"/>
              </w:rPr>
              <w:t>项目环境风险简单分析内容表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9"/>
              <w:gridCol w:w="1824"/>
              <w:gridCol w:w="1576"/>
              <w:gridCol w:w="1576"/>
              <w:gridCol w:w="1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pct"/>
                  <w:vAlign w:val="center"/>
                </w:tcPr>
                <w:p>
                  <w:pPr>
                    <w:jc w:val="center"/>
                    <w:rPr>
                      <w:rFonts w:cstheme="minorHAnsi"/>
                      <w:szCs w:val="21"/>
                    </w:rPr>
                  </w:pPr>
                  <w:r>
                    <w:rPr>
                      <w:rFonts w:cstheme="minorHAnsi"/>
                      <w:szCs w:val="21"/>
                    </w:rPr>
                    <w:t>建设项目名称</w:t>
                  </w:r>
                </w:p>
              </w:tc>
              <w:tc>
                <w:tcPr>
                  <w:tcW w:w="3777" w:type="pct"/>
                  <w:gridSpan w:val="4"/>
                  <w:vAlign w:val="center"/>
                </w:tcPr>
                <w:p>
                  <w:pPr>
                    <w:jc w:val="center"/>
                    <w:rPr>
                      <w:rFonts w:hint="eastAsia" w:eastAsia="宋体" w:cstheme="minorHAnsi"/>
                      <w:szCs w:val="21"/>
                      <w:lang w:eastAsia="zh-CN"/>
                    </w:rPr>
                  </w:pPr>
                  <w:r>
                    <w:rPr>
                      <w:rFonts w:hint="eastAsia" w:cstheme="minorHAnsi"/>
                      <w:szCs w:val="21"/>
                      <w:lang w:eastAsia="zh-CN"/>
                    </w:rPr>
                    <w:t>宣汉县城（明月坝）供水工程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23" w:type="pct"/>
                  <w:vAlign w:val="center"/>
                </w:tcPr>
                <w:p>
                  <w:pPr>
                    <w:jc w:val="center"/>
                    <w:rPr>
                      <w:rFonts w:cstheme="minorHAnsi"/>
                      <w:szCs w:val="21"/>
                    </w:rPr>
                  </w:pPr>
                  <w:r>
                    <w:rPr>
                      <w:rFonts w:cstheme="minorHAnsi"/>
                      <w:szCs w:val="21"/>
                    </w:rPr>
                    <w:t>建设地点</w:t>
                  </w:r>
                </w:p>
              </w:tc>
              <w:tc>
                <w:tcPr>
                  <w:tcW w:w="1052" w:type="pct"/>
                  <w:vAlign w:val="center"/>
                </w:tcPr>
                <w:p>
                  <w:pPr>
                    <w:jc w:val="center"/>
                    <w:rPr>
                      <w:rFonts w:cstheme="minorHAnsi"/>
                      <w:color w:val="auto"/>
                      <w:szCs w:val="21"/>
                    </w:rPr>
                  </w:pPr>
                  <w:r>
                    <w:rPr>
                      <w:rFonts w:hint="eastAsia" w:cstheme="minorHAnsi"/>
                      <w:color w:val="auto"/>
                      <w:szCs w:val="21"/>
                    </w:rPr>
                    <w:t>四川省</w:t>
                  </w:r>
                </w:p>
              </w:tc>
              <w:tc>
                <w:tcPr>
                  <w:tcW w:w="909" w:type="pct"/>
                  <w:vAlign w:val="center"/>
                </w:tcPr>
                <w:p>
                  <w:pPr>
                    <w:jc w:val="center"/>
                    <w:rPr>
                      <w:rFonts w:hint="eastAsia" w:eastAsia="宋体" w:cstheme="minorHAnsi"/>
                      <w:color w:val="auto"/>
                      <w:szCs w:val="21"/>
                      <w:lang w:eastAsia="zh-CN"/>
                    </w:rPr>
                  </w:pPr>
                  <w:r>
                    <w:rPr>
                      <w:rFonts w:hint="eastAsia" w:cstheme="minorHAnsi"/>
                      <w:color w:val="auto"/>
                      <w:szCs w:val="21"/>
                      <w:lang w:eastAsia="zh-CN"/>
                    </w:rPr>
                    <w:t>达州市</w:t>
                  </w:r>
                </w:p>
              </w:tc>
              <w:tc>
                <w:tcPr>
                  <w:tcW w:w="909" w:type="pct"/>
                  <w:vAlign w:val="center"/>
                </w:tcPr>
                <w:p>
                  <w:pPr>
                    <w:jc w:val="center"/>
                    <w:rPr>
                      <w:rFonts w:hint="eastAsia" w:eastAsia="宋体" w:cstheme="minorHAnsi"/>
                      <w:color w:val="auto"/>
                      <w:szCs w:val="21"/>
                      <w:lang w:eastAsia="zh-CN"/>
                    </w:rPr>
                  </w:pPr>
                  <w:r>
                    <w:rPr>
                      <w:rFonts w:hint="eastAsia" w:cstheme="minorHAnsi"/>
                      <w:color w:val="auto"/>
                      <w:szCs w:val="21"/>
                      <w:lang w:val="en-US" w:eastAsia="zh-CN"/>
                    </w:rPr>
                    <w:t>宣汉县</w:t>
                  </w:r>
                </w:p>
              </w:tc>
              <w:tc>
                <w:tcPr>
                  <w:tcW w:w="907" w:type="pct"/>
                  <w:vAlign w:val="center"/>
                </w:tcPr>
                <w:p>
                  <w:pPr>
                    <w:jc w:val="center"/>
                    <w:rPr>
                      <w:rFonts w:hint="default" w:eastAsia="宋体" w:cstheme="minorHAnsi"/>
                      <w:color w:val="auto"/>
                      <w:szCs w:val="21"/>
                      <w:lang w:val="en-US" w:eastAsia="zh-CN"/>
                    </w:rPr>
                  </w:pPr>
                  <w:r>
                    <w:rPr>
                      <w:rFonts w:hint="eastAsia" w:cstheme="minorHAnsi"/>
                      <w:color w:val="auto"/>
                      <w:szCs w:val="21"/>
                      <w:lang w:val="en-US" w:eastAsia="zh-CN"/>
                    </w:rPr>
                    <w:t>蒲江街道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pct"/>
                  <w:vAlign w:val="center"/>
                </w:tcPr>
                <w:p>
                  <w:pPr>
                    <w:jc w:val="center"/>
                    <w:rPr>
                      <w:rFonts w:cstheme="minorHAnsi"/>
                      <w:szCs w:val="21"/>
                    </w:rPr>
                  </w:pPr>
                  <w:r>
                    <w:rPr>
                      <w:rFonts w:cstheme="minorHAnsi"/>
                      <w:szCs w:val="21"/>
                    </w:rPr>
                    <w:t>地理坐标</w:t>
                  </w:r>
                </w:p>
              </w:tc>
              <w:tc>
                <w:tcPr>
                  <w:tcW w:w="1052" w:type="pct"/>
                  <w:vAlign w:val="center"/>
                </w:tcPr>
                <w:p>
                  <w:pPr>
                    <w:jc w:val="center"/>
                    <w:rPr>
                      <w:rFonts w:cstheme="minorHAnsi"/>
                      <w:color w:val="auto"/>
                      <w:szCs w:val="21"/>
                    </w:rPr>
                  </w:pPr>
                  <w:r>
                    <w:rPr>
                      <w:rFonts w:cstheme="minorHAnsi"/>
                      <w:color w:val="auto"/>
                      <w:szCs w:val="21"/>
                    </w:rPr>
                    <w:t>经度</w:t>
                  </w:r>
                </w:p>
              </w:tc>
              <w:tc>
                <w:tcPr>
                  <w:tcW w:w="909" w:type="pct"/>
                  <w:vAlign w:val="center"/>
                </w:tcPr>
                <w:p>
                  <w:pPr>
                    <w:jc w:val="center"/>
                    <w:rPr>
                      <w:rFonts w:cstheme="minorHAnsi"/>
                      <w:color w:val="auto"/>
                      <w:szCs w:val="21"/>
                    </w:rPr>
                  </w:pPr>
                  <w:r>
                    <w:rPr>
                      <w:rFonts w:cs="Times New Roman"/>
                      <w:color w:val="auto"/>
                      <w:szCs w:val="21"/>
                    </w:rPr>
                    <w:t>10</w:t>
                  </w:r>
                  <w:r>
                    <w:rPr>
                      <w:rFonts w:hint="eastAsia" w:cs="Times New Roman"/>
                      <w:color w:val="auto"/>
                      <w:szCs w:val="21"/>
                      <w:lang w:val="en-US" w:eastAsia="zh-CN"/>
                    </w:rPr>
                    <w:t>7</w:t>
                  </w:r>
                  <w:r>
                    <w:rPr>
                      <w:rFonts w:cs="Times New Roman"/>
                      <w:color w:val="auto"/>
                      <w:szCs w:val="21"/>
                    </w:rPr>
                    <w:t>°</w:t>
                  </w:r>
                  <w:r>
                    <w:rPr>
                      <w:rFonts w:hint="eastAsia" w:cs="Times New Roman"/>
                      <w:color w:val="auto"/>
                      <w:szCs w:val="21"/>
                      <w:lang w:val="en-US" w:eastAsia="zh-CN"/>
                    </w:rPr>
                    <w:t>43</w:t>
                  </w:r>
                  <w:r>
                    <w:rPr>
                      <w:rFonts w:cs="Times New Roman"/>
                      <w:color w:val="auto"/>
                      <w:szCs w:val="21"/>
                    </w:rPr>
                    <w:t>′4</w:t>
                  </w:r>
                  <w:r>
                    <w:rPr>
                      <w:rFonts w:hint="eastAsia" w:cs="Times New Roman"/>
                      <w:color w:val="auto"/>
                      <w:szCs w:val="21"/>
                      <w:lang w:val="en-US" w:eastAsia="zh-CN"/>
                    </w:rPr>
                    <w:t>5.032</w:t>
                  </w:r>
                  <w:r>
                    <w:rPr>
                      <w:rFonts w:cs="Times New Roman"/>
                      <w:color w:val="auto"/>
                      <w:szCs w:val="21"/>
                    </w:rPr>
                    <w:t>″</w:t>
                  </w:r>
                </w:p>
              </w:tc>
              <w:tc>
                <w:tcPr>
                  <w:tcW w:w="909" w:type="pct"/>
                  <w:vAlign w:val="center"/>
                </w:tcPr>
                <w:p>
                  <w:pPr>
                    <w:jc w:val="center"/>
                    <w:rPr>
                      <w:rFonts w:cstheme="minorHAnsi"/>
                      <w:color w:val="auto"/>
                      <w:szCs w:val="21"/>
                    </w:rPr>
                  </w:pPr>
                  <w:r>
                    <w:rPr>
                      <w:rFonts w:cstheme="minorHAnsi"/>
                      <w:color w:val="auto"/>
                      <w:szCs w:val="21"/>
                    </w:rPr>
                    <w:t>纬度</w:t>
                  </w:r>
                </w:p>
              </w:tc>
              <w:tc>
                <w:tcPr>
                  <w:tcW w:w="907" w:type="pct"/>
                  <w:vAlign w:val="center"/>
                </w:tcPr>
                <w:p>
                  <w:pPr>
                    <w:jc w:val="center"/>
                    <w:rPr>
                      <w:rFonts w:cstheme="minorHAnsi"/>
                      <w:color w:val="auto"/>
                      <w:szCs w:val="21"/>
                    </w:rPr>
                  </w:pPr>
                  <w:r>
                    <w:rPr>
                      <w:rFonts w:cs="Times New Roman"/>
                      <w:color w:val="auto"/>
                      <w:szCs w:val="21"/>
                    </w:rPr>
                    <w:t>3</w:t>
                  </w:r>
                  <w:r>
                    <w:rPr>
                      <w:rFonts w:hint="eastAsia" w:cs="Times New Roman"/>
                      <w:color w:val="auto"/>
                      <w:szCs w:val="21"/>
                      <w:lang w:val="en-US" w:eastAsia="zh-CN"/>
                    </w:rPr>
                    <w:t>1</w:t>
                  </w:r>
                  <w:r>
                    <w:rPr>
                      <w:rFonts w:cs="Times New Roman"/>
                      <w:color w:val="auto"/>
                      <w:szCs w:val="21"/>
                    </w:rPr>
                    <w:t>°2</w:t>
                  </w:r>
                  <w:r>
                    <w:rPr>
                      <w:rFonts w:hint="eastAsia" w:cs="Times New Roman"/>
                      <w:color w:val="auto"/>
                      <w:szCs w:val="21"/>
                      <w:lang w:val="en-US" w:eastAsia="zh-CN"/>
                    </w:rPr>
                    <w:t>2</w:t>
                  </w:r>
                  <w:r>
                    <w:rPr>
                      <w:rFonts w:cs="Times New Roman"/>
                      <w:color w:val="auto"/>
                      <w:szCs w:val="21"/>
                    </w:rPr>
                    <w:t>′2</w:t>
                  </w:r>
                  <w:r>
                    <w:rPr>
                      <w:rFonts w:hint="eastAsia" w:cs="Times New Roman"/>
                      <w:color w:val="auto"/>
                      <w:szCs w:val="21"/>
                      <w:lang w:val="en-US" w:eastAsia="zh-CN"/>
                    </w:rPr>
                    <w:t>.616</w:t>
                  </w:r>
                  <w:r>
                    <w:rPr>
                      <w:rFonts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23" w:type="pct"/>
                  <w:vAlign w:val="center"/>
                </w:tcPr>
                <w:p>
                  <w:pPr>
                    <w:jc w:val="center"/>
                    <w:rPr>
                      <w:rFonts w:cstheme="minorHAnsi"/>
                      <w:szCs w:val="21"/>
                    </w:rPr>
                  </w:pPr>
                  <w:r>
                    <w:rPr>
                      <w:rFonts w:cstheme="minorHAnsi"/>
                      <w:szCs w:val="21"/>
                    </w:rPr>
                    <w:t>主要危险物质及分布</w:t>
                  </w:r>
                </w:p>
              </w:tc>
              <w:tc>
                <w:tcPr>
                  <w:tcW w:w="3777" w:type="pct"/>
                  <w:gridSpan w:val="4"/>
                  <w:vAlign w:val="center"/>
                </w:tcPr>
                <w:p>
                  <w:pPr>
                    <w:rPr>
                      <w:rFonts w:cstheme="minorHAnsi"/>
                      <w:color w:val="auto"/>
                      <w:szCs w:val="21"/>
                    </w:rPr>
                  </w:pPr>
                  <w:r>
                    <w:rPr>
                      <w:rFonts w:hint="eastAsia" w:cstheme="minorHAnsi"/>
                      <w:color w:val="auto"/>
                      <w:szCs w:val="21"/>
                    </w:rPr>
                    <w:t>次氯酸钠加药装置区：次氯酸钠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223" w:type="pct"/>
                  <w:vAlign w:val="center"/>
                </w:tcPr>
                <w:p>
                  <w:pPr>
                    <w:jc w:val="center"/>
                    <w:rPr>
                      <w:rFonts w:cstheme="minorHAnsi"/>
                      <w:szCs w:val="21"/>
                    </w:rPr>
                  </w:pPr>
                  <w:r>
                    <w:rPr>
                      <w:rFonts w:cstheme="minorHAnsi"/>
                      <w:szCs w:val="21"/>
                    </w:rPr>
                    <w:t>环境影响途径及危害后果</w:t>
                  </w:r>
                </w:p>
                <w:p>
                  <w:pPr>
                    <w:jc w:val="center"/>
                    <w:rPr>
                      <w:rFonts w:cstheme="minorHAnsi"/>
                      <w:szCs w:val="21"/>
                    </w:rPr>
                  </w:pPr>
                  <w:r>
                    <w:rPr>
                      <w:rFonts w:hint="eastAsia" w:cstheme="minorHAnsi"/>
                      <w:szCs w:val="21"/>
                    </w:rPr>
                    <w:t>（</w:t>
                  </w:r>
                  <w:r>
                    <w:rPr>
                      <w:rFonts w:cstheme="minorHAnsi"/>
                      <w:szCs w:val="21"/>
                    </w:rPr>
                    <w:t>大气</w:t>
                  </w:r>
                  <w:r>
                    <w:rPr>
                      <w:rFonts w:hint="eastAsia" w:cstheme="minorHAnsi"/>
                      <w:szCs w:val="21"/>
                    </w:rPr>
                    <w:t>、</w:t>
                  </w:r>
                  <w:r>
                    <w:rPr>
                      <w:rFonts w:cstheme="minorHAnsi"/>
                      <w:szCs w:val="21"/>
                    </w:rPr>
                    <w:t>地表水</w:t>
                  </w:r>
                  <w:r>
                    <w:rPr>
                      <w:rFonts w:hint="eastAsia" w:cstheme="minorHAnsi"/>
                      <w:szCs w:val="21"/>
                    </w:rPr>
                    <w:t>、</w:t>
                  </w:r>
                  <w:r>
                    <w:rPr>
                      <w:rFonts w:cstheme="minorHAnsi"/>
                      <w:szCs w:val="21"/>
                    </w:rPr>
                    <w:t>地下水等</w:t>
                  </w:r>
                  <w:r>
                    <w:rPr>
                      <w:rFonts w:hint="eastAsia" w:cstheme="minorHAnsi"/>
                      <w:szCs w:val="21"/>
                    </w:rPr>
                    <w:t>）</w:t>
                  </w:r>
                </w:p>
              </w:tc>
              <w:tc>
                <w:tcPr>
                  <w:tcW w:w="3777" w:type="pct"/>
                  <w:gridSpan w:val="4"/>
                  <w:vAlign w:val="center"/>
                </w:tcPr>
                <w:p>
                  <w:pPr>
                    <w:rPr>
                      <w:rFonts w:cstheme="minorHAnsi"/>
                      <w:szCs w:val="21"/>
                    </w:rPr>
                  </w:pPr>
                  <w:r>
                    <w:rPr>
                      <w:rFonts w:hint="eastAsia" w:cstheme="minorHAnsi"/>
                      <w:szCs w:val="21"/>
                    </w:rPr>
                    <w:t>地表水环境：次氯酸钠泄漏通过地表径流或雨水管道进入地表水环境，火灾消防过程废水通过地表径流或雨水管网排入地表水环境；</w:t>
                  </w:r>
                </w:p>
                <w:p>
                  <w:pPr>
                    <w:rPr>
                      <w:rFonts w:cstheme="minorHAnsi"/>
                      <w:szCs w:val="21"/>
                    </w:rPr>
                  </w:pPr>
                  <w:r>
                    <w:rPr>
                      <w:rFonts w:hint="eastAsia" w:cstheme="minorHAnsi"/>
                      <w:szCs w:val="21"/>
                    </w:rPr>
                    <w:t>地下水环境或土壤环境：次氯酸钠泄漏通过垂直渗透进入地下水环境或土壤环境。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23" w:type="pct"/>
                  <w:vAlign w:val="center"/>
                </w:tcPr>
                <w:p>
                  <w:pPr>
                    <w:jc w:val="center"/>
                    <w:rPr>
                      <w:rFonts w:cstheme="minorHAnsi"/>
                      <w:szCs w:val="21"/>
                    </w:rPr>
                  </w:pPr>
                  <w:r>
                    <w:rPr>
                      <w:rFonts w:cstheme="minorHAnsi"/>
                      <w:szCs w:val="21"/>
                    </w:rPr>
                    <w:t>风险防范措施要求</w:t>
                  </w:r>
                </w:p>
              </w:tc>
              <w:tc>
                <w:tcPr>
                  <w:tcW w:w="3777" w:type="pct"/>
                  <w:gridSpan w:val="4"/>
                  <w:vAlign w:val="center"/>
                </w:tcPr>
                <w:p>
                  <w:pPr>
                    <w:rPr>
                      <w:rFonts w:cstheme="minorHAnsi"/>
                      <w:szCs w:val="21"/>
                    </w:rPr>
                  </w:pPr>
                  <w:r>
                    <w:rPr>
                      <w:rFonts w:hint="eastAsia" w:cstheme="minorHAnsi"/>
                      <w:szCs w:val="21"/>
                    </w:rPr>
                    <w:t>①次氯酸钠加药装置区采取重点防渗措施，储药箱设置防渗围堰，围堰采用不渗透的材料做防渗处理；</w:t>
                  </w:r>
                </w:p>
                <w:p>
                  <w:pPr>
                    <w:rPr>
                      <w:rFonts w:cstheme="minorHAnsi"/>
                      <w:szCs w:val="21"/>
                    </w:rPr>
                  </w:pPr>
                  <w:r>
                    <w:rPr>
                      <w:rFonts w:hint="eastAsia" w:cstheme="minorHAnsi"/>
                      <w:szCs w:val="21"/>
                    </w:rPr>
                    <w:t>②严格落实消防设计规范，设置警示标识，配备相应数量灭火器，开展员工安全培训；</w:t>
                  </w:r>
                </w:p>
                <w:p>
                  <w:pPr>
                    <w:rPr>
                      <w:rFonts w:cstheme="minorHAnsi"/>
                      <w:szCs w:val="21"/>
                    </w:rPr>
                  </w:pPr>
                  <w:r>
                    <w:rPr>
                      <w:rFonts w:hint="eastAsia" w:cstheme="minorHAnsi"/>
                      <w:szCs w:val="21"/>
                    </w:rPr>
                    <w:t>③加强输水管道施工质量，密切监控供水水压变化情况，建立事故抢修队伍，成立事故应急处置机构，一旦输水管道破裂，立即暂停供水，待事故处置完毕，委托专业机构进行原水水质监测合格后，再恢复供水。</w:t>
                  </w:r>
                </w:p>
                <w:p>
                  <w:pPr>
                    <w:rPr>
                      <w:rFonts w:cstheme="minorHAnsi"/>
                      <w:szCs w:val="21"/>
                    </w:rPr>
                  </w:pPr>
                  <w:r>
                    <w:rPr>
                      <w:rFonts w:hint="eastAsia" w:cstheme="minorHAnsi"/>
                      <w:szCs w:val="21"/>
                    </w:rPr>
                    <w:t>④依托</w:t>
                  </w:r>
                  <w:r>
                    <w:rPr>
                      <w:rFonts w:hint="eastAsia" w:cstheme="minorHAnsi"/>
                      <w:szCs w:val="21"/>
                      <w:lang w:eastAsia="zh-CN"/>
                    </w:rPr>
                    <w:t>徐家坡水厂</w:t>
                  </w:r>
                  <w:r>
                    <w:rPr>
                      <w:rFonts w:hint="eastAsia" w:cstheme="minorHAnsi"/>
                      <w:szCs w:val="21"/>
                    </w:rPr>
                    <w:t>水源在线自动监测网与预警系统，加强与</w:t>
                  </w:r>
                  <w:r>
                    <w:rPr>
                      <w:rFonts w:hint="eastAsia" w:cstheme="minorHAnsi"/>
                      <w:szCs w:val="21"/>
                      <w:lang w:eastAsia="zh-CN"/>
                    </w:rPr>
                    <w:t>徐家坡水厂</w:t>
                  </w:r>
                  <w:r>
                    <w:rPr>
                      <w:rFonts w:hint="eastAsia" w:cstheme="minorHAnsi"/>
                      <w:szCs w:val="21"/>
                    </w:rPr>
                    <w:t>管理部门联动；委托第三方单位定期检测</w:t>
                  </w:r>
                  <w:r>
                    <w:rPr>
                      <w:rFonts w:hint="eastAsia" w:cstheme="minorHAnsi"/>
                      <w:szCs w:val="21"/>
                      <w:lang w:eastAsia="zh-CN"/>
                    </w:rPr>
                    <w:t>水厂</w:t>
                  </w:r>
                  <w:r>
                    <w:rPr>
                      <w:rFonts w:hint="eastAsia" w:cstheme="minorHAnsi"/>
                      <w:szCs w:val="21"/>
                    </w:rPr>
                    <w:t>进、出水质；制定环境风险应急预案。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5000" w:type="pct"/>
                  <w:gridSpan w:val="5"/>
                  <w:vAlign w:val="center"/>
                </w:tcPr>
                <w:p>
                  <w:pPr>
                    <w:rPr>
                      <w:rFonts w:cstheme="minorHAnsi"/>
                      <w:szCs w:val="21"/>
                    </w:rPr>
                  </w:pPr>
                  <w:r>
                    <w:rPr>
                      <w:rFonts w:cstheme="minorHAnsi"/>
                      <w:szCs w:val="21"/>
                    </w:rPr>
                    <w:t>填表说明</w:t>
                  </w:r>
                  <w:r>
                    <w:rPr>
                      <w:rFonts w:hint="eastAsia" w:cstheme="minorHAnsi"/>
                      <w:szCs w:val="21"/>
                    </w:rPr>
                    <w:t>（</w:t>
                  </w:r>
                  <w:r>
                    <w:rPr>
                      <w:rFonts w:cstheme="minorHAnsi"/>
                      <w:szCs w:val="21"/>
                    </w:rPr>
                    <w:t>列出项目相关信息及评价说明</w:t>
                  </w:r>
                  <w:r>
                    <w:rPr>
                      <w:rFonts w:hint="eastAsia" w:cstheme="minorHAnsi"/>
                      <w:szCs w:val="21"/>
                    </w:rPr>
                    <w:t>）：</w:t>
                  </w:r>
                </w:p>
                <w:p>
                  <w:pPr>
                    <w:ind w:firstLine="420" w:firstLineChars="200"/>
                    <w:rPr>
                      <w:rFonts w:cstheme="minorHAnsi"/>
                      <w:szCs w:val="21"/>
                    </w:rPr>
                  </w:pPr>
                  <w:r>
                    <w:rPr>
                      <w:rFonts w:hint="eastAsia" w:cstheme="minorHAnsi"/>
                      <w:szCs w:val="21"/>
                    </w:rPr>
                    <w:t>本项目主要危险物质为次氯酸钠，分布在加药装置区，项目环境风险潜势为I，评价等级为简单分析，在落实环评提出的风险防范措施后，环境风险可控。</w:t>
                  </w:r>
                </w:p>
              </w:tc>
            </w:tr>
          </w:tbl>
          <w:p>
            <w:pPr>
              <w:spacing w:line="360" w:lineRule="auto"/>
              <w:ind w:firstLine="480"/>
              <w:rPr>
                <w:rFonts w:cs="Calibri"/>
                <w:sz w:val="24"/>
                <w:szCs w:val="24"/>
              </w:rPr>
            </w:pPr>
            <w:r>
              <w:rPr>
                <w:rFonts w:hint="eastAsia" w:cs="Calibri"/>
                <w:sz w:val="24"/>
                <w:szCs w:val="24"/>
              </w:rPr>
              <w:t>综上所述，运营期落实在本环评提出的各项措施、建立和落实各项风险预警防范措施和事故应急计划，杜绝重大安全事故和重大环境污染事故的发生，可使项目建成后风险水平处于可接受程度。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56" w:type="dxa"/>
            <w:vAlign w:val="center"/>
          </w:tcPr>
          <w:p>
            <w:pPr>
              <w:spacing w:line="360" w:lineRule="auto"/>
              <w:jc w:val="center"/>
              <w:rPr>
                <w:rFonts w:cs="Times New Roman"/>
                <w:sz w:val="24"/>
                <w:szCs w:val="24"/>
              </w:rPr>
            </w:pPr>
            <w:r>
              <w:rPr>
                <w:rFonts w:hint="eastAsia" w:cs="Times New Roman"/>
                <w:sz w:val="24"/>
                <w:szCs w:val="24"/>
              </w:rPr>
              <w:t>环保投资</w:t>
            </w:r>
          </w:p>
        </w:tc>
        <w:tc>
          <w:tcPr>
            <w:tcW w:w="8893" w:type="dxa"/>
            <w:vAlign w:val="center"/>
          </w:tcPr>
          <w:p>
            <w:pPr>
              <w:spacing w:line="360" w:lineRule="auto"/>
              <w:ind w:firstLine="480" w:firstLineChars="200"/>
              <w:rPr>
                <w:sz w:val="24"/>
                <w:szCs w:val="24"/>
              </w:rPr>
            </w:pPr>
            <w:r>
              <w:rPr>
                <w:rFonts w:hint="eastAsia"/>
                <w:sz w:val="24"/>
                <w:szCs w:val="24"/>
              </w:rPr>
              <w:t>本项目总投资</w:t>
            </w:r>
            <w:r>
              <w:rPr>
                <w:rFonts w:hint="eastAsia" w:cs="Times New Roman"/>
                <w:sz w:val="24"/>
                <w:szCs w:val="24"/>
                <w:lang w:eastAsia="zh-CN"/>
              </w:rPr>
              <w:t>23600</w:t>
            </w:r>
            <w:r>
              <w:rPr>
                <w:rFonts w:hint="eastAsia"/>
                <w:sz w:val="24"/>
                <w:szCs w:val="24"/>
              </w:rPr>
              <w:t>万元，环保投资约</w:t>
            </w:r>
            <w:r>
              <w:rPr>
                <w:sz w:val="24"/>
                <w:szCs w:val="24"/>
              </w:rPr>
              <w:t>138</w:t>
            </w:r>
            <w:r>
              <w:rPr>
                <w:rFonts w:hint="eastAsia"/>
                <w:sz w:val="24"/>
                <w:szCs w:val="24"/>
              </w:rPr>
              <w:t>万元，占总投资的</w:t>
            </w:r>
            <w:r>
              <w:rPr>
                <w:rFonts w:hint="eastAsia" w:cs="Times New Roman"/>
                <w:sz w:val="24"/>
                <w:szCs w:val="24"/>
                <w:lang w:val="en-US" w:eastAsia="zh-CN"/>
              </w:rPr>
              <w:t>0.58</w:t>
            </w:r>
            <w:r>
              <w:rPr>
                <w:rFonts w:hint="eastAsia"/>
                <w:sz w:val="24"/>
                <w:szCs w:val="24"/>
              </w:rPr>
              <w:t>%，主要环保措施及投资估算见表</w:t>
            </w:r>
            <w:r>
              <w:rPr>
                <w:sz w:val="24"/>
                <w:szCs w:val="24"/>
              </w:rPr>
              <w:t>4</w:t>
            </w:r>
            <w:r>
              <w:rPr>
                <w:rFonts w:hint="eastAsia"/>
                <w:sz w:val="24"/>
                <w:szCs w:val="24"/>
              </w:rPr>
              <w:t>-</w:t>
            </w:r>
            <w:r>
              <w:rPr>
                <w:sz w:val="24"/>
                <w:szCs w:val="24"/>
              </w:rPr>
              <w:t>17</w:t>
            </w:r>
            <w:r>
              <w:rPr>
                <w:rFonts w:hint="eastAsia"/>
                <w:sz w:val="24"/>
                <w:szCs w:val="24"/>
              </w:rPr>
              <w:t>。</w:t>
            </w:r>
          </w:p>
          <w:p>
            <w:pPr>
              <w:spacing w:line="360" w:lineRule="auto"/>
              <w:jc w:val="center"/>
              <w:rPr>
                <w:rFonts w:eastAsia="黑体" w:cstheme="minorHAnsi"/>
                <w:szCs w:val="21"/>
              </w:rPr>
            </w:pPr>
            <w:r>
              <w:rPr>
                <w:rFonts w:eastAsia="黑体" w:cstheme="minorHAnsi"/>
                <w:szCs w:val="21"/>
              </w:rPr>
              <w:t>表4</w:t>
            </w:r>
            <w:r>
              <w:rPr>
                <w:rFonts w:hint="eastAsia" w:eastAsia="黑体" w:cstheme="minorHAnsi"/>
                <w:szCs w:val="21"/>
              </w:rPr>
              <w:t>-</w:t>
            </w:r>
            <w:r>
              <w:rPr>
                <w:rFonts w:eastAsia="黑体" w:cstheme="minorHAnsi"/>
                <w:szCs w:val="21"/>
              </w:rPr>
              <w:t>17  环保投资</w:t>
            </w:r>
            <w:r>
              <w:rPr>
                <w:rFonts w:hint="eastAsia" w:eastAsia="黑体" w:cstheme="minorHAnsi"/>
                <w:szCs w:val="21"/>
              </w:rPr>
              <w:t>估算</w:t>
            </w:r>
            <w:r>
              <w:rPr>
                <w:rFonts w:eastAsia="黑体" w:cstheme="minorHAnsi"/>
                <w:szCs w:val="21"/>
              </w:rPr>
              <w:t>一览表</w:t>
            </w:r>
          </w:p>
          <w:tbl>
            <w:tblPr>
              <w:tblStyle w:val="15"/>
              <w:tblW w:w="49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855"/>
              <w:gridCol w:w="5521"/>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blHeader/>
              </w:trPr>
              <w:tc>
                <w:tcPr>
                  <w:tcW w:w="404" w:type="pct"/>
                  <w:vAlign w:val="center"/>
                </w:tcPr>
                <w:p>
                  <w:pPr>
                    <w:pStyle w:val="30"/>
                    <w:rPr>
                      <w:rFonts w:eastAsia="宋体"/>
                      <w:sz w:val="21"/>
                    </w:rPr>
                  </w:pPr>
                  <w:r>
                    <w:rPr>
                      <w:rFonts w:hint="eastAsia" w:eastAsia="宋体"/>
                      <w:sz w:val="21"/>
                    </w:rPr>
                    <w:t>时期</w:t>
                  </w:r>
                </w:p>
              </w:tc>
              <w:tc>
                <w:tcPr>
                  <w:tcW w:w="495" w:type="pct"/>
                  <w:shd w:val="clear" w:color="auto" w:fill="auto"/>
                  <w:vAlign w:val="center"/>
                </w:tcPr>
                <w:p>
                  <w:pPr>
                    <w:pStyle w:val="30"/>
                    <w:rPr>
                      <w:sz w:val="21"/>
                    </w:rPr>
                  </w:pPr>
                  <w:r>
                    <w:rPr>
                      <w:rFonts w:eastAsia="宋体"/>
                      <w:sz w:val="21"/>
                    </w:rPr>
                    <w:t>类别</w:t>
                  </w:r>
                </w:p>
              </w:tc>
              <w:tc>
                <w:tcPr>
                  <w:tcW w:w="3198" w:type="pct"/>
                  <w:shd w:val="clear" w:color="auto" w:fill="auto"/>
                  <w:vAlign w:val="center"/>
                </w:tcPr>
                <w:p>
                  <w:pPr>
                    <w:pStyle w:val="30"/>
                    <w:rPr>
                      <w:sz w:val="21"/>
                    </w:rPr>
                  </w:pPr>
                  <w:r>
                    <w:rPr>
                      <w:rFonts w:eastAsia="宋体"/>
                      <w:sz w:val="21"/>
                    </w:rPr>
                    <w:t>措施内容</w:t>
                  </w:r>
                </w:p>
              </w:tc>
              <w:tc>
                <w:tcPr>
                  <w:tcW w:w="903" w:type="pct"/>
                  <w:shd w:val="clear" w:color="auto" w:fill="auto"/>
                  <w:vAlign w:val="center"/>
                </w:tcPr>
                <w:p>
                  <w:pPr>
                    <w:pStyle w:val="30"/>
                    <w:rPr>
                      <w:sz w:val="21"/>
                    </w:rPr>
                  </w:pPr>
                  <w:r>
                    <w:rPr>
                      <w:rFonts w:eastAsia="宋体"/>
                      <w:sz w:val="21"/>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04" w:type="pct"/>
                  <w:vMerge w:val="restart"/>
                  <w:vAlign w:val="center"/>
                </w:tcPr>
                <w:p>
                  <w:pPr>
                    <w:pStyle w:val="30"/>
                    <w:rPr>
                      <w:rFonts w:eastAsia="宋体"/>
                      <w:sz w:val="21"/>
                    </w:rPr>
                  </w:pPr>
                  <w:r>
                    <w:rPr>
                      <w:rFonts w:hint="eastAsia" w:eastAsia="宋体"/>
                      <w:sz w:val="21"/>
                    </w:rPr>
                    <w:t>施</w:t>
                  </w:r>
                </w:p>
                <w:p>
                  <w:pPr>
                    <w:pStyle w:val="30"/>
                    <w:rPr>
                      <w:rFonts w:eastAsia="宋体"/>
                      <w:sz w:val="21"/>
                    </w:rPr>
                  </w:pPr>
                  <w:r>
                    <w:rPr>
                      <w:rFonts w:hint="eastAsia" w:eastAsia="宋体"/>
                      <w:sz w:val="21"/>
                    </w:rPr>
                    <w:t>工</w:t>
                  </w:r>
                </w:p>
                <w:p>
                  <w:pPr>
                    <w:pStyle w:val="30"/>
                    <w:rPr>
                      <w:rFonts w:eastAsia="宋体"/>
                      <w:sz w:val="21"/>
                    </w:rPr>
                  </w:pPr>
                  <w:r>
                    <w:rPr>
                      <w:rFonts w:hint="eastAsia" w:eastAsia="宋体"/>
                      <w:sz w:val="21"/>
                    </w:rPr>
                    <w:t>期</w:t>
                  </w:r>
                </w:p>
              </w:tc>
              <w:tc>
                <w:tcPr>
                  <w:tcW w:w="495" w:type="pct"/>
                  <w:vMerge w:val="restart"/>
                  <w:shd w:val="clear" w:color="auto" w:fill="auto"/>
                  <w:vAlign w:val="center"/>
                </w:tcPr>
                <w:p>
                  <w:pPr>
                    <w:pStyle w:val="30"/>
                    <w:rPr>
                      <w:sz w:val="21"/>
                    </w:rPr>
                  </w:pPr>
                  <w:r>
                    <w:rPr>
                      <w:rFonts w:eastAsia="宋体"/>
                      <w:sz w:val="21"/>
                    </w:rPr>
                    <w:t>废气</w:t>
                  </w:r>
                </w:p>
                <w:p>
                  <w:pPr>
                    <w:pStyle w:val="30"/>
                    <w:rPr>
                      <w:rFonts w:eastAsia="宋体"/>
                      <w:sz w:val="21"/>
                    </w:rPr>
                  </w:pPr>
                  <w:r>
                    <w:rPr>
                      <w:rFonts w:eastAsia="宋体"/>
                      <w:sz w:val="21"/>
                    </w:rPr>
                    <w:t>治理</w:t>
                  </w:r>
                </w:p>
              </w:tc>
              <w:tc>
                <w:tcPr>
                  <w:tcW w:w="3198" w:type="pct"/>
                  <w:shd w:val="clear" w:color="auto" w:fill="auto"/>
                  <w:vAlign w:val="center"/>
                </w:tcPr>
                <w:p>
                  <w:pPr>
                    <w:pStyle w:val="30"/>
                    <w:rPr>
                      <w:rFonts w:eastAsia="宋体"/>
                      <w:sz w:val="21"/>
                    </w:rPr>
                  </w:pPr>
                  <w:r>
                    <w:rPr>
                      <w:rFonts w:hint="eastAsia" w:eastAsia="宋体"/>
                      <w:sz w:val="21"/>
                    </w:rPr>
                    <w:t>施工现场设不低于2.5m高封闭围挡、设置雾状喷淋，</w:t>
                  </w:r>
                </w:p>
                <w:p>
                  <w:pPr>
                    <w:pStyle w:val="30"/>
                    <w:rPr>
                      <w:rFonts w:eastAsia="宋体"/>
                      <w:sz w:val="21"/>
                    </w:rPr>
                  </w:pPr>
                  <w:r>
                    <w:rPr>
                      <w:rFonts w:hint="eastAsia" w:eastAsia="宋体"/>
                      <w:sz w:val="21"/>
                    </w:rPr>
                    <w:t>主要道路硬化、设挡水带、排水沟、高压冲洗设施等，采取覆盖措施，车辆密闭运输等</w:t>
                  </w:r>
                </w:p>
              </w:tc>
              <w:tc>
                <w:tcPr>
                  <w:tcW w:w="903" w:type="pct"/>
                  <w:shd w:val="clear" w:color="auto" w:fill="auto"/>
                  <w:vAlign w:val="center"/>
                </w:tcPr>
                <w:p>
                  <w:pPr>
                    <w:pStyle w:val="30"/>
                    <w:rPr>
                      <w:rFonts w:eastAsiaTheme="minorEastAsia"/>
                      <w:sz w:val="21"/>
                    </w:rPr>
                  </w:pPr>
                  <w:r>
                    <w:rPr>
                      <w:rFonts w:eastAsiaTheme="minorEastAsia"/>
                      <w:sz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4" w:type="pct"/>
                  <w:vMerge w:val="continue"/>
                  <w:vAlign w:val="center"/>
                </w:tcPr>
                <w:p>
                  <w:pPr>
                    <w:pStyle w:val="30"/>
                    <w:rPr>
                      <w:rFonts w:eastAsia="宋体"/>
                      <w:sz w:val="21"/>
                    </w:rPr>
                  </w:pPr>
                </w:p>
              </w:tc>
              <w:tc>
                <w:tcPr>
                  <w:tcW w:w="495" w:type="pct"/>
                  <w:vMerge w:val="continue"/>
                  <w:shd w:val="clear" w:color="auto" w:fill="auto"/>
                  <w:vAlign w:val="center"/>
                </w:tcPr>
                <w:p>
                  <w:pPr>
                    <w:pStyle w:val="30"/>
                    <w:rPr>
                      <w:rFonts w:eastAsia="宋体"/>
                      <w:sz w:val="21"/>
                    </w:rPr>
                  </w:pPr>
                </w:p>
              </w:tc>
              <w:tc>
                <w:tcPr>
                  <w:tcW w:w="3198" w:type="pct"/>
                  <w:shd w:val="clear" w:color="auto" w:fill="auto"/>
                  <w:vAlign w:val="center"/>
                </w:tcPr>
                <w:p>
                  <w:pPr>
                    <w:pStyle w:val="30"/>
                    <w:rPr>
                      <w:rFonts w:eastAsia="宋体"/>
                      <w:sz w:val="21"/>
                    </w:rPr>
                  </w:pPr>
                  <w:r>
                    <w:rPr>
                      <w:rFonts w:hint="eastAsia" w:eastAsia="宋体"/>
                      <w:sz w:val="21"/>
                    </w:rPr>
                    <w:t>禁止使用高排放非道路移动机械，制定施工现场非道路移动机械管理制度，加强施工设备维护，采用低污染的燃料；装修过程应采用优质环保装修材料</w:t>
                  </w:r>
                </w:p>
              </w:tc>
              <w:tc>
                <w:tcPr>
                  <w:tcW w:w="903" w:type="pct"/>
                  <w:shd w:val="clear" w:color="auto" w:fill="auto"/>
                  <w:vAlign w:val="center"/>
                </w:tcPr>
                <w:p>
                  <w:pPr>
                    <w:pStyle w:val="30"/>
                    <w:rPr>
                      <w:rFonts w:eastAsiaTheme="minorEastAsia"/>
                      <w:sz w:val="21"/>
                    </w:rPr>
                  </w:pPr>
                  <w:r>
                    <w:rPr>
                      <w:rFonts w:eastAsiaTheme="minorEastAsia"/>
                      <w:sz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4" w:type="pct"/>
                  <w:vMerge w:val="continue"/>
                  <w:vAlign w:val="center"/>
                </w:tcPr>
                <w:p>
                  <w:pPr>
                    <w:pStyle w:val="30"/>
                    <w:rPr>
                      <w:rFonts w:eastAsia="宋体"/>
                      <w:sz w:val="21"/>
                    </w:rPr>
                  </w:pPr>
                </w:p>
              </w:tc>
              <w:tc>
                <w:tcPr>
                  <w:tcW w:w="495" w:type="pct"/>
                  <w:vMerge w:val="restart"/>
                  <w:shd w:val="clear" w:color="auto" w:fill="auto"/>
                  <w:vAlign w:val="center"/>
                </w:tcPr>
                <w:p>
                  <w:pPr>
                    <w:jc w:val="center"/>
                    <w:rPr>
                      <w:szCs w:val="21"/>
                    </w:rPr>
                  </w:pPr>
                  <w:r>
                    <w:rPr>
                      <w:rFonts w:hint="eastAsia"/>
                      <w:szCs w:val="21"/>
                    </w:rPr>
                    <w:t>废水</w:t>
                  </w:r>
                </w:p>
                <w:p>
                  <w:pPr>
                    <w:pStyle w:val="30"/>
                    <w:rPr>
                      <w:rFonts w:eastAsia="宋体"/>
                      <w:sz w:val="21"/>
                    </w:rPr>
                  </w:pPr>
                  <w:r>
                    <w:rPr>
                      <w:rFonts w:hint="eastAsia"/>
                    </w:rPr>
                    <w:t>治理</w:t>
                  </w:r>
                </w:p>
              </w:tc>
              <w:tc>
                <w:tcPr>
                  <w:tcW w:w="3198" w:type="pct"/>
                  <w:shd w:val="clear" w:color="auto" w:fill="auto"/>
                  <w:vAlign w:val="center"/>
                </w:tcPr>
                <w:p>
                  <w:pPr>
                    <w:pStyle w:val="30"/>
                    <w:rPr>
                      <w:rFonts w:eastAsia="宋体"/>
                      <w:sz w:val="21"/>
                    </w:rPr>
                  </w:pPr>
                  <w:r>
                    <w:rPr>
                      <w:rFonts w:hint="eastAsia" w:eastAsia="宋体"/>
                      <w:sz w:val="21"/>
                    </w:rPr>
                    <w:t>生活污水经临时预处理池处理后排入市政污水管网</w:t>
                  </w:r>
                </w:p>
              </w:tc>
              <w:tc>
                <w:tcPr>
                  <w:tcW w:w="903" w:type="pct"/>
                  <w:shd w:val="clear" w:color="auto" w:fill="auto"/>
                  <w:vAlign w:val="center"/>
                </w:tcPr>
                <w:p>
                  <w:pPr>
                    <w:pStyle w:val="30"/>
                    <w:rPr>
                      <w:rFonts w:eastAsiaTheme="minorEastAsia"/>
                      <w:sz w:val="21"/>
                    </w:rPr>
                  </w:pPr>
                  <w:r>
                    <w:rPr>
                      <w:rFonts w:hint="eastAsia" w:eastAsiaTheme="minorEastAsia"/>
                      <w:sz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4" w:type="pct"/>
                  <w:vMerge w:val="continue"/>
                  <w:vAlign w:val="center"/>
                </w:tcPr>
                <w:p>
                  <w:pPr>
                    <w:pStyle w:val="30"/>
                    <w:rPr>
                      <w:rFonts w:eastAsia="宋体"/>
                      <w:sz w:val="21"/>
                    </w:rPr>
                  </w:pPr>
                </w:p>
              </w:tc>
              <w:tc>
                <w:tcPr>
                  <w:tcW w:w="495" w:type="pct"/>
                  <w:vMerge w:val="continue"/>
                  <w:shd w:val="clear" w:color="auto" w:fill="auto"/>
                  <w:vAlign w:val="center"/>
                </w:tcPr>
                <w:p>
                  <w:pPr>
                    <w:pStyle w:val="30"/>
                    <w:rPr>
                      <w:rFonts w:eastAsia="宋体"/>
                      <w:sz w:val="21"/>
                    </w:rPr>
                  </w:pPr>
                </w:p>
              </w:tc>
              <w:tc>
                <w:tcPr>
                  <w:tcW w:w="3198" w:type="pct"/>
                  <w:shd w:val="clear" w:color="auto" w:fill="auto"/>
                  <w:vAlign w:val="center"/>
                </w:tcPr>
                <w:p>
                  <w:pPr>
                    <w:pStyle w:val="30"/>
                    <w:rPr>
                      <w:rFonts w:eastAsia="宋体"/>
                      <w:sz w:val="21"/>
                    </w:rPr>
                  </w:pPr>
                  <w:r>
                    <w:rPr>
                      <w:rFonts w:eastAsia="宋体"/>
                      <w:sz w:val="21"/>
                    </w:rPr>
                    <w:t>设排水沟（沟宽×深≥300×300mm，排水坡度应大于3%）、三级沉淀池（池体容积≥4m³）和隔油设施（容积1m</w:t>
                  </w:r>
                  <w:r>
                    <w:rPr>
                      <w:rFonts w:eastAsia="宋体"/>
                      <w:sz w:val="21"/>
                      <w:vertAlign w:val="superscript"/>
                    </w:rPr>
                    <w:t>3</w:t>
                  </w:r>
                  <w:r>
                    <w:rPr>
                      <w:rFonts w:eastAsia="宋体"/>
                      <w:sz w:val="21"/>
                    </w:rPr>
                    <w:t>），施工废水全部回用</w:t>
                  </w:r>
                </w:p>
              </w:tc>
              <w:tc>
                <w:tcPr>
                  <w:tcW w:w="903" w:type="pct"/>
                  <w:shd w:val="clear" w:color="auto" w:fill="auto"/>
                  <w:vAlign w:val="center"/>
                </w:tcPr>
                <w:p>
                  <w:pPr>
                    <w:pStyle w:val="30"/>
                    <w:rPr>
                      <w:rFonts w:eastAsiaTheme="minorEastAsia"/>
                      <w:sz w:val="21"/>
                    </w:rPr>
                  </w:pPr>
                  <w:r>
                    <w:rPr>
                      <w:rFonts w:eastAsiaTheme="minorEastAsia"/>
                      <w:sz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4" w:type="pct"/>
                  <w:vMerge w:val="continue"/>
                  <w:vAlign w:val="center"/>
                </w:tcPr>
                <w:p>
                  <w:pPr>
                    <w:pStyle w:val="30"/>
                    <w:rPr>
                      <w:rFonts w:eastAsia="宋体"/>
                      <w:sz w:val="21"/>
                    </w:rPr>
                  </w:pPr>
                </w:p>
              </w:tc>
              <w:tc>
                <w:tcPr>
                  <w:tcW w:w="495" w:type="pct"/>
                  <w:shd w:val="clear" w:color="auto" w:fill="auto"/>
                  <w:vAlign w:val="center"/>
                </w:tcPr>
                <w:p>
                  <w:pPr>
                    <w:pStyle w:val="30"/>
                    <w:rPr>
                      <w:rFonts w:eastAsia="宋体"/>
                      <w:sz w:val="21"/>
                    </w:rPr>
                  </w:pPr>
                  <w:r>
                    <w:rPr>
                      <w:rFonts w:hint="eastAsia" w:eastAsia="宋体"/>
                      <w:sz w:val="21"/>
                    </w:rPr>
                    <w:t>噪声</w:t>
                  </w:r>
                </w:p>
                <w:p>
                  <w:pPr>
                    <w:pStyle w:val="30"/>
                    <w:rPr>
                      <w:rFonts w:eastAsia="宋体"/>
                      <w:sz w:val="21"/>
                    </w:rPr>
                  </w:pPr>
                  <w:r>
                    <w:rPr>
                      <w:rFonts w:hint="eastAsia" w:eastAsia="宋体"/>
                      <w:sz w:val="21"/>
                    </w:rPr>
                    <w:t>治理</w:t>
                  </w:r>
                </w:p>
              </w:tc>
              <w:tc>
                <w:tcPr>
                  <w:tcW w:w="3198" w:type="pct"/>
                  <w:shd w:val="clear" w:color="auto" w:fill="auto"/>
                  <w:vAlign w:val="center"/>
                </w:tcPr>
                <w:p>
                  <w:pPr>
                    <w:pStyle w:val="30"/>
                    <w:rPr>
                      <w:rFonts w:eastAsia="宋体"/>
                      <w:sz w:val="21"/>
                    </w:rPr>
                  </w:pPr>
                  <w:r>
                    <w:rPr>
                      <w:rFonts w:hint="eastAsia" w:eastAsia="宋体"/>
                      <w:sz w:val="21"/>
                    </w:rPr>
                    <w:t>选低噪声设备，合理安排施工时间，文明施工，车辆限速、禁鸣等</w:t>
                  </w:r>
                </w:p>
              </w:tc>
              <w:tc>
                <w:tcPr>
                  <w:tcW w:w="903" w:type="pct"/>
                  <w:shd w:val="clear" w:color="auto" w:fill="auto"/>
                  <w:vAlign w:val="center"/>
                </w:tcPr>
                <w:p>
                  <w:pPr>
                    <w:pStyle w:val="30"/>
                    <w:rPr>
                      <w:rFonts w:eastAsiaTheme="minorEastAsia"/>
                      <w:sz w:val="21"/>
                    </w:rPr>
                  </w:pPr>
                  <w:r>
                    <w:rPr>
                      <w:rFonts w:hint="eastAsia" w:eastAsiaTheme="minorEastAsia"/>
                      <w:sz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4" w:type="pct"/>
                  <w:vMerge w:val="continue"/>
                  <w:vAlign w:val="center"/>
                </w:tcPr>
                <w:p>
                  <w:pPr>
                    <w:pStyle w:val="30"/>
                    <w:rPr>
                      <w:rFonts w:eastAsia="宋体"/>
                      <w:sz w:val="21"/>
                    </w:rPr>
                  </w:pPr>
                </w:p>
              </w:tc>
              <w:tc>
                <w:tcPr>
                  <w:tcW w:w="495" w:type="pct"/>
                  <w:shd w:val="clear" w:color="auto" w:fill="auto"/>
                  <w:vAlign w:val="center"/>
                </w:tcPr>
                <w:p>
                  <w:pPr>
                    <w:pStyle w:val="30"/>
                    <w:rPr>
                      <w:rFonts w:eastAsia="宋体"/>
                      <w:sz w:val="21"/>
                    </w:rPr>
                  </w:pPr>
                  <w:r>
                    <w:rPr>
                      <w:rFonts w:hint="eastAsia" w:eastAsia="宋体"/>
                      <w:sz w:val="21"/>
                    </w:rPr>
                    <w:t>固废</w:t>
                  </w:r>
                </w:p>
                <w:p>
                  <w:pPr>
                    <w:pStyle w:val="30"/>
                    <w:rPr>
                      <w:rFonts w:eastAsia="宋体"/>
                      <w:sz w:val="21"/>
                    </w:rPr>
                  </w:pPr>
                  <w:r>
                    <w:rPr>
                      <w:rFonts w:hint="eastAsia" w:eastAsia="宋体"/>
                      <w:sz w:val="21"/>
                    </w:rPr>
                    <w:t>治理</w:t>
                  </w:r>
                </w:p>
              </w:tc>
              <w:tc>
                <w:tcPr>
                  <w:tcW w:w="3198" w:type="pct"/>
                  <w:shd w:val="clear" w:color="auto" w:fill="auto"/>
                  <w:vAlign w:val="center"/>
                </w:tcPr>
                <w:p>
                  <w:pPr>
                    <w:pStyle w:val="30"/>
                    <w:rPr>
                      <w:rFonts w:eastAsia="宋体"/>
                      <w:sz w:val="21"/>
                    </w:rPr>
                  </w:pPr>
                  <w:r>
                    <w:rPr>
                      <w:rFonts w:hint="eastAsia" w:eastAsia="宋体"/>
                      <w:sz w:val="21"/>
                    </w:rPr>
                    <w:t>开挖土石方及时回填、覆土，建筑废物分类处置，生活垃圾日产日清，废包装料外售废旧资源回收站，隔油设施废油脂交由具资质单位处理</w:t>
                  </w:r>
                </w:p>
              </w:tc>
              <w:tc>
                <w:tcPr>
                  <w:tcW w:w="903" w:type="pct"/>
                  <w:shd w:val="clear" w:color="auto" w:fill="auto"/>
                  <w:vAlign w:val="center"/>
                </w:tcPr>
                <w:p>
                  <w:pPr>
                    <w:pStyle w:val="30"/>
                    <w:rPr>
                      <w:rFonts w:eastAsiaTheme="minorEastAsia"/>
                      <w:sz w:val="21"/>
                    </w:rPr>
                  </w:pPr>
                  <w:r>
                    <w:rPr>
                      <w:rFonts w:eastAsiaTheme="minorEastAsia"/>
                      <w:sz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4" w:type="pct"/>
                  <w:vMerge w:val="restart"/>
                  <w:vAlign w:val="center"/>
                </w:tcPr>
                <w:p>
                  <w:pPr>
                    <w:pStyle w:val="30"/>
                    <w:rPr>
                      <w:rFonts w:eastAsia="宋体"/>
                      <w:sz w:val="21"/>
                    </w:rPr>
                  </w:pPr>
                  <w:r>
                    <w:rPr>
                      <w:rFonts w:hint="eastAsia" w:eastAsia="宋体"/>
                      <w:sz w:val="21"/>
                    </w:rPr>
                    <w:t>运</w:t>
                  </w:r>
                </w:p>
                <w:p>
                  <w:pPr>
                    <w:pStyle w:val="30"/>
                    <w:rPr>
                      <w:rFonts w:eastAsia="宋体"/>
                      <w:sz w:val="21"/>
                    </w:rPr>
                  </w:pPr>
                  <w:r>
                    <w:rPr>
                      <w:rFonts w:hint="eastAsia" w:eastAsia="宋体"/>
                      <w:sz w:val="21"/>
                    </w:rPr>
                    <w:t>营</w:t>
                  </w:r>
                </w:p>
                <w:p>
                  <w:pPr>
                    <w:pStyle w:val="30"/>
                    <w:rPr>
                      <w:rFonts w:eastAsia="宋体"/>
                      <w:sz w:val="21"/>
                    </w:rPr>
                  </w:pPr>
                  <w:r>
                    <w:rPr>
                      <w:rFonts w:hint="eastAsia" w:eastAsia="宋体"/>
                      <w:sz w:val="21"/>
                    </w:rPr>
                    <w:t>期</w:t>
                  </w:r>
                </w:p>
              </w:tc>
              <w:tc>
                <w:tcPr>
                  <w:tcW w:w="495" w:type="pct"/>
                  <w:shd w:val="clear" w:color="auto" w:fill="auto"/>
                  <w:vAlign w:val="center"/>
                </w:tcPr>
                <w:p>
                  <w:pPr>
                    <w:pStyle w:val="30"/>
                    <w:rPr>
                      <w:sz w:val="21"/>
                    </w:rPr>
                  </w:pPr>
                  <w:r>
                    <w:rPr>
                      <w:rFonts w:eastAsia="宋体"/>
                      <w:sz w:val="21"/>
                    </w:rPr>
                    <w:t>废水</w:t>
                  </w:r>
                </w:p>
                <w:p>
                  <w:pPr>
                    <w:pStyle w:val="30"/>
                    <w:rPr>
                      <w:sz w:val="21"/>
                    </w:rPr>
                  </w:pPr>
                  <w:r>
                    <w:rPr>
                      <w:rFonts w:eastAsia="宋体"/>
                      <w:sz w:val="21"/>
                    </w:rPr>
                    <w:t>治理</w:t>
                  </w:r>
                </w:p>
              </w:tc>
              <w:tc>
                <w:tcPr>
                  <w:tcW w:w="3198" w:type="pct"/>
                  <w:shd w:val="clear" w:color="auto" w:fill="auto"/>
                  <w:vAlign w:val="center"/>
                </w:tcPr>
                <w:p>
                  <w:pPr>
                    <w:pStyle w:val="30"/>
                    <w:rPr>
                      <w:sz w:val="21"/>
                    </w:rPr>
                  </w:pPr>
                  <w:r>
                    <w:rPr>
                      <w:rFonts w:hint="eastAsia" w:eastAsia="宋体"/>
                      <w:sz w:val="21"/>
                    </w:rPr>
                    <w:t>设1个容积</w:t>
                  </w:r>
                  <w:r>
                    <w:rPr>
                      <w:rFonts w:hint="eastAsia" w:eastAsia="宋体"/>
                      <w:sz w:val="21"/>
                      <w:lang w:val="en-US" w:eastAsia="zh-CN"/>
                    </w:rPr>
                    <w:t>200</w:t>
                  </w:r>
                  <w:r>
                    <w:rPr>
                      <w:rFonts w:hint="eastAsia" w:eastAsia="宋体"/>
                      <w:sz w:val="21"/>
                    </w:rPr>
                    <w:t>m</w:t>
                  </w:r>
                  <w:r>
                    <w:rPr>
                      <w:rFonts w:eastAsia="宋体"/>
                      <w:sz w:val="21"/>
                      <w:vertAlign w:val="superscript"/>
                    </w:rPr>
                    <w:t>3</w:t>
                  </w:r>
                  <w:r>
                    <w:rPr>
                      <w:rFonts w:hint="eastAsia" w:eastAsia="宋体"/>
                      <w:sz w:val="21"/>
                    </w:rPr>
                    <w:t>的废水池、1个容积4m</w:t>
                  </w:r>
                  <w:r>
                    <w:rPr>
                      <w:rFonts w:eastAsia="宋体"/>
                      <w:sz w:val="21"/>
                      <w:vertAlign w:val="superscript"/>
                    </w:rPr>
                    <w:t>3</w:t>
                  </w:r>
                  <w:r>
                    <w:rPr>
                      <w:rFonts w:hint="eastAsia" w:eastAsia="宋体"/>
                      <w:sz w:val="21"/>
                    </w:rPr>
                    <w:t>的预处理池，配套雨、污水管网建设</w:t>
                  </w:r>
                </w:p>
              </w:tc>
              <w:tc>
                <w:tcPr>
                  <w:tcW w:w="903" w:type="pct"/>
                  <w:shd w:val="clear" w:color="auto" w:fill="auto"/>
                  <w:vAlign w:val="center"/>
                </w:tcPr>
                <w:p>
                  <w:pPr>
                    <w:pStyle w:val="30"/>
                    <w:rPr>
                      <w:rFonts w:eastAsiaTheme="minorEastAsia"/>
                      <w:sz w:val="21"/>
                    </w:rPr>
                  </w:pPr>
                  <w:r>
                    <w:rPr>
                      <w:rFonts w:hint="eastAsia" w:eastAsiaTheme="minorEastAsia"/>
                      <w:sz w:val="21"/>
                    </w:rPr>
                    <w:t>4</w:t>
                  </w:r>
                  <w:r>
                    <w:rPr>
                      <w:rFonts w:eastAsiaTheme="minorEastAsia"/>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404" w:type="pct"/>
                  <w:vMerge w:val="continue"/>
                  <w:vAlign w:val="center"/>
                </w:tcPr>
                <w:p>
                  <w:pPr>
                    <w:pStyle w:val="30"/>
                    <w:rPr>
                      <w:rFonts w:eastAsia="宋体"/>
                      <w:sz w:val="21"/>
                    </w:rPr>
                  </w:pPr>
                </w:p>
              </w:tc>
              <w:tc>
                <w:tcPr>
                  <w:tcW w:w="495" w:type="pct"/>
                  <w:shd w:val="clear" w:color="auto" w:fill="auto"/>
                  <w:vAlign w:val="center"/>
                </w:tcPr>
                <w:p>
                  <w:pPr>
                    <w:pStyle w:val="30"/>
                    <w:rPr>
                      <w:rFonts w:eastAsia="宋体"/>
                      <w:sz w:val="21"/>
                    </w:rPr>
                  </w:pPr>
                  <w:r>
                    <w:rPr>
                      <w:rFonts w:eastAsia="宋体"/>
                      <w:sz w:val="21"/>
                    </w:rPr>
                    <w:t>噪声</w:t>
                  </w:r>
                </w:p>
                <w:p>
                  <w:pPr>
                    <w:pStyle w:val="30"/>
                    <w:rPr>
                      <w:rFonts w:eastAsia="宋体"/>
                      <w:sz w:val="21"/>
                    </w:rPr>
                  </w:pPr>
                  <w:r>
                    <w:rPr>
                      <w:rFonts w:eastAsia="宋体"/>
                      <w:sz w:val="21"/>
                    </w:rPr>
                    <w:t>治理</w:t>
                  </w:r>
                </w:p>
              </w:tc>
              <w:tc>
                <w:tcPr>
                  <w:tcW w:w="3198" w:type="pct"/>
                  <w:shd w:val="clear" w:color="auto" w:fill="auto"/>
                  <w:vAlign w:val="center"/>
                </w:tcPr>
                <w:p>
                  <w:pPr>
                    <w:pStyle w:val="30"/>
                    <w:rPr>
                      <w:sz w:val="21"/>
                    </w:rPr>
                  </w:pPr>
                  <w:r>
                    <w:rPr>
                      <w:rFonts w:hint="eastAsia" w:eastAsia="宋体"/>
                      <w:sz w:val="21"/>
                    </w:rPr>
                    <w:t>选</w:t>
                  </w:r>
                  <w:r>
                    <w:rPr>
                      <w:rFonts w:eastAsia="宋体"/>
                      <w:sz w:val="21"/>
                    </w:rPr>
                    <w:t>低噪声设备</w:t>
                  </w:r>
                  <w:r>
                    <w:rPr>
                      <w:rFonts w:hint="eastAsia" w:eastAsia="宋体"/>
                      <w:sz w:val="21"/>
                    </w:rPr>
                    <w:t>，</w:t>
                  </w:r>
                  <w:r>
                    <w:rPr>
                      <w:rFonts w:eastAsia="宋体"/>
                      <w:sz w:val="21"/>
                    </w:rPr>
                    <w:t>采取基础减振</w:t>
                  </w:r>
                  <w:r>
                    <w:rPr>
                      <w:rFonts w:hint="eastAsia" w:eastAsia="宋体"/>
                      <w:sz w:val="21"/>
                    </w:rPr>
                    <w:t>、隔声、消声等措施</w:t>
                  </w:r>
                </w:p>
              </w:tc>
              <w:tc>
                <w:tcPr>
                  <w:tcW w:w="903" w:type="pct"/>
                  <w:shd w:val="clear" w:color="auto" w:fill="auto"/>
                  <w:vAlign w:val="center"/>
                </w:tcPr>
                <w:p>
                  <w:pPr>
                    <w:pStyle w:val="30"/>
                    <w:rPr>
                      <w:rFonts w:eastAsiaTheme="minorEastAsia"/>
                      <w:sz w:val="21"/>
                    </w:rPr>
                  </w:pPr>
                  <w:r>
                    <w:rPr>
                      <w:rFonts w:eastAsiaTheme="minorEastAsia"/>
                      <w:sz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4" w:type="pct"/>
                  <w:vMerge w:val="continue"/>
                  <w:vAlign w:val="center"/>
                </w:tcPr>
                <w:p>
                  <w:pPr>
                    <w:pStyle w:val="30"/>
                    <w:rPr>
                      <w:rFonts w:eastAsia="宋体"/>
                      <w:sz w:val="21"/>
                    </w:rPr>
                  </w:pPr>
                </w:p>
              </w:tc>
              <w:tc>
                <w:tcPr>
                  <w:tcW w:w="495" w:type="pct"/>
                  <w:shd w:val="clear" w:color="auto" w:fill="auto"/>
                  <w:vAlign w:val="center"/>
                </w:tcPr>
                <w:p>
                  <w:pPr>
                    <w:pStyle w:val="30"/>
                    <w:rPr>
                      <w:sz w:val="21"/>
                    </w:rPr>
                  </w:pPr>
                  <w:r>
                    <w:rPr>
                      <w:rFonts w:eastAsia="宋体"/>
                      <w:sz w:val="21"/>
                    </w:rPr>
                    <w:t>固废</w:t>
                  </w:r>
                </w:p>
                <w:p>
                  <w:pPr>
                    <w:pStyle w:val="30"/>
                    <w:rPr>
                      <w:sz w:val="21"/>
                    </w:rPr>
                  </w:pPr>
                  <w:r>
                    <w:rPr>
                      <w:rFonts w:eastAsia="宋体"/>
                      <w:sz w:val="21"/>
                    </w:rPr>
                    <w:t>治理</w:t>
                  </w:r>
                </w:p>
              </w:tc>
              <w:tc>
                <w:tcPr>
                  <w:tcW w:w="3198" w:type="pct"/>
                  <w:shd w:val="clear" w:color="auto" w:fill="auto"/>
                  <w:vAlign w:val="center"/>
                </w:tcPr>
                <w:p>
                  <w:pPr>
                    <w:jc w:val="center"/>
                    <w:rPr>
                      <w:rFonts w:cs="Times New Roman"/>
                      <w:szCs w:val="21"/>
                    </w:rPr>
                  </w:pPr>
                  <w:r>
                    <w:rPr>
                      <w:rFonts w:hint="eastAsia" w:cs="Times New Roman"/>
                    </w:rPr>
                    <w:t>设1间</w:t>
                  </w:r>
                  <w:r>
                    <w:rPr>
                      <w:rFonts w:hint="eastAsia" w:cs="Times New Roman"/>
                      <w:lang w:eastAsia="zh-CN"/>
                    </w:rPr>
                    <w:t>污泥间</w:t>
                  </w:r>
                  <w:r>
                    <w:rPr>
                      <w:rFonts w:hint="eastAsia" w:cs="Times New Roman"/>
                    </w:rPr>
                    <w:t>（占地</w:t>
                  </w:r>
                  <w:r>
                    <w:rPr>
                      <w:rFonts w:cs="Times New Roman"/>
                    </w:rPr>
                    <w:t>面积约</w:t>
                  </w:r>
                  <w:r>
                    <w:rPr>
                      <w:rFonts w:hint="eastAsia" w:cs="Times New Roman"/>
                      <w:lang w:val="en-US" w:eastAsia="zh-CN"/>
                    </w:rPr>
                    <w:t>94</w:t>
                  </w:r>
                  <w:r>
                    <w:rPr>
                      <w:rFonts w:cs="Times New Roman"/>
                    </w:rPr>
                    <w:t>m</w:t>
                  </w:r>
                  <w:r>
                    <w:rPr>
                      <w:rFonts w:cs="Times New Roman"/>
                      <w:vertAlign w:val="superscript"/>
                    </w:rPr>
                    <w:t>2</w:t>
                  </w:r>
                  <w:r>
                    <w:rPr>
                      <w:rFonts w:cs="Times New Roman"/>
                    </w:rPr>
                    <w:t>）</w:t>
                  </w:r>
                  <w:r>
                    <w:rPr>
                      <w:rFonts w:hint="eastAsia" w:cs="Times New Roman"/>
                    </w:rPr>
                    <w:t>，落实“防风、防雨、防晒、防渗漏”措施和标识标牌，落实一般废物分类收集、处置措施</w:t>
                  </w:r>
                </w:p>
              </w:tc>
              <w:tc>
                <w:tcPr>
                  <w:tcW w:w="903" w:type="pct"/>
                  <w:shd w:val="clear" w:color="auto" w:fill="auto"/>
                  <w:vAlign w:val="center"/>
                </w:tcPr>
                <w:p>
                  <w:pPr>
                    <w:jc w:val="center"/>
                    <w:rPr>
                      <w:rFonts w:cs="Times New Roman"/>
                      <w:szCs w:val="21"/>
                    </w:rPr>
                  </w:pPr>
                  <w:r>
                    <w:rPr>
                      <w:rFonts w:eastAsiaTheme="minor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04" w:type="pct"/>
                  <w:vMerge w:val="continue"/>
                  <w:vAlign w:val="center"/>
                </w:tcPr>
                <w:p>
                  <w:pPr>
                    <w:jc w:val="center"/>
                    <w:rPr>
                      <w:rFonts w:cs="Times New Roman"/>
                      <w:szCs w:val="21"/>
                    </w:rPr>
                  </w:pPr>
                </w:p>
              </w:tc>
              <w:tc>
                <w:tcPr>
                  <w:tcW w:w="495" w:type="pct"/>
                  <w:shd w:val="clear" w:color="auto" w:fill="auto"/>
                  <w:vAlign w:val="center"/>
                </w:tcPr>
                <w:p>
                  <w:pPr>
                    <w:jc w:val="center"/>
                    <w:rPr>
                      <w:rFonts w:cs="Times New Roman"/>
                      <w:szCs w:val="21"/>
                    </w:rPr>
                  </w:pPr>
                  <w:r>
                    <w:rPr>
                      <w:rFonts w:cs="Times New Roman"/>
                      <w:szCs w:val="21"/>
                    </w:rPr>
                    <w:t>地下水污染</w:t>
                  </w:r>
                </w:p>
              </w:tc>
              <w:tc>
                <w:tcPr>
                  <w:tcW w:w="3198" w:type="pct"/>
                  <w:shd w:val="clear" w:color="auto" w:fill="auto"/>
                  <w:vAlign w:val="center"/>
                </w:tcPr>
                <w:p>
                  <w:pPr>
                    <w:jc w:val="center"/>
                    <w:rPr>
                      <w:rFonts w:cs="Times New Roman"/>
                      <w:szCs w:val="21"/>
                    </w:rPr>
                  </w:pPr>
                  <w:r>
                    <w:rPr>
                      <w:rFonts w:hint="eastAsia" w:cs="Times New Roman"/>
                      <w:szCs w:val="21"/>
                    </w:rPr>
                    <w:t>重点防渗区采取防渗混凝土+2mm厚HDPE防渗层，一般防渗区采用防渗混凝土+黏土防渗层，简单防渗区采取水泥地面硬化</w:t>
                  </w:r>
                </w:p>
              </w:tc>
              <w:tc>
                <w:tcPr>
                  <w:tcW w:w="903" w:type="pct"/>
                  <w:shd w:val="clear" w:color="auto" w:fill="auto"/>
                  <w:vAlign w:val="center"/>
                </w:tcPr>
                <w:p>
                  <w:pPr>
                    <w:jc w:val="center"/>
                    <w:rPr>
                      <w:rFonts w:cs="Times New Roman"/>
                      <w:szCs w:val="21"/>
                    </w:rPr>
                  </w:pPr>
                  <w:r>
                    <w:rPr>
                      <w:rFonts w:eastAsiaTheme="minor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404" w:type="pct"/>
                  <w:vMerge w:val="continue"/>
                  <w:vAlign w:val="center"/>
                </w:tcPr>
                <w:p>
                  <w:pPr>
                    <w:pStyle w:val="30"/>
                    <w:rPr>
                      <w:rFonts w:eastAsia="宋体"/>
                      <w:sz w:val="21"/>
                    </w:rPr>
                  </w:pPr>
                </w:p>
              </w:tc>
              <w:tc>
                <w:tcPr>
                  <w:tcW w:w="495" w:type="pct"/>
                  <w:shd w:val="clear" w:color="auto" w:fill="auto"/>
                  <w:vAlign w:val="center"/>
                </w:tcPr>
                <w:p>
                  <w:pPr>
                    <w:pStyle w:val="30"/>
                    <w:rPr>
                      <w:rFonts w:eastAsia="宋体"/>
                      <w:sz w:val="21"/>
                    </w:rPr>
                  </w:pPr>
                  <w:r>
                    <w:rPr>
                      <w:rFonts w:eastAsia="宋体"/>
                      <w:sz w:val="21"/>
                    </w:rPr>
                    <w:t>环境</w:t>
                  </w:r>
                </w:p>
                <w:p>
                  <w:pPr>
                    <w:pStyle w:val="30"/>
                    <w:rPr>
                      <w:rFonts w:eastAsia="宋体"/>
                      <w:sz w:val="21"/>
                    </w:rPr>
                  </w:pPr>
                  <w:r>
                    <w:rPr>
                      <w:rFonts w:eastAsia="宋体"/>
                      <w:sz w:val="21"/>
                    </w:rPr>
                    <w:t>风险</w:t>
                  </w:r>
                </w:p>
              </w:tc>
              <w:tc>
                <w:tcPr>
                  <w:tcW w:w="3198" w:type="pct"/>
                  <w:shd w:val="clear" w:color="auto" w:fill="auto"/>
                  <w:vAlign w:val="center"/>
                </w:tcPr>
                <w:p>
                  <w:pPr>
                    <w:pStyle w:val="30"/>
                    <w:rPr>
                      <w:rFonts w:eastAsia="宋体"/>
                      <w:sz w:val="21"/>
                    </w:rPr>
                  </w:pPr>
                  <w:r>
                    <w:rPr>
                      <w:rFonts w:hint="eastAsia" w:eastAsia="宋体"/>
                      <w:sz w:val="21"/>
                    </w:rPr>
                    <w:t>次氯酸钠储药箱设防渗围堰，配备相应数量灭火器，加强输水管道施工质量，密切监控供水水压变化情况，建立事故抢修队伍，成立事故应急处置机构，依托</w:t>
                  </w:r>
                  <w:r>
                    <w:rPr>
                      <w:rFonts w:hint="eastAsia" w:eastAsia="宋体"/>
                      <w:sz w:val="21"/>
                      <w:lang w:eastAsia="zh-CN"/>
                    </w:rPr>
                    <w:t>徐家坡水厂</w:t>
                  </w:r>
                  <w:r>
                    <w:rPr>
                      <w:rFonts w:hint="eastAsia" w:eastAsia="宋体"/>
                      <w:sz w:val="21"/>
                    </w:rPr>
                    <w:t>水源在线自动监测网与预警系统，加强与</w:t>
                  </w:r>
                  <w:r>
                    <w:rPr>
                      <w:rFonts w:hint="eastAsia" w:eastAsia="宋体"/>
                      <w:sz w:val="21"/>
                      <w:lang w:eastAsia="zh-CN"/>
                    </w:rPr>
                    <w:t>徐家坡水厂</w:t>
                  </w:r>
                  <w:r>
                    <w:rPr>
                      <w:rFonts w:hint="eastAsia" w:eastAsia="宋体"/>
                      <w:sz w:val="21"/>
                    </w:rPr>
                    <w:t>管理部门联动；委托第三方单位定期检测</w:t>
                  </w:r>
                  <w:r>
                    <w:rPr>
                      <w:rFonts w:hint="eastAsia" w:eastAsia="宋体"/>
                      <w:sz w:val="21"/>
                      <w:lang w:eastAsia="zh-CN"/>
                    </w:rPr>
                    <w:t>水厂</w:t>
                  </w:r>
                  <w:r>
                    <w:rPr>
                      <w:rFonts w:hint="eastAsia" w:eastAsia="宋体"/>
                      <w:sz w:val="21"/>
                    </w:rPr>
                    <w:t>进、出水质；制定环境风险应急预案</w:t>
                  </w:r>
                </w:p>
              </w:tc>
              <w:tc>
                <w:tcPr>
                  <w:tcW w:w="903" w:type="pct"/>
                  <w:shd w:val="clear" w:color="auto" w:fill="auto"/>
                  <w:vAlign w:val="center"/>
                </w:tcPr>
                <w:p>
                  <w:pPr>
                    <w:pStyle w:val="30"/>
                    <w:rPr>
                      <w:rFonts w:eastAsiaTheme="minorEastAsia"/>
                      <w:sz w:val="21"/>
                    </w:rPr>
                  </w:pPr>
                  <w:r>
                    <w:rPr>
                      <w:rFonts w:eastAsiaTheme="minorEastAsia"/>
                      <w:sz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04" w:type="pct"/>
                  <w:vMerge w:val="continue"/>
                  <w:vAlign w:val="center"/>
                </w:tcPr>
                <w:p>
                  <w:pPr>
                    <w:pStyle w:val="30"/>
                    <w:rPr>
                      <w:rFonts w:eastAsia="宋体"/>
                      <w:sz w:val="21"/>
                    </w:rPr>
                  </w:pPr>
                </w:p>
              </w:tc>
              <w:tc>
                <w:tcPr>
                  <w:tcW w:w="495" w:type="pct"/>
                  <w:shd w:val="clear" w:color="auto" w:fill="auto"/>
                  <w:vAlign w:val="center"/>
                </w:tcPr>
                <w:p>
                  <w:pPr>
                    <w:pStyle w:val="30"/>
                    <w:rPr>
                      <w:rFonts w:eastAsia="宋体"/>
                      <w:sz w:val="21"/>
                    </w:rPr>
                  </w:pPr>
                  <w:r>
                    <w:rPr>
                      <w:rFonts w:eastAsia="宋体"/>
                      <w:sz w:val="21"/>
                    </w:rPr>
                    <w:t>环境</w:t>
                  </w:r>
                </w:p>
                <w:p>
                  <w:pPr>
                    <w:pStyle w:val="30"/>
                    <w:rPr>
                      <w:rFonts w:eastAsia="宋体"/>
                      <w:sz w:val="21"/>
                    </w:rPr>
                  </w:pPr>
                  <w:r>
                    <w:rPr>
                      <w:rFonts w:eastAsia="宋体"/>
                      <w:sz w:val="21"/>
                    </w:rPr>
                    <w:t>监测</w:t>
                  </w:r>
                </w:p>
              </w:tc>
              <w:tc>
                <w:tcPr>
                  <w:tcW w:w="3198" w:type="pct"/>
                  <w:shd w:val="clear" w:color="auto" w:fill="auto"/>
                  <w:vAlign w:val="center"/>
                </w:tcPr>
                <w:p>
                  <w:pPr>
                    <w:jc w:val="center"/>
                    <w:rPr>
                      <w:rFonts w:cs="Times New Roman"/>
                      <w:szCs w:val="21"/>
                    </w:rPr>
                  </w:pPr>
                  <w:r>
                    <w:rPr>
                      <w:rFonts w:hint="eastAsia" w:cs="Times New Roman"/>
                      <w:szCs w:val="21"/>
                    </w:rPr>
                    <w:t>制定</w:t>
                  </w:r>
                  <w:r>
                    <w:rPr>
                      <w:rFonts w:cs="Times New Roman"/>
                      <w:szCs w:val="21"/>
                    </w:rPr>
                    <w:t>自行监测方案</w:t>
                  </w:r>
                  <w:r>
                    <w:rPr>
                      <w:rFonts w:hint="eastAsia" w:cs="Times New Roman"/>
                      <w:szCs w:val="21"/>
                    </w:rPr>
                    <w:t>，</w:t>
                  </w:r>
                  <w:r>
                    <w:rPr>
                      <w:rFonts w:cs="Times New Roman"/>
                      <w:szCs w:val="21"/>
                    </w:rPr>
                    <w:t>定期开展污染源监测</w:t>
                  </w:r>
                </w:p>
              </w:tc>
              <w:tc>
                <w:tcPr>
                  <w:tcW w:w="903" w:type="pct"/>
                  <w:shd w:val="clear" w:color="auto" w:fill="auto"/>
                  <w:vAlign w:val="center"/>
                </w:tcPr>
                <w:p>
                  <w:pPr>
                    <w:jc w:val="center"/>
                    <w:rPr>
                      <w:rFonts w:cs="Times New Roman"/>
                      <w:szCs w:val="21"/>
                    </w:rPr>
                  </w:pPr>
                  <w:r>
                    <w:rPr>
                      <w:rFonts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97" w:type="pct"/>
                  <w:gridSpan w:val="3"/>
                  <w:vAlign w:val="center"/>
                </w:tcPr>
                <w:p>
                  <w:pPr>
                    <w:jc w:val="center"/>
                    <w:rPr>
                      <w:rFonts w:cs="Times New Roman"/>
                      <w:szCs w:val="21"/>
                    </w:rPr>
                  </w:pPr>
                  <w:r>
                    <w:rPr>
                      <w:rFonts w:hint="eastAsia" w:cs="Times New Roman"/>
                      <w:szCs w:val="21"/>
                    </w:rPr>
                    <w:t>合计</w:t>
                  </w:r>
                </w:p>
              </w:tc>
              <w:tc>
                <w:tcPr>
                  <w:tcW w:w="903" w:type="pct"/>
                  <w:shd w:val="clear" w:color="auto" w:fill="auto"/>
                  <w:vAlign w:val="center"/>
                </w:tcPr>
                <w:p>
                  <w:pPr>
                    <w:jc w:val="center"/>
                    <w:rPr>
                      <w:rFonts w:cs="Times New Roman"/>
                      <w:szCs w:val="21"/>
                    </w:rPr>
                  </w:pPr>
                  <w:r>
                    <w:rPr>
                      <w:rFonts w:cs="Times New Roman"/>
                      <w:szCs w:val="21"/>
                    </w:rPr>
                    <w:t>138</w:t>
                  </w:r>
                </w:p>
              </w:tc>
            </w:tr>
          </w:tbl>
          <w:p>
            <w:pPr>
              <w:spacing w:line="360" w:lineRule="auto"/>
              <w:rPr>
                <w:b/>
                <w:sz w:val="24"/>
                <w:szCs w:val="24"/>
              </w:rPr>
            </w:pPr>
          </w:p>
          <w:p>
            <w:pPr>
              <w:spacing w:line="360" w:lineRule="auto"/>
              <w:rPr>
                <w:b/>
                <w:sz w:val="24"/>
                <w:szCs w:val="24"/>
              </w:rPr>
            </w:pPr>
          </w:p>
        </w:tc>
      </w:tr>
    </w:tbl>
    <w:p>
      <w:pPr>
        <w:tabs>
          <w:tab w:val="left" w:pos="1005"/>
        </w:tabs>
        <w:rPr>
          <w:rFonts w:ascii="宋体" w:hAnsi="宋体"/>
          <w:sz w:val="28"/>
          <w:szCs w:val="28"/>
        </w:rPr>
        <w:sectPr>
          <w:pgSz w:w="11906" w:h="16838"/>
          <w:pgMar w:top="1134" w:right="1134" w:bottom="1134" w:left="1418" w:header="851" w:footer="992" w:gutter="0"/>
          <w:cols w:space="720" w:num="1"/>
          <w:docGrid w:type="lines" w:linePitch="312" w:charSpace="0"/>
        </w:sectPr>
      </w:pPr>
    </w:p>
    <w:p>
      <w:pPr>
        <w:pStyle w:val="39"/>
        <w:jc w:val="center"/>
        <w:rPr>
          <w:rFonts w:ascii="黑体" w:hAnsi="黑体" w:eastAsia="黑体"/>
          <w:b w:val="0"/>
          <w:sz w:val="30"/>
          <w:szCs w:val="30"/>
        </w:rPr>
      </w:pPr>
      <w:bookmarkStart w:id="4" w:name="_Toc97040277"/>
      <w:r>
        <w:rPr>
          <w:rFonts w:hint="eastAsia" w:ascii="黑体" w:hAnsi="黑体" w:eastAsia="黑体"/>
          <w:b w:val="0"/>
          <w:sz w:val="30"/>
          <w:szCs w:val="30"/>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394335</wp:posOffset>
                </wp:positionV>
                <wp:extent cx="981075" cy="400050"/>
                <wp:effectExtent l="0" t="0" r="28575" b="19050"/>
                <wp:wrapNone/>
                <wp:docPr id="45" name="直接连接符 45"/>
                <wp:cNvGraphicFramePr/>
                <a:graphic xmlns:a="http://schemas.openxmlformats.org/drawingml/2006/main">
                  <a:graphicData uri="http://schemas.microsoft.com/office/word/2010/wordprocessingShape">
                    <wps:wsp>
                      <wps:cNvCnPr/>
                      <wps:spPr>
                        <a:xfrm>
                          <a:off x="0" y="0"/>
                          <a:ext cx="981075" cy="400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5pt;margin-top:31.05pt;height:31.5pt;width:77.25pt;z-index:251659264;mso-width-relative:page;mso-height-relative:page;" filled="f" stroked="t" coordsize="21600,21600" o:gfxdata="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K7+qdYAAAAJAQAADwAAAAAA&#10;AAABACAAAAAiAAAAZHJzL2Rvd25yZXYueG1sUEsBAhQAFAAAAAgAh07iQPtG8IrcAQAAoAMAAA4A&#10;AAAAAAAAAQAgAAAAJQEAAGRycy9lMm9Eb2MueG1sUEsFBgAAAAAGAAYAWQEAAHMFAAAAAA==&#10;">
                <v:fill on="f" focussize="0,0"/>
                <v:stroke color="#000000 [3213]" joinstyle="round"/>
                <v:imagedata o:title=""/>
                <o:lock v:ext="edit" aspectratio="f"/>
              </v:line>
            </w:pict>
          </mc:Fallback>
        </mc:AlternateContent>
      </w:r>
      <w:r>
        <w:rPr>
          <w:rFonts w:hint="eastAsia" w:ascii="黑体" w:hAnsi="黑体" w:eastAsia="黑体"/>
          <w:b w:val="0"/>
          <w:sz w:val="30"/>
          <w:szCs w:val="30"/>
        </w:rPr>
        <w:t>五、环境保护措施监督检查清单</w:t>
      </w:r>
      <w:bookmarkEnd w:id="4"/>
    </w:p>
    <w:tbl>
      <w:tblPr>
        <w:tblStyle w:val="15"/>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701"/>
        <w:gridCol w:w="1417"/>
        <w:gridCol w:w="2552"/>
        <w:gridCol w:w="2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55" w:type="dxa"/>
            <w:vAlign w:val="center"/>
          </w:tcPr>
          <w:p>
            <w:pPr>
              <w:jc w:val="right"/>
              <w:rPr>
                <w:rFonts w:cs="Times New Roman" w:eastAsiaTheme="minorEastAsia"/>
                <w:szCs w:val="21"/>
              </w:rPr>
            </w:pPr>
            <w:r>
              <w:rPr>
                <w:rFonts w:cs="Times New Roman" w:eastAsiaTheme="minorEastAsia"/>
                <w:szCs w:val="21"/>
              </w:rPr>
              <w:t>内容</w:t>
            </w:r>
          </w:p>
          <w:p>
            <w:pPr>
              <w:rPr>
                <w:rFonts w:cs="Times New Roman" w:eastAsiaTheme="minorEastAsia"/>
                <w:szCs w:val="21"/>
              </w:rPr>
            </w:pPr>
            <w:r>
              <w:rPr>
                <w:rFonts w:hint="eastAsia" w:cs="Times New Roman" w:eastAsiaTheme="minorEastAsia"/>
                <w:szCs w:val="21"/>
              </w:rPr>
              <w:t>要素</w:t>
            </w:r>
          </w:p>
        </w:tc>
        <w:tc>
          <w:tcPr>
            <w:tcW w:w="1701" w:type="dxa"/>
            <w:vAlign w:val="center"/>
          </w:tcPr>
          <w:p>
            <w:pPr>
              <w:jc w:val="center"/>
              <w:rPr>
                <w:rFonts w:cs="Times New Roman" w:eastAsiaTheme="minorEastAsia"/>
                <w:szCs w:val="21"/>
              </w:rPr>
            </w:pPr>
            <w:r>
              <w:rPr>
                <w:rFonts w:cs="Times New Roman" w:eastAsiaTheme="minorEastAsia"/>
                <w:szCs w:val="21"/>
              </w:rPr>
              <w:t>排放口</w:t>
            </w:r>
            <w:r>
              <w:rPr>
                <w:rFonts w:hint="eastAsia" w:cs="Times New Roman" w:eastAsiaTheme="minorEastAsia"/>
                <w:szCs w:val="21"/>
              </w:rPr>
              <w:t>（</w:t>
            </w:r>
            <w:r>
              <w:rPr>
                <w:rFonts w:cs="Times New Roman" w:eastAsiaTheme="minorEastAsia"/>
                <w:szCs w:val="21"/>
              </w:rPr>
              <w:t>编号</w:t>
            </w:r>
            <w:r>
              <w:rPr>
                <w:rFonts w:hint="eastAsia" w:cs="Times New Roman" w:eastAsiaTheme="minorEastAsia"/>
                <w:szCs w:val="21"/>
              </w:rPr>
              <w:t>、</w:t>
            </w:r>
            <w:r>
              <w:rPr>
                <w:rFonts w:cs="Times New Roman" w:eastAsiaTheme="minorEastAsia"/>
                <w:szCs w:val="21"/>
              </w:rPr>
              <w:t>名称</w:t>
            </w:r>
            <w:r>
              <w:rPr>
                <w:rFonts w:hint="eastAsia" w:cs="Times New Roman" w:eastAsiaTheme="minorEastAsia"/>
                <w:szCs w:val="21"/>
              </w:rPr>
              <w:t>）/污染源</w:t>
            </w:r>
          </w:p>
        </w:tc>
        <w:tc>
          <w:tcPr>
            <w:tcW w:w="1417" w:type="dxa"/>
            <w:vAlign w:val="center"/>
          </w:tcPr>
          <w:p>
            <w:pPr>
              <w:jc w:val="center"/>
              <w:rPr>
                <w:rFonts w:cs="Times New Roman" w:eastAsiaTheme="minorEastAsia"/>
                <w:szCs w:val="21"/>
              </w:rPr>
            </w:pPr>
            <w:r>
              <w:rPr>
                <w:rFonts w:cs="Times New Roman" w:eastAsiaTheme="minorEastAsia"/>
                <w:szCs w:val="21"/>
              </w:rPr>
              <w:t>污染物项目</w:t>
            </w:r>
          </w:p>
        </w:tc>
        <w:tc>
          <w:tcPr>
            <w:tcW w:w="2552" w:type="dxa"/>
            <w:vAlign w:val="center"/>
          </w:tcPr>
          <w:p>
            <w:pPr>
              <w:jc w:val="center"/>
              <w:rPr>
                <w:rFonts w:cs="Times New Roman" w:eastAsiaTheme="minorEastAsia"/>
                <w:szCs w:val="21"/>
              </w:rPr>
            </w:pPr>
            <w:r>
              <w:rPr>
                <w:rFonts w:cs="Times New Roman" w:eastAsiaTheme="minorEastAsia"/>
                <w:szCs w:val="21"/>
              </w:rPr>
              <w:t>环境保护措施</w:t>
            </w:r>
          </w:p>
        </w:tc>
        <w:tc>
          <w:tcPr>
            <w:tcW w:w="2124" w:type="dxa"/>
            <w:vAlign w:val="center"/>
          </w:tcPr>
          <w:p>
            <w:pPr>
              <w:jc w:val="center"/>
              <w:rPr>
                <w:rFonts w:cs="Times New Roman" w:eastAsiaTheme="minorEastAsia"/>
                <w:szCs w:val="21"/>
              </w:rPr>
            </w:pPr>
            <w:r>
              <w:rPr>
                <w:rFonts w:hint="eastAsia" w:cs="Times New Roman" w:eastAsiaTheme="minorEastAsia"/>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55" w:type="dxa"/>
            <w:vAlign w:val="center"/>
          </w:tcPr>
          <w:p>
            <w:pPr>
              <w:jc w:val="center"/>
              <w:rPr>
                <w:rFonts w:cs="Times New Roman" w:eastAsiaTheme="minorEastAsia"/>
                <w:szCs w:val="21"/>
              </w:rPr>
            </w:pPr>
            <w:r>
              <w:rPr>
                <w:rFonts w:cs="Times New Roman" w:eastAsiaTheme="minorEastAsia"/>
                <w:szCs w:val="21"/>
              </w:rPr>
              <w:t>大气环境</w:t>
            </w:r>
          </w:p>
        </w:tc>
        <w:tc>
          <w:tcPr>
            <w:tcW w:w="1701" w:type="dxa"/>
            <w:vAlign w:val="center"/>
          </w:tcPr>
          <w:p>
            <w:pPr>
              <w:jc w:val="center"/>
              <w:rPr>
                <w:rFonts w:cs="Times New Roman"/>
                <w:szCs w:val="21"/>
              </w:rPr>
            </w:pPr>
            <w:r>
              <w:rPr>
                <w:rFonts w:hint="eastAsia" w:cs="Times New Roman"/>
                <w:szCs w:val="21"/>
              </w:rPr>
              <w:t>/</w:t>
            </w:r>
          </w:p>
        </w:tc>
        <w:tc>
          <w:tcPr>
            <w:tcW w:w="1417" w:type="dxa"/>
            <w:vAlign w:val="center"/>
          </w:tcPr>
          <w:p>
            <w:pPr>
              <w:jc w:val="center"/>
              <w:rPr>
                <w:rFonts w:cs="Times New Roman" w:eastAsiaTheme="minorEastAsia"/>
                <w:szCs w:val="21"/>
              </w:rPr>
            </w:pPr>
            <w:r>
              <w:rPr>
                <w:rFonts w:hint="eastAsia" w:cs="Times New Roman" w:eastAsiaTheme="minorEastAsia"/>
                <w:szCs w:val="21"/>
              </w:rPr>
              <w:t>/</w:t>
            </w:r>
          </w:p>
        </w:tc>
        <w:tc>
          <w:tcPr>
            <w:tcW w:w="2552" w:type="dxa"/>
            <w:vAlign w:val="center"/>
          </w:tcPr>
          <w:p>
            <w:pPr>
              <w:jc w:val="center"/>
              <w:rPr>
                <w:rFonts w:cs="Times New Roman"/>
                <w:szCs w:val="21"/>
              </w:rPr>
            </w:pPr>
            <w:r>
              <w:rPr>
                <w:rFonts w:hint="eastAsia" w:cs="Times New Roman"/>
                <w:szCs w:val="21"/>
              </w:rPr>
              <w:t>/</w:t>
            </w:r>
          </w:p>
        </w:tc>
        <w:tc>
          <w:tcPr>
            <w:tcW w:w="2124" w:type="dxa"/>
            <w:vAlign w:val="center"/>
          </w:tcPr>
          <w:p>
            <w:pPr>
              <w:jc w:val="center"/>
              <w:rPr>
                <w:rFonts w:cs="Times New Roman" w:eastAsiaTheme="minorEastAsia"/>
                <w:szCs w:val="21"/>
              </w:rPr>
            </w:pPr>
            <w:r>
              <w:rPr>
                <w:rFonts w:hint="eastAsia" w:cs="Times New Roman"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55" w:type="dxa"/>
            <w:vMerge w:val="restart"/>
            <w:vAlign w:val="center"/>
          </w:tcPr>
          <w:p>
            <w:pPr>
              <w:jc w:val="center"/>
              <w:rPr>
                <w:rFonts w:cs="Times New Roman" w:eastAsiaTheme="minorEastAsia"/>
                <w:szCs w:val="21"/>
              </w:rPr>
            </w:pPr>
            <w:r>
              <w:rPr>
                <w:rFonts w:cs="Times New Roman" w:eastAsiaTheme="minorEastAsia"/>
                <w:szCs w:val="21"/>
              </w:rPr>
              <w:t>地表水环境</w:t>
            </w:r>
          </w:p>
        </w:tc>
        <w:tc>
          <w:tcPr>
            <w:tcW w:w="1701" w:type="dxa"/>
            <w:vAlign w:val="center"/>
          </w:tcPr>
          <w:p>
            <w:pPr>
              <w:jc w:val="center"/>
              <w:rPr>
                <w:szCs w:val="21"/>
              </w:rPr>
            </w:pPr>
            <w:r>
              <w:rPr>
                <w:rFonts w:hint="eastAsia"/>
                <w:szCs w:val="21"/>
              </w:rPr>
              <w:t>生产废水</w:t>
            </w:r>
          </w:p>
        </w:tc>
        <w:tc>
          <w:tcPr>
            <w:tcW w:w="1417" w:type="dxa"/>
            <w:vAlign w:val="center"/>
          </w:tcPr>
          <w:p>
            <w:pPr>
              <w:jc w:val="center"/>
              <w:rPr>
                <w:rFonts w:cs="Times New Roman" w:eastAsiaTheme="minorEastAsia"/>
                <w:szCs w:val="21"/>
              </w:rPr>
            </w:pPr>
            <w:r>
              <w:rPr>
                <w:szCs w:val="21"/>
              </w:rPr>
              <w:t>COD</w:t>
            </w:r>
            <w:r>
              <w:rPr>
                <w:rFonts w:hint="eastAsia"/>
                <w:szCs w:val="21"/>
              </w:rPr>
              <w:t>、</w:t>
            </w:r>
            <w:r>
              <w:rPr>
                <w:szCs w:val="21"/>
              </w:rPr>
              <w:t>NH</w:t>
            </w:r>
            <w:r>
              <w:rPr>
                <w:szCs w:val="21"/>
                <w:vertAlign w:val="subscript"/>
              </w:rPr>
              <w:t>3</w:t>
            </w:r>
            <w:r>
              <w:rPr>
                <w:rFonts w:hint="eastAsia"/>
                <w:szCs w:val="21"/>
              </w:rPr>
              <w:t>-</w:t>
            </w:r>
            <w:r>
              <w:rPr>
                <w:szCs w:val="21"/>
              </w:rPr>
              <w:t>N</w:t>
            </w:r>
            <w:r>
              <w:rPr>
                <w:rFonts w:hint="eastAsia"/>
                <w:szCs w:val="21"/>
              </w:rPr>
              <w:t>、</w:t>
            </w:r>
            <w:r>
              <w:rPr>
                <w:szCs w:val="21"/>
              </w:rPr>
              <w:t>TP</w:t>
            </w:r>
          </w:p>
        </w:tc>
        <w:tc>
          <w:tcPr>
            <w:tcW w:w="2552" w:type="dxa"/>
            <w:vAlign w:val="center"/>
          </w:tcPr>
          <w:p>
            <w:pPr>
              <w:jc w:val="center"/>
              <w:rPr>
                <w:szCs w:val="21"/>
              </w:rPr>
            </w:pPr>
            <w:r>
              <w:rPr>
                <w:rFonts w:hint="eastAsia"/>
                <w:szCs w:val="21"/>
              </w:rPr>
              <w:t>废水池收集沉淀后，上清液排入原水箱回用，浓缩液经脱水机房分离后污水排入市政污水管网，污泥交由环卫部门清运处理</w:t>
            </w:r>
          </w:p>
        </w:tc>
        <w:tc>
          <w:tcPr>
            <w:tcW w:w="2124" w:type="dxa"/>
            <w:vMerge w:val="restart"/>
            <w:vAlign w:val="center"/>
          </w:tcPr>
          <w:p>
            <w:pPr>
              <w:jc w:val="center"/>
              <w:rPr>
                <w:rFonts w:cs="Times New Roman" w:eastAsiaTheme="minorEastAsia"/>
                <w:szCs w:val="21"/>
              </w:rPr>
            </w:pPr>
            <w:r>
              <w:rPr>
                <w:rFonts w:hint="eastAsia" w:cs="Times New Roman" w:eastAsiaTheme="minorEastAsia"/>
                <w:szCs w:val="21"/>
              </w:rPr>
              <w:t>《污水综合排放标准》（GB8978-1996）三级标准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55" w:type="dxa"/>
            <w:vMerge w:val="continue"/>
            <w:vAlign w:val="center"/>
          </w:tcPr>
          <w:p>
            <w:pPr>
              <w:jc w:val="center"/>
              <w:rPr>
                <w:rFonts w:cs="Times New Roman" w:eastAsiaTheme="minorEastAsia"/>
                <w:szCs w:val="21"/>
              </w:rPr>
            </w:pPr>
          </w:p>
        </w:tc>
        <w:tc>
          <w:tcPr>
            <w:tcW w:w="1701" w:type="dxa"/>
            <w:vAlign w:val="center"/>
          </w:tcPr>
          <w:p>
            <w:pPr>
              <w:jc w:val="center"/>
              <w:rPr>
                <w:szCs w:val="21"/>
              </w:rPr>
            </w:pPr>
            <w:r>
              <w:rPr>
                <w:szCs w:val="21"/>
              </w:rPr>
              <w:t>生活污水</w:t>
            </w:r>
          </w:p>
        </w:tc>
        <w:tc>
          <w:tcPr>
            <w:tcW w:w="1417" w:type="dxa"/>
            <w:vAlign w:val="center"/>
          </w:tcPr>
          <w:p>
            <w:pPr>
              <w:jc w:val="center"/>
              <w:rPr>
                <w:rFonts w:cs="Times New Roman" w:eastAsiaTheme="minorEastAsia"/>
                <w:szCs w:val="21"/>
              </w:rPr>
            </w:pPr>
            <w:r>
              <w:rPr>
                <w:szCs w:val="21"/>
              </w:rPr>
              <w:t>COD</w:t>
            </w:r>
            <w:r>
              <w:rPr>
                <w:rFonts w:hint="eastAsia"/>
                <w:szCs w:val="21"/>
              </w:rPr>
              <w:t>、</w:t>
            </w:r>
            <w:r>
              <w:rPr>
                <w:szCs w:val="21"/>
              </w:rPr>
              <w:t>BOD</w:t>
            </w:r>
            <w:r>
              <w:rPr>
                <w:szCs w:val="21"/>
                <w:vertAlign w:val="subscript"/>
              </w:rPr>
              <w:t>5</w:t>
            </w:r>
            <w:r>
              <w:rPr>
                <w:rFonts w:hint="eastAsia"/>
                <w:szCs w:val="21"/>
              </w:rPr>
              <w:t>、</w:t>
            </w:r>
            <w:r>
              <w:rPr>
                <w:szCs w:val="21"/>
              </w:rPr>
              <w:t>SS</w:t>
            </w:r>
            <w:r>
              <w:rPr>
                <w:rFonts w:hint="eastAsia"/>
                <w:szCs w:val="21"/>
              </w:rPr>
              <w:t>、</w:t>
            </w:r>
            <w:r>
              <w:rPr>
                <w:szCs w:val="21"/>
              </w:rPr>
              <w:t>NH</w:t>
            </w:r>
            <w:r>
              <w:rPr>
                <w:szCs w:val="21"/>
                <w:vertAlign w:val="subscript"/>
              </w:rPr>
              <w:t>3</w:t>
            </w:r>
            <w:r>
              <w:rPr>
                <w:rFonts w:hint="eastAsia"/>
                <w:szCs w:val="21"/>
              </w:rPr>
              <w:t>-</w:t>
            </w:r>
            <w:r>
              <w:rPr>
                <w:szCs w:val="21"/>
              </w:rPr>
              <w:t>N</w:t>
            </w:r>
            <w:r>
              <w:rPr>
                <w:rFonts w:hint="eastAsia"/>
                <w:szCs w:val="21"/>
              </w:rPr>
              <w:t>、</w:t>
            </w:r>
            <w:r>
              <w:rPr>
                <w:szCs w:val="21"/>
              </w:rPr>
              <w:t>TP</w:t>
            </w:r>
          </w:p>
        </w:tc>
        <w:tc>
          <w:tcPr>
            <w:tcW w:w="2552" w:type="dxa"/>
            <w:vAlign w:val="center"/>
          </w:tcPr>
          <w:p>
            <w:pPr>
              <w:jc w:val="center"/>
              <w:rPr>
                <w:rFonts w:cs="Times New Roman" w:eastAsiaTheme="minorEastAsia"/>
                <w:szCs w:val="21"/>
              </w:rPr>
            </w:pPr>
            <w:r>
              <w:rPr>
                <w:szCs w:val="21"/>
              </w:rPr>
              <w:t>预处理池</w:t>
            </w:r>
            <w:r>
              <w:rPr>
                <w:rFonts w:hint="eastAsia"/>
                <w:szCs w:val="21"/>
              </w:rPr>
              <w:t>处理后排入市政污水管网</w:t>
            </w:r>
          </w:p>
        </w:tc>
        <w:tc>
          <w:tcPr>
            <w:tcW w:w="2124" w:type="dxa"/>
            <w:vMerge w:val="continue"/>
            <w:vAlign w:val="center"/>
          </w:tcPr>
          <w:p>
            <w:pPr>
              <w:jc w:val="center"/>
              <w:rPr>
                <w:rFonts w:cs="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555" w:type="dxa"/>
            <w:vAlign w:val="center"/>
          </w:tcPr>
          <w:p>
            <w:pPr>
              <w:jc w:val="center"/>
              <w:rPr>
                <w:rFonts w:cs="Times New Roman" w:eastAsiaTheme="minorEastAsia"/>
                <w:szCs w:val="21"/>
              </w:rPr>
            </w:pPr>
            <w:r>
              <w:rPr>
                <w:rFonts w:cs="Times New Roman" w:eastAsiaTheme="minorEastAsia"/>
                <w:szCs w:val="21"/>
              </w:rPr>
              <w:t>声环境</w:t>
            </w:r>
          </w:p>
        </w:tc>
        <w:tc>
          <w:tcPr>
            <w:tcW w:w="1701" w:type="dxa"/>
            <w:vAlign w:val="center"/>
          </w:tcPr>
          <w:p>
            <w:pPr>
              <w:jc w:val="center"/>
              <w:rPr>
                <w:rFonts w:cs="Times New Roman" w:eastAsiaTheme="minorEastAsia"/>
                <w:szCs w:val="21"/>
              </w:rPr>
            </w:pPr>
            <w:r>
              <w:rPr>
                <w:rFonts w:hint="eastAsia" w:cs="Times New Roman" w:eastAsiaTheme="minorEastAsia"/>
                <w:szCs w:val="21"/>
              </w:rPr>
              <w:t>生产设备</w:t>
            </w:r>
          </w:p>
        </w:tc>
        <w:tc>
          <w:tcPr>
            <w:tcW w:w="1417" w:type="dxa"/>
            <w:vAlign w:val="center"/>
          </w:tcPr>
          <w:p>
            <w:pPr>
              <w:jc w:val="center"/>
              <w:rPr>
                <w:rFonts w:cs="Times New Roman" w:eastAsiaTheme="minorEastAsia"/>
                <w:szCs w:val="21"/>
              </w:rPr>
            </w:pPr>
            <w:r>
              <w:rPr>
                <w:rFonts w:cs="Times New Roman" w:eastAsiaTheme="minorEastAsia"/>
                <w:szCs w:val="21"/>
              </w:rPr>
              <w:t>噪声</w:t>
            </w:r>
          </w:p>
        </w:tc>
        <w:tc>
          <w:tcPr>
            <w:tcW w:w="2552" w:type="dxa"/>
            <w:vAlign w:val="center"/>
          </w:tcPr>
          <w:p>
            <w:pPr>
              <w:jc w:val="center"/>
              <w:rPr>
                <w:rFonts w:cs="Times New Roman" w:eastAsiaTheme="minorEastAsia"/>
                <w:szCs w:val="21"/>
              </w:rPr>
            </w:pPr>
            <w:r>
              <w:rPr>
                <w:rFonts w:hint="eastAsia" w:cs="Times New Roman" w:eastAsiaTheme="minorEastAsia"/>
                <w:szCs w:val="21"/>
              </w:rPr>
              <w:t>选低噪声设备，采取基础减振、消声、隔声措施</w:t>
            </w:r>
          </w:p>
        </w:tc>
        <w:tc>
          <w:tcPr>
            <w:tcW w:w="2124" w:type="dxa"/>
            <w:vAlign w:val="center"/>
          </w:tcPr>
          <w:p>
            <w:pPr>
              <w:jc w:val="center"/>
              <w:rPr>
                <w:rFonts w:cs="Times New Roman" w:eastAsiaTheme="minorEastAsia"/>
                <w:szCs w:val="21"/>
              </w:rPr>
            </w:pPr>
            <w:r>
              <w:rPr>
                <w:rFonts w:hint="eastAsia" w:cs="Times New Roman" w:eastAsiaTheme="minorEastAsia"/>
                <w:szCs w:val="21"/>
              </w:rPr>
              <w:t>《工业企业厂界环境噪声排放标准》（GB12348-2008）</w:t>
            </w:r>
            <w:r>
              <w:rPr>
                <w:rFonts w:cs="Times New Roman" w:eastAsiaTheme="minorEastAsia"/>
                <w:szCs w:val="21"/>
              </w:rPr>
              <w:t>2</w:t>
            </w:r>
            <w:r>
              <w:rPr>
                <w:rFonts w:hint="eastAsia" w:cs="Times New Roman" w:eastAsiaTheme="minorEastAsia"/>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55" w:type="dxa"/>
            <w:vAlign w:val="center"/>
          </w:tcPr>
          <w:p>
            <w:pPr>
              <w:jc w:val="center"/>
              <w:rPr>
                <w:rFonts w:cs="Times New Roman" w:eastAsiaTheme="minorEastAsia"/>
                <w:szCs w:val="21"/>
              </w:rPr>
            </w:pPr>
            <w:r>
              <w:rPr>
                <w:rFonts w:hint="eastAsia" w:cs="Times New Roman" w:eastAsiaTheme="minorEastAsia"/>
                <w:szCs w:val="21"/>
              </w:rPr>
              <w:t>电磁辐射</w:t>
            </w:r>
          </w:p>
        </w:tc>
        <w:tc>
          <w:tcPr>
            <w:tcW w:w="1701" w:type="dxa"/>
            <w:vAlign w:val="center"/>
          </w:tcPr>
          <w:p>
            <w:pPr>
              <w:jc w:val="center"/>
              <w:rPr>
                <w:rFonts w:cs="Times New Roman" w:eastAsiaTheme="minorEastAsia"/>
                <w:szCs w:val="21"/>
              </w:rPr>
            </w:pPr>
            <w:r>
              <w:rPr>
                <w:rFonts w:hint="eastAsia" w:cs="Times New Roman" w:eastAsiaTheme="minorEastAsia"/>
                <w:szCs w:val="21"/>
              </w:rPr>
              <w:t>/</w:t>
            </w:r>
          </w:p>
        </w:tc>
        <w:tc>
          <w:tcPr>
            <w:tcW w:w="1417" w:type="dxa"/>
            <w:vAlign w:val="center"/>
          </w:tcPr>
          <w:p>
            <w:pPr>
              <w:jc w:val="center"/>
              <w:rPr>
                <w:rFonts w:cs="Times New Roman" w:eastAsiaTheme="minorEastAsia"/>
                <w:szCs w:val="21"/>
              </w:rPr>
            </w:pPr>
            <w:r>
              <w:rPr>
                <w:rFonts w:hint="eastAsia" w:cs="Times New Roman" w:eastAsiaTheme="minorEastAsia"/>
                <w:szCs w:val="21"/>
              </w:rPr>
              <w:t>/</w:t>
            </w:r>
          </w:p>
        </w:tc>
        <w:tc>
          <w:tcPr>
            <w:tcW w:w="2552" w:type="dxa"/>
            <w:vAlign w:val="center"/>
          </w:tcPr>
          <w:p>
            <w:pPr>
              <w:jc w:val="center"/>
              <w:rPr>
                <w:rFonts w:cs="Times New Roman" w:eastAsiaTheme="minorEastAsia"/>
                <w:szCs w:val="21"/>
              </w:rPr>
            </w:pPr>
            <w:r>
              <w:rPr>
                <w:rFonts w:hint="eastAsia" w:cs="Times New Roman" w:eastAsiaTheme="minorEastAsia"/>
                <w:szCs w:val="21"/>
              </w:rPr>
              <w:t>/</w:t>
            </w:r>
          </w:p>
        </w:tc>
        <w:tc>
          <w:tcPr>
            <w:tcW w:w="2124" w:type="dxa"/>
            <w:vAlign w:val="center"/>
          </w:tcPr>
          <w:p>
            <w:pPr>
              <w:jc w:val="center"/>
              <w:rPr>
                <w:rFonts w:cs="Times New Roman" w:eastAsiaTheme="minorEastAsia"/>
                <w:szCs w:val="21"/>
              </w:rPr>
            </w:pPr>
            <w:r>
              <w:rPr>
                <w:rFonts w:hint="eastAsia" w:cs="Times New Roman"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55" w:type="dxa"/>
            <w:vAlign w:val="center"/>
          </w:tcPr>
          <w:p>
            <w:pPr>
              <w:jc w:val="center"/>
              <w:rPr>
                <w:rFonts w:cs="Times New Roman" w:eastAsiaTheme="minorEastAsia"/>
                <w:szCs w:val="21"/>
              </w:rPr>
            </w:pPr>
            <w:r>
              <w:rPr>
                <w:rFonts w:hint="eastAsia" w:cs="Times New Roman" w:eastAsiaTheme="minorEastAsia"/>
                <w:szCs w:val="21"/>
              </w:rPr>
              <w:t>固体废物</w:t>
            </w:r>
          </w:p>
        </w:tc>
        <w:tc>
          <w:tcPr>
            <w:tcW w:w="7794" w:type="dxa"/>
            <w:gridSpan w:val="4"/>
            <w:vAlign w:val="center"/>
          </w:tcPr>
          <w:p>
            <w:pPr>
              <w:ind w:firstLine="420" w:firstLineChars="200"/>
              <w:rPr>
                <w:rFonts w:cs="Times New Roman" w:eastAsiaTheme="minorEastAsia"/>
                <w:szCs w:val="21"/>
              </w:rPr>
            </w:pPr>
            <w:r>
              <w:rPr>
                <w:rFonts w:hint="eastAsia" w:cs="Times New Roman" w:eastAsiaTheme="minorEastAsia"/>
                <w:szCs w:val="21"/>
              </w:rPr>
              <w:t>污泥经叠螺浓缩脱水一体机脱水后泥饼暂存于</w:t>
            </w:r>
            <w:r>
              <w:rPr>
                <w:rFonts w:hint="eastAsia" w:cs="Times New Roman" w:eastAsiaTheme="minorEastAsia"/>
                <w:szCs w:val="21"/>
                <w:lang w:eastAsia="zh-CN"/>
              </w:rPr>
              <w:t>污泥间</w:t>
            </w:r>
            <w:r>
              <w:rPr>
                <w:rFonts w:hint="eastAsia" w:cs="Times New Roman" w:eastAsiaTheme="minorEastAsia"/>
                <w:szCs w:val="21"/>
              </w:rPr>
              <w:t>，定期交由环卫部门清运处理；废活性炭交由厂商回收处理，废包装料外售废旧资源回收站，生活垃圾分类收集交由环卫部门清运处置。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55" w:type="dxa"/>
            <w:vAlign w:val="center"/>
          </w:tcPr>
          <w:p>
            <w:pPr>
              <w:jc w:val="center"/>
              <w:rPr>
                <w:rFonts w:cs="Times New Roman" w:eastAsiaTheme="minorEastAsia"/>
                <w:szCs w:val="21"/>
              </w:rPr>
            </w:pPr>
            <w:r>
              <w:rPr>
                <w:rFonts w:hint="eastAsia" w:cs="Times New Roman" w:eastAsiaTheme="minorEastAsia"/>
                <w:szCs w:val="21"/>
              </w:rPr>
              <w:t>土壤及地下水</w:t>
            </w:r>
          </w:p>
          <w:p>
            <w:pPr>
              <w:jc w:val="center"/>
              <w:rPr>
                <w:rFonts w:cs="Times New Roman" w:eastAsiaTheme="minorEastAsia"/>
                <w:szCs w:val="21"/>
              </w:rPr>
            </w:pPr>
            <w:r>
              <w:rPr>
                <w:rFonts w:hint="eastAsia" w:cs="Times New Roman" w:eastAsiaTheme="minorEastAsia"/>
                <w:szCs w:val="21"/>
              </w:rPr>
              <w:t>污染防治措施</w:t>
            </w:r>
          </w:p>
        </w:tc>
        <w:tc>
          <w:tcPr>
            <w:tcW w:w="7794" w:type="dxa"/>
            <w:gridSpan w:val="4"/>
            <w:vAlign w:val="center"/>
          </w:tcPr>
          <w:p>
            <w:pPr>
              <w:ind w:firstLine="420" w:firstLineChars="200"/>
              <w:rPr>
                <w:rFonts w:cs="Times New Roman" w:eastAsiaTheme="minorEastAsia"/>
                <w:szCs w:val="21"/>
              </w:rPr>
            </w:pPr>
            <w:r>
              <w:rPr>
                <w:rFonts w:hint="eastAsia" w:cs="Times New Roman" w:eastAsiaTheme="minorEastAsia"/>
                <w:szCs w:val="21"/>
              </w:rPr>
              <w:t>重点防渗区采用防渗混凝土+2mm厚HDPE防渗层进行防渗、防腐处理，一般防渗区采取防渗混凝土+黏土防渗层，简单防渗区采取水泥地面硬化。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55" w:type="dxa"/>
            <w:vAlign w:val="center"/>
          </w:tcPr>
          <w:p>
            <w:pPr>
              <w:jc w:val="center"/>
              <w:rPr>
                <w:rFonts w:cs="Times New Roman" w:eastAsiaTheme="minorEastAsia"/>
                <w:szCs w:val="21"/>
              </w:rPr>
            </w:pPr>
            <w:r>
              <w:rPr>
                <w:rFonts w:hint="eastAsia" w:cs="Times New Roman" w:eastAsiaTheme="minorEastAsia"/>
                <w:szCs w:val="21"/>
              </w:rPr>
              <w:t>生态保护措施</w:t>
            </w:r>
          </w:p>
        </w:tc>
        <w:tc>
          <w:tcPr>
            <w:tcW w:w="7794" w:type="dxa"/>
            <w:gridSpan w:val="4"/>
            <w:vAlign w:val="center"/>
          </w:tcPr>
          <w:p>
            <w:pPr>
              <w:jc w:val="center"/>
              <w:rPr>
                <w:rFonts w:cs="Times New Roman" w:eastAsiaTheme="minorEastAsia"/>
                <w:szCs w:val="21"/>
              </w:rPr>
            </w:pPr>
            <w:r>
              <w:rPr>
                <w:rFonts w:hint="eastAsia" w:cs="Times New Roman"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55" w:type="dxa"/>
            <w:vAlign w:val="center"/>
          </w:tcPr>
          <w:p>
            <w:pPr>
              <w:jc w:val="center"/>
              <w:rPr>
                <w:rFonts w:cs="Times New Roman" w:eastAsiaTheme="minorEastAsia"/>
                <w:szCs w:val="21"/>
              </w:rPr>
            </w:pPr>
            <w:r>
              <w:rPr>
                <w:rFonts w:hint="eastAsia" w:cs="Times New Roman" w:eastAsiaTheme="minorEastAsia"/>
                <w:szCs w:val="21"/>
              </w:rPr>
              <w:t>环境风险</w:t>
            </w:r>
          </w:p>
          <w:p>
            <w:pPr>
              <w:jc w:val="center"/>
              <w:rPr>
                <w:rFonts w:cs="Times New Roman" w:eastAsiaTheme="minorEastAsia"/>
                <w:szCs w:val="21"/>
              </w:rPr>
            </w:pPr>
            <w:r>
              <w:rPr>
                <w:rFonts w:hint="eastAsia" w:cs="Times New Roman" w:eastAsiaTheme="minorEastAsia"/>
                <w:szCs w:val="21"/>
              </w:rPr>
              <w:t>防范措施</w:t>
            </w:r>
          </w:p>
        </w:tc>
        <w:tc>
          <w:tcPr>
            <w:tcW w:w="7794" w:type="dxa"/>
            <w:gridSpan w:val="4"/>
            <w:vAlign w:val="center"/>
          </w:tcPr>
          <w:p>
            <w:pPr>
              <w:ind w:firstLine="420" w:firstLineChars="200"/>
              <w:rPr>
                <w:rFonts w:cs="Times New Roman" w:eastAsiaTheme="minorEastAsia"/>
                <w:szCs w:val="21"/>
              </w:rPr>
            </w:pPr>
            <w:r>
              <w:rPr>
                <w:rFonts w:hint="eastAsia" w:cs="Times New Roman" w:eastAsiaTheme="minorEastAsia"/>
                <w:szCs w:val="21"/>
              </w:rPr>
              <w:t>次氯酸钠加药装置区采取重点防渗措施，储药箱设置防渗围堰，围堰采用不渗透的材料做防渗处理；严格落实消防设计规范，设置警示标识，配备相应数量灭火器，开展员工安全培训；加强输水管道施工质量，密切监控供水水压变化情况，建立事故抢修队伍，成立事故应急处置机构，一旦输水管道破裂，立即暂停供水，待事故处置完毕，委托专业机构进行原水水质监测合</w:t>
            </w:r>
            <w:r>
              <w:rPr>
                <w:rFonts w:hint="eastAsia" w:cs="Times New Roman" w:eastAsiaTheme="minorEastAsia"/>
                <w:color w:val="auto"/>
                <w:szCs w:val="21"/>
              </w:rPr>
              <w:t>格后，再恢复供水；依托</w:t>
            </w:r>
            <w:r>
              <w:rPr>
                <w:rFonts w:hint="eastAsia" w:cs="Times New Roman" w:eastAsiaTheme="minorEastAsia"/>
                <w:color w:val="auto"/>
                <w:szCs w:val="21"/>
                <w:lang w:eastAsia="zh-CN"/>
              </w:rPr>
              <w:t>徐家坡水厂</w:t>
            </w:r>
            <w:r>
              <w:rPr>
                <w:rFonts w:hint="eastAsia" w:cs="Times New Roman" w:eastAsiaTheme="minorEastAsia"/>
                <w:color w:val="auto"/>
                <w:szCs w:val="21"/>
              </w:rPr>
              <w:t>水源在线自动监测网与预警系统，加强与</w:t>
            </w:r>
            <w:r>
              <w:rPr>
                <w:rFonts w:hint="eastAsia" w:cs="Times New Roman" w:eastAsiaTheme="minorEastAsia"/>
                <w:color w:val="auto"/>
                <w:szCs w:val="21"/>
                <w:lang w:eastAsia="zh-CN"/>
              </w:rPr>
              <w:t>徐家坡水厂</w:t>
            </w:r>
            <w:r>
              <w:rPr>
                <w:rFonts w:hint="eastAsia" w:cs="Times New Roman" w:eastAsiaTheme="minorEastAsia"/>
                <w:color w:val="auto"/>
                <w:szCs w:val="21"/>
              </w:rPr>
              <w:t>管理部门联动；</w:t>
            </w:r>
            <w:r>
              <w:rPr>
                <w:rFonts w:hint="eastAsia" w:cs="Times New Roman" w:eastAsiaTheme="minorEastAsia"/>
                <w:szCs w:val="21"/>
              </w:rPr>
              <w:t>委托第三方单位定期检测</w:t>
            </w:r>
            <w:r>
              <w:rPr>
                <w:rFonts w:hint="eastAsia" w:cs="Times New Roman" w:eastAsiaTheme="minorEastAsia"/>
                <w:szCs w:val="21"/>
                <w:lang w:eastAsia="zh-CN"/>
              </w:rPr>
              <w:t>水厂</w:t>
            </w:r>
            <w:r>
              <w:rPr>
                <w:rFonts w:hint="eastAsia" w:cs="Times New Roman" w:eastAsiaTheme="minorEastAsia"/>
                <w:szCs w:val="21"/>
              </w:rPr>
              <w:t>进、出水质；制定环境风险应急预案。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5" w:hRule="atLeast"/>
          <w:jc w:val="center"/>
        </w:trPr>
        <w:tc>
          <w:tcPr>
            <w:tcW w:w="1555" w:type="dxa"/>
            <w:vAlign w:val="center"/>
          </w:tcPr>
          <w:p>
            <w:pPr>
              <w:jc w:val="center"/>
              <w:rPr>
                <w:rFonts w:cs="Times New Roman" w:eastAsiaTheme="minorEastAsia"/>
                <w:szCs w:val="21"/>
              </w:rPr>
            </w:pPr>
            <w:r>
              <w:rPr>
                <w:rFonts w:hint="eastAsia" w:cs="Times New Roman" w:eastAsiaTheme="minorEastAsia"/>
                <w:szCs w:val="21"/>
              </w:rPr>
              <w:t>其他环境</w:t>
            </w:r>
          </w:p>
          <w:p>
            <w:pPr>
              <w:jc w:val="center"/>
              <w:rPr>
                <w:rFonts w:cs="Times New Roman" w:eastAsiaTheme="minorEastAsia"/>
                <w:szCs w:val="21"/>
              </w:rPr>
            </w:pPr>
            <w:r>
              <w:rPr>
                <w:rFonts w:hint="eastAsia" w:cs="Times New Roman" w:eastAsiaTheme="minorEastAsia"/>
                <w:szCs w:val="21"/>
              </w:rPr>
              <w:t>管理要求</w:t>
            </w:r>
          </w:p>
        </w:tc>
        <w:tc>
          <w:tcPr>
            <w:tcW w:w="7794" w:type="dxa"/>
            <w:gridSpan w:val="4"/>
            <w:vAlign w:val="center"/>
          </w:tcPr>
          <w:p>
            <w:pPr>
              <w:ind w:firstLine="420" w:firstLineChars="200"/>
              <w:rPr>
                <w:rFonts w:cs="Times New Roman" w:eastAsiaTheme="minorEastAsia"/>
                <w:szCs w:val="21"/>
              </w:rPr>
            </w:pPr>
            <w:r>
              <w:rPr>
                <w:rFonts w:hint="eastAsia" w:cs="Times New Roman" w:eastAsiaTheme="minorEastAsia"/>
                <w:szCs w:val="21"/>
              </w:rPr>
              <w:t>制定自行监测方案，定期开展污染源监测。</w:t>
            </w:r>
          </w:p>
        </w:tc>
      </w:tr>
    </w:tbl>
    <w:p>
      <w:pPr>
        <w:spacing w:line="360" w:lineRule="auto"/>
        <w:rPr>
          <w:b/>
          <w:sz w:val="28"/>
          <w:szCs w:val="28"/>
        </w:rPr>
        <w:sectPr>
          <w:pgSz w:w="11906" w:h="16838"/>
          <w:pgMar w:top="1134" w:right="1134" w:bottom="1134" w:left="1418" w:header="851" w:footer="992" w:gutter="0"/>
          <w:cols w:space="720" w:num="1"/>
          <w:docGrid w:type="lines" w:linePitch="312" w:charSpace="0"/>
        </w:sectPr>
      </w:pPr>
    </w:p>
    <w:p>
      <w:pPr>
        <w:pStyle w:val="39"/>
        <w:jc w:val="center"/>
        <w:rPr>
          <w:rFonts w:ascii="黑体" w:hAnsi="黑体" w:eastAsia="黑体"/>
          <w:b w:val="0"/>
          <w:sz w:val="30"/>
          <w:szCs w:val="30"/>
        </w:rPr>
      </w:pPr>
      <w:bookmarkStart w:id="5" w:name="_Toc97040278"/>
      <w:r>
        <w:rPr>
          <w:rFonts w:hint="eastAsia" w:ascii="黑体" w:hAnsi="黑体" w:eastAsia="黑体"/>
          <w:b w:val="0"/>
          <w:sz w:val="30"/>
          <w:szCs w:val="30"/>
        </w:rPr>
        <w:t>六、结论</w:t>
      </w:r>
      <w:bookmarkEnd w:id="5"/>
    </w:p>
    <w:tbl>
      <w:tblPr>
        <w:tblStyle w:val="1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34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9344" w:type="dxa"/>
            <w:shd w:val="clear" w:color="auto" w:fill="auto"/>
          </w:tcPr>
          <w:p>
            <w:pPr>
              <w:spacing w:line="360" w:lineRule="auto"/>
              <w:ind w:firstLine="480" w:firstLineChars="200"/>
              <w:rPr>
                <w:rFonts w:cs="Times New Roman"/>
                <w:sz w:val="24"/>
                <w:szCs w:val="24"/>
              </w:rPr>
            </w:pPr>
            <w:r>
              <w:rPr>
                <w:rFonts w:hint="eastAsia" w:cs="Times New Roman"/>
                <w:sz w:val="24"/>
                <w:szCs w:val="24"/>
                <w:lang w:eastAsia="zh-CN"/>
              </w:rPr>
              <w:t>宣汉发展投资集团有限公司宣汉县城（明月坝）供水工程</w:t>
            </w:r>
            <w:r>
              <w:rPr>
                <w:rFonts w:hint="eastAsia" w:cs="Times New Roman"/>
                <w:sz w:val="24"/>
                <w:szCs w:val="24"/>
              </w:rPr>
              <w:t>符合“三线一单”要求，建设单位在认真落实本报告中提出的各项污染防治措施和有关管理措施，保证环境保护措施的有效运行，可确保污染物稳定达标排放。从环保角度而言，本项目的建设是可行的。</w:t>
            </w: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tc>
      </w:tr>
    </w:tbl>
    <w:p>
      <w:pPr>
        <w:rPr>
          <w:rFonts w:ascii="宋体" w:hAnsi="宋体"/>
          <w:sz w:val="24"/>
          <w:szCs w:val="24"/>
        </w:rPr>
        <w:sectPr>
          <w:pgSz w:w="11906" w:h="16838"/>
          <w:pgMar w:top="1134" w:right="1134" w:bottom="1134" w:left="1418" w:header="851" w:footer="992" w:gutter="0"/>
          <w:cols w:space="720" w:num="1"/>
          <w:docGrid w:type="lines" w:linePitch="312" w:charSpace="0"/>
        </w:sectPr>
      </w:pPr>
    </w:p>
    <w:p>
      <w:pPr>
        <w:pStyle w:val="39"/>
        <w:rPr>
          <w:rFonts w:ascii="黑体" w:hAnsi="黑体" w:eastAsia="黑体"/>
          <w:b w:val="0"/>
          <w:sz w:val="30"/>
          <w:szCs w:val="30"/>
        </w:rPr>
      </w:pPr>
      <w:bookmarkStart w:id="6" w:name="_Toc97040279"/>
      <w:r>
        <w:rPr>
          <w:rFonts w:hint="eastAsia" w:ascii="黑体" w:hAnsi="黑体" w:eastAsia="黑体"/>
          <w:b w:val="0"/>
          <w:sz w:val="30"/>
          <w:szCs w:val="30"/>
        </w:rPr>
        <w:t>附表</w:t>
      </w:r>
      <w:bookmarkEnd w:id="6"/>
    </w:p>
    <w:p>
      <w:pPr>
        <w:jc w:val="center"/>
        <w:rPr>
          <w:rFonts w:ascii="方正小标宋_GBK" w:hAnsi="宋体" w:eastAsia="方正小标宋_GBK"/>
          <w:sz w:val="36"/>
          <w:szCs w:val="36"/>
        </w:rPr>
      </w:pPr>
      <w:r>
        <w:rPr>
          <w:rFonts w:hint="eastAsia" w:ascii="方正小标宋_GBK" w:hAnsi="宋体" w:eastAsia="方正小标宋_GBK"/>
          <w:sz w:val="36"/>
          <w:szCs w:val="36"/>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598805</wp:posOffset>
                </wp:positionV>
                <wp:extent cx="895350" cy="590550"/>
                <wp:effectExtent l="0" t="0" r="19050" b="19050"/>
                <wp:wrapNone/>
                <wp:docPr id="1" name="直接连接符 1"/>
                <wp:cNvGraphicFramePr/>
                <a:graphic xmlns:a="http://schemas.openxmlformats.org/drawingml/2006/main">
                  <a:graphicData uri="http://schemas.microsoft.com/office/word/2010/wordprocessingShape">
                    <wps:wsp>
                      <wps:cNvCnPr/>
                      <wps:spPr>
                        <a:xfrm>
                          <a:off x="0" y="0"/>
                          <a:ext cx="895350" cy="590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top:47.15pt;height:46.5pt;width:70.5pt;mso-position-horizontal:left;mso-position-horizontal-relative:margin;z-index:251660288;mso-width-relative:page;mso-height-relative:page;" filled="f" stroked="t" coordsize="21600,21600" o:gfxdata="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af6cjWAAAABwEAAA8AAAAAAAAA&#10;AQAgAAAAIgAAAGRycy9kb3ducmV2LnhtbFBLAQIUABQAAAAIAIdO4kDLtToN2gEAAJ4DAAAOAAAA&#10;AAAAAAEAIAAAACUBAABkcnMvZTJvRG9jLnhtbFBLBQYAAAAABgAGAFkBAABxBQAAAAA=&#10;">
                <v:fill on="f" focussize="0,0"/>
                <v:stroke color="#000000 [3213]" joinstyle="round"/>
                <v:imagedata o:title=""/>
                <o:lock v:ext="edit" aspectratio="f"/>
              </v:line>
            </w:pict>
          </mc:Fallback>
        </mc:AlternateContent>
      </w:r>
      <w:r>
        <w:rPr>
          <w:rFonts w:hint="eastAsia" w:ascii="方正小标宋_GBK" w:hAnsi="宋体" w:eastAsia="方正小标宋_GBK"/>
          <w:sz w:val="36"/>
          <w:szCs w:val="36"/>
        </w:rPr>
        <w:t>建设项目污染物排放量汇总表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701"/>
        <w:gridCol w:w="1701"/>
        <w:gridCol w:w="1605"/>
        <w:gridCol w:w="1796"/>
        <w:gridCol w:w="1795"/>
        <w:gridCol w:w="1796"/>
        <w:gridCol w:w="1796"/>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right"/>
              <w:rPr>
                <w:rFonts w:ascii="黑体" w:hAnsi="黑体" w:eastAsia="黑体" w:cs="Times New Roman"/>
                <w:szCs w:val="21"/>
              </w:rPr>
            </w:pPr>
            <w:r>
              <w:rPr>
                <w:rFonts w:ascii="黑体" w:hAnsi="黑体" w:eastAsia="黑体" w:cs="Times New Roman"/>
                <w:szCs w:val="21"/>
              </w:rPr>
              <w:t>项目</w:t>
            </w:r>
          </w:p>
          <w:p>
            <w:pPr>
              <w:jc w:val="left"/>
              <w:rPr>
                <w:rFonts w:ascii="黑体" w:hAnsi="黑体" w:eastAsia="黑体" w:cs="Times New Roman"/>
                <w:szCs w:val="21"/>
              </w:rPr>
            </w:pPr>
            <w:r>
              <w:rPr>
                <w:rFonts w:ascii="黑体" w:hAnsi="黑体" w:eastAsia="黑体" w:cs="Times New Roman"/>
                <w:szCs w:val="21"/>
              </w:rPr>
              <w:t>分类</w:t>
            </w:r>
          </w:p>
        </w:tc>
        <w:tc>
          <w:tcPr>
            <w:tcW w:w="1701" w:type="dxa"/>
            <w:vAlign w:val="center"/>
          </w:tcPr>
          <w:p>
            <w:pPr>
              <w:jc w:val="center"/>
              <w:rPr>
                <w:rFonts w:ascii="黑体" w:hAnsi="黑体" w:eastAsia="黑体" w:cs="Times New Roman"/>
                <w:szCs w:val="21"/>
              </w:rPr>
            </w:pPr>
            <w:r>
              <w:rPr>
                <w:rFonts w:ascii="黑体" w:hAnsi="黑体" w:eastAsia="黑体" w:cs="Times New Roman"/>
                <w:szCs w:val="21"/>
              </w:rPr>
              <w:t>污染物名称</w:t>
            </w:r>
          </w:p>
        </w:tc>
        <w:tc>
          <w:tcPr>
            <w:tcW w:w="1701" w:type="dxa"/>
            <w:vAlign w:val="center"/>
          </w:tcPr>
          <w:p>
            <w:pPr>
              <w:jc w:val="center"/>
              <w:rPr>
                <w:rFonts w:ascii="黑体" w:hAnsi="黑体" w:eastAsia="黑体" w:cs="Times New Roman"/>
                <w:szCs w:val="21"/>
              </w:rPr>
            </w:pPr>
            <w:r>
              <w:rPr>
                <w:rFonts w:ascii="黑体" w:hAnsi="黑体" w:eastAsia="黑体" w:cs="Times New Roman"/>
                <w:szCs w:val="21"/>
              </w:rPr>
              <w:t>现有工程</w:t>
            </w:r>
          </w:p>
          <w:p>
            <w:pPr>
              <w:jc w:val="center"/>
              <w:rPr>
                <w:rFonts w:ascii="黑体" w:hAnsi="黑体" w:eastAsia="黑体" w:cs="Times New Roman"/>
                <w:szCs w:val="21"/>
              </w:rPr>
            </w:pPr>
            <w:r>
              <w:rPr>
                <w:rFonts w:ascii="黑体" w:hAnsi="黑体" w:eastAsia="黑体" w:cs="Times New Roman"/>
                <w:szCs w:val="21"/>
              </w:rPr>
              <w:t>排放量（固体废物产生量）</w:t>
            </w:r>
            <w:r>
              <w:rPr>
                <w:rFonts w:hint="eastAsia" w:ascii="黑体" w:hAnsi="黑体" w:eastAsia="黑体" w:cs="宋体"/>
                <w:szCs w:val="21"/>
              </w:rPr>
              <w:t>①</w:t>
            </w:r>
          </w:p>
        </w:tc>
        <w:tc>
          <w:tcPr>
            <w:tcW w:w="1605" w:type="dxa"/>
            <w:vAlign w:val="center"/>
          </w:tcPr>
          <w:p>
            <w:pPr>
              <w:jc w:val="center"/>
              <w:rPr>
                <w:rFonts w:ascii="黑体" w:hAnsi="黑体" w:eastAsia="黑体" w:cs="Times New Roman"/>
                <w:szCs w:val="21"/>
              </w:rPr>
            </w:pPr>
            <w:r>
              <w:rPr>
                <w:rFonts w:ascii="黑体" w:hAnsi="黑体" w:eastAsia="黑体" w:cs="Times New Roman"/>
                <w:szCs w:val="21"/>
              </w:rPr>
              <w:t>现有工程</w:t>
            </w:r>
          </w:p>
          <w:p>
            <w:pPr>
              <w:jc w:val="center"/>
              <w:rPr>
                <w:rFonts w:ascii="黑体" w:hAnsi="黑体" w:eastAsia="黑体" w:cs="Times New Roman"/>
                <w:szCs w:val="21"/>
              </w:rPr>
            </w:pPr>
            <w:r>
              <w:rPr>
                <w:rFonts w:ascii="黑体" w:hAnsi="黑体" w:eastAsia="黑体" w:cs="Times New Roman"/>
                <w:szCs w:val="21"/>
              </w:rPr>
              <w:t>许可排放量</w:t>
            </w:r>
            <w:r>
              <w:rPr>
                <w:rFonts w:hint="eastAsia" w:ascii="黑体" w:hAnsi="黑体" w:eastAsia="黑体" w:cs="宋体"/>
                <w:szCs w:val="21"/>
              </w:rPr>
              <w:t>②</w:t>
            </w:r>
          </w:p>
        </w:tc>
        <w:tc>
          <w:tcPr>
            <w:tcW w:w="1796" w:type="dxa"/>
            <w:vAlign w:val="center"/>
          </w:tcPr>
          <w:p>
            <w:pPr>
              <w:jc w:val="center"/>
              <w:rPr>
                <w:rFonts w:ascii="黑体" w:hAnsi="黑体" w:eastAsia="黑体" w:cs="Times New Roman"/>
                <w:szCs w:val="21"/>
              </w:rPr>
            </w:pPr>
            <w:r>
              <w:rPr>
                <w:rFonts w:ascii="黑体" w:hAnsi="黑体" w:eastAsia="黑体" w:cs="Times New Roman"/>
                <w:szCs w:val="21"/>
              </w:rPr>
              <w:t>在建工程</w:t>
            </w:r>
          </w:p>
          <w:p>
            <w:pPr>
              <w:jc w:val="center"/>
              <w:rPr>
                <w:rFonts w:ascii="黑体" w:hAnsi="黑体" w:eastAsia="黑体" w:cs="Times New Roman"/>
                <w:szCs w:val="21"/>
              </w:rPr>
            </w:pPr>
            <w:r>
              <w:rPr>
                <w:rFonts w:ascii="黑体" w:hAnsi="黑体" w:eastAsia="黑体" w:cs="Times New Roman"/>
                <w:szCs w:val="21"/>
              </w:rPr>
              <w:t>排放量（固体废物产生量）</w:t>
            </w:r>
            <w:r>
              <w:rPr>
                <w:rFonts w:hint="eastAsia" w:ascii="黑体" w:hAnsi="黑体" w:eastAsia="黑体" w:cs="宋体"/>
                <w:szCs w:val="21"/>
              </w:rPr>
              <w:t>③</w:t>
            </w:r>
          </w:p>
        </w:tc>
        <w:tc>
          <w:tcPr>
            <w:tcW w:w="1795" w:type="dxa"/>
            <w:vAlign w:val="center"/>
          </w:tcPr>
          <w:p>
            <w:pPr>
              <w:jc w:val="center"/>
              <w:rPr>
                <w:rFonts w:ascii="黑体" w:hAnsi="黑体" w:eastAsia="黑体" w:cs="Times New Roman"/>
                <w:szCs w:val="21"/>
              </w:rPr>
            </w:pPr>
            <w:r>
              <w:rPr>
                <w:rFonts w:ascii="黑体" w:hAnsi="黑体" w:eastAsia="黑体" w:cs="Times New Roman"/>
                <w:szCs w:val="21"/>
              </w:rPr>
              <w:t>本项目</w:t>
            </w:r>
          </w:p>
          <w:p>
            <w:pPr>
              <w:jc w:val="center"/>
              <w:rPr>
                <w:rFonts w:ascii="黑体" w:hAnsi="黑体" w:eastAsia="黑体" w:cs="Times New Roman"/>
                <w:szCs w:val="21"/>
              </w:rPr>
            </w:pPr>
            <w:r>
              <w:rPr>
                <w:rFonts w:ascii="黑体" w:hAnsi="黑体" w:eastAsia="黑体" w:cs="Times New Roman"/>
                <w:szCs w:val="21"/>
              </w:rPr>
              <w:t>排放量（固体废物产生量）</w:t>
            </w:r>
            <w:r>
              <w:rPr>
                <w:rFonts w:hint="eastAsia" w:ascii="黑体" w:hAnsi="黑体" w:eastAsia="黑体" w:cs="宋体"/>
                <w:szCs w:val="21"/>
              </w:rPr>
              <w:t>④</w:t>
            </w:r>
          </w:p>
        </w:tc>
        <w:tc>
          <w:tcPr>
            <w:tcW w:w="1796" w:type="dxa"/>
            <w:vAlign w:val="center"/>
          </w:tcPr>
          <w:p>
            <w:pPr>
              <w:jc w:val="center"/>
              <w:rPr>
                <w:rFonts w:ascii="黑体" w:hAnsi="黑体" w:eastAsia="黑体" w:cs="Times New Roman"/>
                <w:szCs w:val="21"/>
              </w:rPr>
            </w:pPr>
            <w:r>
              <w:rPr>
                <w:rFonts w:ascii="黑体" w:hAnsi="黑体" w:eastAsia="黑体" w:cs="Times New Roman"/>
                <w:szCs w:val="21"/>
              </w:rPr>
              <w:t>以新带老削减量</w:t>
            </w:r>
          </w:p>
          <w:p>
            <w:pPr>
              <w:jc w:val="center"/>
              <w:rPr>
                <w:rFonts w:ascii="黑体" w:hAnsi="黑体" w:eastAsia="黑体" w:cs="Times New Roman"/>
                <w:szCs w:val="21"/>
              </w:rPr>
            </w:pPr>
            <w:r>
              <w:rPr>
                <w:rFonts w:ascii="黑体" w:hAnsi="黑体" w:eastAsia="黑体" w:cs="Times New Roman"/>
                <w:szCs w:val="21"/>
              </w:rPr>
              <w:t>（新建项目不填）</w:t>
            </w:r>
            <w:r>
              <w:rPr>
                <w:rFonts w:hint="eastAsia" w:ascii="黑体" w:hAnsi="黑体" w:eastAsia="黑体" w:cs="宋体"/>
                <w:szCs w:val="21"/>
              </w:rPr>
              <w:t>⑤</w:t>
            </w:r>
          </w:p>
        </w:tc>
        <w:tc>
          <w:tcPr>
            <w:tcW w:w="1796" w:type="dxa"/>
            <w:vAlign w:val="center"/>
          </w:tcPr>
          <w:p>
            <w:pPr>
              <w:jc w:val="center"/>
              <w:rPr>
                <w:rFonts w:ascii="黑体" w:hAnsi="黑体" w:eastAsia="黑体" w:cs="Times New Roman"/>
                <w:szCs w:val="21"/>
              </w:rPr>
            </w:pPr>
            <w:r>
              <w:rPr>
                <w:rFonts w:ascii="黑体" w:hAnsi="黑体" w:eastAsia="黑体" w:cs="Times New Roman"/>
                <w:szCs w:val="21"/>
              </w:rPr>
              <w:t>本项目建成后</w:t>
            </w:r>
          </w:p>
          <w:p>
            <w:pPr>
              <w:rPr>
                <w:rFonts w:ascii="黑体" w:hAnsi="黑体" w:eastAsia="黑体" w:cs="Times New Roman"/>
                <w:szCs w:val="21"/>
              </w:rPr>
            </w:pPr>
            <w:r>
              <w:rPr>
                <w:rFonts w:ascii="黑体" w:hAnsi="黑体" w:eastAsia="黑体" w:cs="Times New Roman"/>
                <w:szCs w:val="21"/>
              </w:rPr>
              <w:t>全厂排放量（固体废物产生量）</w:t>
            </w:r>
            <w:r>
              <w:rPr>
                <w:rFonts w:hint="eastAsia" w:ascii="黑体" w:hAnsi="黑体" w:eastAsia="黑体" w:cs="宋体"/>
                <w:szCs w:val="21"/>
              </w:rPr>
              <w:t>⑥</w:t>
            </w:r>
          </w:p>
        </w:tc>
        <w:tc>
          <w:tcPr>
            <w:tcW w:w="957" w:type="dxa"/>
            <w:vAlign w:val="center"/>
          </w:tcPr>
          <w:p>
            <w:pPr>
              <w:jc w:val="center"/>
              <w:rPr>
                <w:rFonts w:ascii="黑体" w:hAnsi="黑体" w:eastAsia="黑体" w:cs="Times New Roman"/>
                <w:szCs w:val="21"/>
              </w:rPr>
            </w:pPr>
            <w:r>
              <w:rPr>
                <w:rFonts w:ascii="黑体" w:hAnsi="黑体" w:eastAsia="黑体" w:cs="Times New Roman"/>
                <w:szCs w:val="21"/>
              </w:rPr>
              <w:t>变化量</w:t>
            </w:r>
          </w:p>
          <w:p>
            <w:pPr>
              <w:jc w:val="center"/>
              <w:rPr>
                <w:rFonts w:ascii="黑体" w:hAnsi="黑体" w:eastAsia="黑体" w:cs="Times New Roman"/>
                <w:szCs w:val="21"/>
              </w:rPr>
            </w:pPr>
            <w:r>
              <w:rPr>
                <w:rFonts w:hint="eastAsia" w:ascii="黑体" w:hAnsi="黑体" w:eastAsia="黑体" w:cs="宋体"/>
                <w:szCs w:val="21"/>
              </w:rPr>
              <w:t>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restart"/>
            <w:vAlign w:val="center"/>
          </w:tcPr>
          <w:p>
            <w:pPr>
              <w:jc w:val="center"/>
              <w:rPr>
                <w:rFonts w:cs="Times New Roman"/>
                <w:szCs w:val="21"/>
              </w:rPr>
            </w:pPr>
            <w:r>
              <w:rPr>
                <w:rFonts w:cs="Times New Roman"/>
                <w:szCs w:val="21"/>
              </w:rPr>
              <w:t>废气</w:t>
            </w:r>
          </w:p>
        </w:tc>
        <w:tc>
          <w:tcPr>
            <w:tcW w:w="1701" w:type="dxa"/>
            <w:vAlign w:val="center"/>
          </w:tcPr>
          <w:p>
            <w:pPr>
              <w:jc w:val="center"/>
              <w:rPr>
                <w:rFonts w:cs="Times New Roman"/>
                <w:szCs w:val="21"/>
              </w:rPr>
            </w:pPr>
            <w:r>
              <w:rPr>
                <w:rFonts w:hint="eastAsia" w:cs="Times New Roman"/>
                <w:szCs w:val="21"/>
              </w:rPr>
              <w:t>/</w:t>
            </w:r>
          </w:p>
        </w:tc>
        <w:tc>
          <w:tcPr>
            <w:tcW w:w="1701" w:type="dxa"/>
            <w:vAlign w:val="center"/>
          </w:tcPr>
          <w:p>
            <w:pPr>
              <w:jc w:val="center"/>
              <w:rPr>
                <w:rFonts w:cs="Times New Roman"/>
                <w:szCs w:val="21"/>
              </w:rPr>
            </w:pPr>
          </w:p>
        </w:tc>
        <w:tc>
          <w:tcPr>
            <w:tcW w:w="1605" w:type="dxa"/>
            <w:vAlign w:val="center"/>
          </w:tcPr>
          <w:p>
            <w:pPr>
              <w:jc w:val="center"/>
              <w:rPr>
                <w:rFonts w:cs="Times New Roman"/>
                <w:szCs w:val="21"/>
              </w:rPr>
            </w:pPr>
          </w:p>
        </w:tc>
        <w:tc>
          <w:tcPr>
            <w:tcW w:w="1796" w:type="dxa"/>
            <w:vAlign w:val="center"/>
          </w:tcPr>
          <w:p>
            <w:pPr>
              <w:jc w:val="center"/>
              <w:rPr>
                <w:rFonts w:cs="Times New Roman"/>
                <w:szCs w:val="21"/>
              </w:rPr>
            </w:pPr>
          </w:p>
        </w:tc>
        <w:tc>
          <w:tcPr>
            <w:tcW w:w="1795" w:type="dxa"/>
            <w:vAlign w:val="center"/>
          </w:tcPr>
          <w:p>
            <w:pPr>
              <w:jc w:val="center"/>
              <w:rPr>
                <w:rFonts w:cs="Times New Roman"/>
                <w:szCs w:val="21"/>
              </w:rPr>
            </w:pPr>
            <w:r>
              <w:rPr>
                <w:rFonts w:hint="eastAsia" w:cs="Times New Roman"/>
                <w:szCs w:val="21"/>
              </w:rPr>
              <w:t>/</w:t>
            </w:r>
          </w:p>
        </w:tc>
        <w:tc>
          <w:tcPr>
            <w:tcW w:w="1796" w:type="dxa"/>
            <w:vAlign w:val="center"/>
          </w:tcPr>
          <w:p>
            <w:pPr>
              <w:jc w:val="center"/>
              <w:rPr>
                <w:rFonts w:cs="Times New Roman"/>
                <w:szCs w:val="21"/>
              </w:rPr>
            </w:pPr>
          </w:p>
        </w:tc>
        <w:tc>
          <w:tcPr>
            <w:tcW w:w="1796" w:type="dxa"/>
            <w:vAlign w:val="center"/>
          </w:tcPr>
          <w:p>
            <w:pPr>
              <w:jc w:val="center"/>
              <w:rPr>
                <w:rFonts w:cs="Times New Roman"/>
                <w:szCs w:val="21"/>
              </w:rPr>
            </w:pPr>
            <w:r>
              <w:rPr>
                <w:rFonts w:hint="eastAsia" w:cs="Times New Roman"/>
                <w:szCs w:val="21"/>
              </w:rPr>
              <w:t>/</w:t>
            </w:r>
          </w:p>
        </w:tc>
        <w:tc>
          <w:tcPr>
            <w:tcW w:w="957" w:type="dxa"/>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jc w:val="center"/>
              <w:rPr>
                <w:rFonts w:cs="Times New Roman"/>
                <w:szCs w:val="21"/>
              </w:rPr>
            </w:pPr>
          </w:p>
        </w:tc>
        <w:tc>
          <w:tcPr>
            <w:tcW w:w="1701" w:type="dxa"/>
            <w:vAlign w:val="center"/>
          </w:tcPr>
          <w:p>
            <w:pPr>
              <w:jc w:val="center"/>
              <w:rPr>
                <w:rFonts w:cs="Times New Roman"/>
                <w:szCs w:val="21"/>
              </w:rPr>
            </w:pPr>
            <w:r>
              <w:rPr>
                <w:rFonts w:hint="eastAsia" w:cs="Times New Roman"/>
                <w:szCs w:val="21"/>
              </w:rPr>
              <w:t>/</w:t>
            </w:r>
          </w:p>
        </w:tc>
        <w:tc>
          <w:tcPr>
            <w:tcW w:w="1701" w:type="dxa"/>
            <w:vAlign w:val="center"/>
          </w:tcPr>
          <w:p>
            <w:pPr>
              <w:jc w:val="center"/>
              <w:rPr>
                <w:rFonts w:cs="Times New Roman"/>
                <w:szCs w:val="21"/>
              </w:rPr>
            </w:pPr>
          </w:p>
        </w:tc>
        <w:tc>
          <w:tcPr>
            <w:tcW w:w="1605" w:type="dxa"/>
            <w:vAlign w:val="center"/>
          </w:tcPr>
          <w:p>
            <w:pPr>
              <w:jc w:val="center"/>
              <w:rPr>
                <w:rFonts w:cs="Times New Roman"/>
                <w:szCs w:val="21"/>
              </w:rPr>
            </w:pPr>
          </w:p>
        </w:tc>
        <w:tc>
          <w:tcPr>
            <w:tcW w:w="1796" w:type="dxa"/>
            <w:vAlign w:val="center"/>
          </w:tcPr>
          <w:p>
            <w:pPr>
              <w:jc w:val="center"/>
              <w:rPr>
                <w:rFonts w:cs="Times New Roman"/>
                <w:szCs w:val="21"/>
              </w:rPr>
            </w:pPr>
          </w:p>
        </w:tc>
        <w:tc>
          <w:tcPr>
            <w:tcW w:w="1795" w:type="dxa"/>
            <w:vAlign w:val="center"/>
          </w:tcPr>
          <w:p>
            <w:pPr>
              <w:jc w:val="center"/>
              <w:rPr>
                <w:rFonts w:cs="Times New Roman"/>
                <w:szCs w:val="21"/>
              </w:rPr>
            </w:pPr>
            <w:r>
              <w:rPr>
                <w:rFonts w:hint="eastAsia" w:cs="Times New Roman"/>
                <w:szCs w:val="21"/>
              </w:rPr>
              <w:t>/</w:t>
            </w:r>
          </w:p>
        </w:tc>
        <w:tc>
          <w:tcPr>
            <w:tcW w:w="1796" w:type="dxa"/>
            <w:vAlign w:val="center"/>
          </w:tcPr>
          <w:p>
            <w:pPr>
              <w:jc w:val="center"/>
              <w:rPr>
                <w:rFonts w:cs="Times New Roman"/>
                <w:szCs w:val="21"/>
              </w:rPr>
            </w:pPr>
          </w:p>
        </w:tc>
        <w:tc>
          <w:tcPr>
            <w:tcW w:w="1796" w:type="dxa"/>
            <w:vAlign w:val="center"/>
          </w:tcPr>
          <w:p>
            <w:pPr>
              <w:jc w:val="center"/>
              <w:rPr>
                <w:rFonts w:cs="Times New Roman"/>
                <w:szCs w:val="21"/>
              </w:rPr>
            </w:pPr>
            <w:r>
              <w:rPr>
                <w:rFonts w:hint="eastAsia" w:cs="Times New Roman"/>
                <w:szCs w:val="21"/>
              </w:rPr>
              <w:t>/</w:t>
            </w:r>
          </w:p>
        </w:tc>
        <w:tc>
          <w:tcPr>
            <w:tcW w:w="957" w:type="dxa"/>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restart"/>
            <w:vAlign w:val="center"/>
          </w:tcPr>
          <w:p>
            <w:pPr>
              <w:jc w:val="center"/>
              <w:rPr>
                <w:rFonts w:cs="Times New Roman"/>
                <w:szCs w:val="21"/>
              </w:rPr>
            </w:pPr>
            <w:r>
              <w:rPr>
                <w:rFonts w:cs="Times New Roman"/>
                <w:szCs w:val="21"/>
              </w:rPr>
              <w:t>废水</w:t>
            </w:r>
          </w:p>
        </w:tc>
        <w:tc>
          <w:tcPr>
            <w:tcW w:w="1701" w:type="dxa"/>
            <w:vAlign w:val="center"/>
          </w:tcPr>
          <w:p>
            <w:pPr>
              <w:jc w:val="center"/>
              <w:rPr>
                <w:rFonts w:cs="Times New Roman"/>
                <w:szCs w:val="21"/>
              </w:rPr>
            </w:pPr>
            <w:r>
              <w:rPr>
                <w:rFonts w:cs="Times New Roman"/>
                <w:szCs w:val="21"/>
              </w:rPr>
              <w:t>废水量</w:t>
            </w:r>
          </w:p>
        </w:tc>
        <w:tc>
          <w:tcPr>
            <w:tcW w:w="1701" w:type="dxa"/>
            <w:vAlign w:val="center"/>
          </w:tcPr>
          <w:p>
            <w:pPr>
              <w:jc w:val="center"/>
              <w:rPr>
                <w:rFonts w:cs="Times New Roman"/>
                <w:szCs w:val="21"/>
              </w:rPr>
            </w:pPr>
          </w:p>
        </w:tc>
        <w:tc>
          <w:tcPr>
            <w:tcW w:w="1605" w:type="dxa"/>
            <w:vAlign w:val="center"/>
          </w:tcPr>
          <w:p>
            <w:pPr>
              <w:jc w:val="center"/>
              <w:rPr>
                <w:rFonts w:cs="Times New Roman"/>
                <w:szCs w:val="21"/>
              </w:rPr>
            </w:pPr>
          </w:p>
        </w:tc>
        <w:tc>
          <w:tcPr>
            <w:tcW w:w="1796" w:type="dxa"/>
            <w:vAlign w:val="center"/>
          </w:tcPr>
          <w:p>
            <w:pPr>
              <w:jc w:val="center"/>
              <w:rPr>
                <w:rFonts w:cs="Times New Roman"/>
                <w:szCs w:val="21"/>
              </w:rPr>
            </w:pPr>
          </w:p>
        </w:tc>
        <w:tc>
          <w:tcPr>
            <w:tcW w:w="1795" w:type="dxa"/>
            <w:vAlign w:val="center"/>
          </w:tcPr>
          <w:p>
            <w:pPr>
              <w:jc w:val="center"/>
              <w:rPr>
                <w:rFonts w:hint="default" w:eastAsia="宋体" w:cs="Times New Roman"/>
                <w:color w:val="auto"/>
                <w:szCs w:val="21"/>
                <w:lang w:val="en-US" w:eastAsia="zh-CN"/>
              </w:rPr>
            </w:pPr>
            <w:r>
              <w:rPr>
                <w:rFonts w:hint="eastAsia" w:cs="Times New Roman"/>
                <w:color w:val="auto"/>
                <w:szCs w:val="21"/>
                <w:lang w:val="en-US" w:eastAsia="zh-CN"/>
              </w:rPr>
              <w:t>2546.24</w:t>
            </w:r>
          </w:p>
        </w:tc>
        <w:tc>
          <w:tcPr>
            <w:tcW w:w="1796" w:type="dxa"/>
            <w:vAlign w:val="center"/>
          </w:tcPr>
          <w:p>
            <w:pPr>
              <w:jc w:val="center"/>
              <w:rPr>
                <w:rFonts w:cs="Times New Roman"/>
                <w:color w:val="auto"/>
                <w:szCs w:val="21"/>
              </w:rPr>
            </w:pPr>
          </w:p>
        </w:tc>
        <w:tc>
          <w:tcPr>
            <w:tcW w:w="1796" w:type="dxa"/>
            <w:vAlign w:val="center"/>
          </w:tcPr>
          <w:p>
            <w:pPr>
              <w:jc w:val="center"/>
              <w:rPr>
                <w:rFonts w:cs="Times New Roman"/>
                <w:color w:val="auto"/>
                <w:szCs w:val="21"/>
              </w:rPr>
            </w:pPr>
            <w:r>
              <w:rPr>
                <w:rFonts w:hint="eastAsia" w:cs="Times New Roman"/>
                <w:color w:val="auto"/>
                <w:szCs w:val="21"/>
                <w:lang w:val="en-US" w:eastAsia="zh-CN"/>
              </w:rPr>
              <w:t>2546.24</w:t>
            </w:r>
          </w:p>
        </w:tc>
        <w:tc>
          <w:tcPr>
            <w:tcW w:w="957" w:type="dxa"/>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jc w:val="center"/>
              <w:rPr>
                <w:rFonts w:cs="Times New Roman"/>
                <w:szCs w:val="21"/>
              </w:rPr>
            </w:pPr>
          </w:p>
        </w:tc>
        <w:tc>
          <w:tcPr>
            <w:tcW w:w="1701" w:type="dxa"/>
            <w:vAlign w:val="center"/>
          </w:tcPr>
          <w:p>
            <w:pPr>
              <w:jc w:val="center"/>
              <w:rPr>
                <w:rFonts w:cs="Times New Roman"/>
                <w:szCs w:val="21"/>
              </w:rPr>
            </w:pPr>
            <w:r>
              <w:rPr>
                <w:rFonts w:cs="Times New Roman"/>
                <w:szCs w:val="21"/>
              </w:rPr>
              <w:t>COD</w:t>
            </w:r>
          </w:p>
        </w:tc>
        <w:tc>
          <w:tcPr>
            <w:tcW w:w="1701" w:type="dxa"/>
            <w:vAlign w:val="center"/>
          </w:tcPr>
          <w:p>
            <w:pPr>
              <w:jc w:val="center"/>
              <w:rPr>
                <w:rFonts w:cs="Times New Roman"/>
                <w:szCs w:val="21"/>
              </w:rPr>
            </w:pPr>
          </w:p>
        </w:tc>
        <w:tc>
          <w:tcPr>
            <w:tcW w:w="1605" w:type="dxa"/>
            <w:vAlign w:val="center"/>
          </w:tcPr>
          <w:p>
            <w:pPr>
              <w:jc w:val="center"/>
              <w:rPr>
                <w:rFonts w:cs="Times New Roman"/>
                <w:szCs w:val="21"/>
              </w:rPr>
            </w:pPr>
          </w:p>
        </w:tc>
        <w:tc>
          <w:tcPr>
            <w:tcW w:w="1796" w:type="dxa"/>
            <w:vAlign w:val="center"/>
          </w:tcPr>
          <w:p>
            <w:pPr>
              <w:jc w:val="center"/>
              <w:rPr>
                <w:rFonts w:cs="Times New Roman"/>
                <w:szCs w:val="21"/>
              </w:rPr>
            </w:pPr>
          </w:p>
        </w:tc>
        <w:tc>
          <w:tcPr>
            <w:tcW w:w="1795" w:type="dxa"/>
            <w:vAlign w:val="center"/>
          </w:tcPr>
          <w:p>
            <w:pPr>
              <w:jc w:val="center"/>
              <w:rPr>
                <w:rFonts w:hint="default" w:eastAsia="宋体" w:cs="Times New Roman"/>
                <w:color w:val="auto"/>
                <w:szCs w:val="21"/>
                <w:lang w:val="en-US" w:eastAsia="zh-CN"/>
              </w:rPr>
            </w:pPr>
            <w:r>
              <w:rPr>
                <w:rFonts w:hint="eastAsia" w:cs="Times New Roman"/>
                <w:color w:val="auto"/>
                <w:szCs w:val="21"/>
                <w:lang w:val="en-US" w:eastAsia="zh-CN"/>
              </w:rPr>
              <w:t>0.3328</w:t>
            </w:r>
          </w:p>
        </w:tc>
        <w:tc>
          <w:tcPr>
            <w:tcW w:w="1796" w:type="dxa"/>
            <w:vAlign w:val="center"/>
          </w:tcPr>
          <w:p>
            <w:pPr>
              <w:jc w:val="center"/>
              <w:rPr>
                <w:rFonts w:cs="Times New Roman"/>
                <w:color w:val="auto"/>
                <w:szCs w:val="21"/>
              </w:rPr>
            </w:pPr>
          </w:p>
        </w:tc>
        <w:tc>
          <w:tcPr>
            <w:tcW w:w="1796" w:type="dxa"/>
            <w:vAlign w:val="center"/>
          </w:tcPr>
          <w:p>
            <w:pPr>
              <w:jc w:val="center"/>
              <w:rPr>
                <w:rFonts w:cs="Times New Roman"/>
                <w:color w:val="auto"/>
                <w:szCs w:val="21"/>
              </w:rPr>
            </w:pPr>
            <w:r>
              <w:rPr>
                <w:rFonts w:hint="eastAsia" w:cs="Times New Roman"/>
                <w:color w:val="auto"/>
                <w:szCs w:val="21"/>
                <w:lang w:val="en-US" w:eastAsia="zh-CN"/>
              </w:rPr>
              <w:t>0.3328</w:t>
            </w:r>
          </w:p>
        </w:tc>
        <w:tc>
          <w:tcPr>
            <w:tcW w:w="957" w:type="dxa"/>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413" w:type="dxa"/>
            <w:vMerge w:val="continue"/>
            <w:vAlign w:val="center"/>
          </w:tcPr>
          <w:p>
            <w:pPr>
              <w:jc w:val="center"/>
              <w:rPr>
                <w:rFonts w:cs="Times New Roman"/>
                <w:szCs w:val="21"/>
              </w:rPr>
            </w:pPr>
          </w:p>
        </w:tc>
        <w:tc>
          <w:tcPr>
            <w:tcW w:w="1701" w:type="dxa"/>
            <w:vAlign w:val="center"/>
          </w:tcPr>
          <w:p>
            <w:pPr>
              <w:jc w:val="center"/>
              <w:rPr>
                <w:rFonts w:cs="Times New Roman"/>
                <w:szCs w:val="21"/>
              </w:rPr>
            </w:pPr>
            <w:r>
              <w:rPr>
                <w:rFonts w:cs="Times New Roman"/>
                <w:szCs w:val="21"/>
              </w:rPr>
              <w:t>NH</w:t>
            </w:r>
            <w:r>
              <w:rPr>
                <w:rFonts w:cs="Times New Roman"/>
                <w:szCs w:val="21"/>
                <w:vertAlign w:val="subscript"/>
              </w:rPr>
              <w:t>3</w:t>
            </w:r>
            <w:r>
              <w:rPr>
                <w:rFonts w:hint="eastAsia" w:cs="Times New Roman"/>
                <w:szCs w:val="21"/>
              </w:rPr>
              <w:t>-</w:t>
            </w:r>
            <w:r>
              <w:rPr>
                <w:rFonts w:cs="Times New Roman"/>
                <w:szCs w:val="21"/>
              </w:rPr>
              <w:t>N</w:t>
            </w:r>
          </w:p>
        </w:tc>
        <w:tc>
          <w:tcPr>
            <w:tcW w:w="1701" w:type="dxa"/>
            <w:vAlign w:val="center"/>
          </w:tcPr>
          <w:p>
            <w:pPr>
              <w:jc w:val="center"/>
              <w:rPr>
                <w:rFonts w:cs="Times New Roman"/>
                <w:szCs w:val="21"/>
              </w:rPr>
            </w:pPr>
          </w:p>
        </w:tc>
        <w:tc>
          <w:tcPr>
            <w:tcW w:w="1605" w:type="dxa"/>
            <w:vAlign w:val="center"/>
          </w:tcPr>
          <w:p>
            <w:pPr>
              <w:jc w:val="center"/>
              <w:rPr>
                <w:rFonts w:cs="Times New Roman"/>
                <w:szCs w:val="21"/>
              </w:rPr>
            </w:pPr>
          </w:p>
        </w:tc>
        <w:tc>
          <w:tcPr>
            <w:tcW w:w="1796" w:type="dxa"/>
            <w:vAlign w:val="center"/>
          </w:tcPr>
          <w:p>
            <w:pPr>
              <w:jc w:val="center"/>
              <w:rPr>
                <w:rFonts w:cs="Times New Roman"/>
                <w:szCs w:val="21"/>
              </w:rPr>
            </w:pPr>
          </w:p>
        </w:tc>
        <w:tc>
          <w:tcPr>
            <w:tcW w:w="1795" w:type="dxa"/>
            <w:vAlign w:val="center"/>
          </w:tcPr>
          <w:p>
            <w:pPr>
              <w:jc w:val="center"/>
              <w:rPr>
                <w:rFonts w:hint="default" w:eastAsia="宋体" w:cs="Times New Roman"/>
                <w:color w:val="auto"/>
                <w:szCs w:val="21"/>
                <w:lang w:val="en-US" w:eastAsia="zh-CN"/>
              </w:rPr>
            </w:pPr>
            <w:r>
              <w:rPr>
                <w:rFonts w:hint="eastAsia" w:cs="Times New Roman"/>
                <w:color w:val="auto"/>
                <w:szCs w:val="21"/>
                <w:lang w:val="en-US" w:eastAsia="zh-CN"/>
              </w:rPr>
              <w:t>0.041</w:t>
            </w:r>
          </w:p>
        </w:tc>
        <w:tc>
          <w:tcPr>
            <w:tcW w:w="1796" w:type="dxa"/>
            <w:vAlign w:val="center"/>
          </w:tcPr>
          <w:p>
            <w:pPr>
              <w:jc w:val="center"/>
              <w:rPr>
                <w:rFonts w:cs="Times New Roman"/>
                <w:color w:val="auto"/>
                <w:szCs w:val="21"/>
              </w:rPr>
            </w:pPr>
          </w:p>
        </w:tc>
        <w:tc>
          <w:tcPr>
            <w:tcW w:w="1796" w:type="dxa"/>
            <w:vAlign w:val="center"/>
          </w:tcPr>
          <w:p>
            <w:pPr>
              <w:jc w:val="center"/>
              <w:rPr>
                <w:rFonts w:cs="Times New Roman"/>
                <w:color w:val="auto"/>
                <w:szCs w:val="21"/>
              </w:rPr>
            </w:pPr>
            <w:r>
              <w:rPr>
                <w:rFonts w:hint="eastAsia" w:cs="Times New Roman"/>
                <w:color w:val="auto"/>
                <w:szCs w:val="21"/>
                <w:lang w:val="en-US" w:eastAsia="zh-CN"/>
              </w:rPr>
              <w:t>0.041</w:t>
            </w:r>
          </w:p>
        </w:tc>
        <w:tc>
          <w:tcPr>
            <w:tcW w:w="957" w:type="dxa"/>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jc w:val="center"/>
              <w:rPr>
                <w:rFonts w:cs="Times New Roman"/>
                <w:szCs w:val="21"/>
              </w:rPr>
            </w:pPr>
          </w:p>
        </w:tc>
        <w:tc>
          <w:tcPr>
            <w:tcW w:w="1701" w:type="dxa"/>
            <w:vAlign w:val="center"/>
          </w:tcPr>
          <w:p>
            <w:pPr>
              <w:jc w:val="center"/>
              <w:rPr>
                <w:rFonts w:cs="Times New Roman"/>
                <w:szCs w:val="21"/>
              </w:rPr>
            </w:pPr>
            <w:r>
              <w:rPr>
                <w:rFonts w:cs="Times New Roman"/>
                <w:szCs w:val="21"/>
              </w:rPr>
              <w:t>TP</w:t>
            </w:r>
          </w:p>
        </w:tc>
        <w:tc>
          <w:tcPr>
            <w:tcW w:w="1701" w:type="dxa"/>
            <w:vAlign w:val="center"/>
          </w:tcPr>
          <w:p>
            <w:pPr>
              <w:jc w:val="center"/>
              <w:rPr>
                <w:rFonts w:cs="Times New Roman"/>
                <w:szCs w:val="21"/>
              </w:rPr>
            </w:pPr>
          </w:p>
        </w:tc>
        <w:tc>
          <w:tcPr>
            <w:tcW w:w="1605" w:type="dxa"/>
            <w:vAlign w:val="center"/>
          </w:tcPr>
          <w:p>
            <w:pPr>
              <w:jc w:val="center"/>
              <w:rPr>
                <w:rFonts w:cs="Times New Roman"/>
                <w:szCs w:val="21"/>
              </w:rPr>
            </w:pPr>
          </w:p>
        </w:tc>
        <w:tc>
          <w:tcPr>
            <w:tcW w:w="1796" w:type="dxa"/>
            <w:vAlign w:val="center"/>
          </w:tcPr>
          <w:p>
            <w:pPr>
              <w:jc w:val="center"/>
              <w:rPr>
                <w:rFonts w:cs="Times New Roman"/>
                <w:szCs w:val="21"/>
              </w:rPr>
            </w:pPr>
          </w:p>
        </w:tc>
        <w:tc>
          <w:tcPr>
            <w:tcW w:w="1795" w:type="dxa"/>
            <w:vAlign w:val="center"/>
          </w:tcPr>
          <w:p>
            <w:pPr>
              <w:jc w:val="center"/>
              <w:rPr>
                <w:rFonts w:hint="default" w:eastAsia="宋体" w:cs="Times New Roman"/>
                <w:color w:val="auto"/>
                <w:szCs w:val="21"/>
                <w:lang w:val="en-US" w:eastAsia="zh-CN"/>
              </w:rPr>
            </w:pPr>
            <w:r>
              <w:rPr>
                <w:rFonts w:hint="eastAsia" w:cs="Times New Roman"/>
                <w:color w:val="auto"/>
                <w:szCs w:val="21"/>
                <w:lang w:val="en-US" w:eastAsia="zh-CN"/>
              </w:rPr>
              <w:t>0.0052</w:t>
            </w:r>
          </w:p>
        </w:tc>
        <w:tc>
          <w:tcPr>
            <w:tcW w:w="1796" w:type="dxa"/>
            <w:vAlign w:val="center"/>
          </w:tcPr>
          <w:p>
            <w:pPr>
              <w:jc w:val="center"/>
              <w:rPr>
                <w:rFonts w:cs="Times New Roman"/>
                <w:color w:val="auto"/>
                <w:szCs w:val="21"/>
              </w:rPr>
            </w:pPr>
          </w:p>
        </w:tc>
        <w:tc>
          <w:tcPr>
            <w:tcW w:w="1796" w:type="dxa"/>
            <w:vAlign w:val="center"/>
          </w:tcPr>
          <w:p>
            <w:pPr>
              <w:jc w:val="center"/>
              <w:rPr>
                <w:rFonts w:cs="Times New Roman"/>
                <w:color w:val="auto"/>
                <w:szCs w:val="21"/>
              </w:rPr>
            </w:pPr>
            <w:r>
              <w:rPr>
                <w:rFonts w:hint="eastAsia" w:cs="Times New Roman"/>
                <w:color w:val="auto"/>
                <w:szCs w:val="21"/>
                <w:lang w:val="en-US" w:eastAsia="zh-CN"/>
              </w:rPr>
              <w:t>0.0052</w:t>
            </w:r>
          </w:p>
        </w:tc>
        <w:tc>
          <w:tcPr>
            <w:tcW w:w="957" w:type="dxa"/>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restart"/>
            <w:vAlign w:val="center"/>
          </w:tcPr>
          <w:p>
            <w:pPr>
              <w:jc w:val="center"/>
              <w:rPr>
                <w:rFonts w:cs="Times New Roman"/>
                <w:szCs w:val="21"/>
              </w:rPr>
            </w:pPr>
            <w:r>
              <w:rPr>
                <w:rFonts w:cs="Times New Roman"/>
                <w:szCs w:val="21"/>
              </w:rPr>
              <w:t>一般工业</w:t>
            </w:r>
          </w:p>
          <w:p>
            <w:pPr>
              <w:jc w:val="center"/>
              <w:rPr>
                <w:rFonts w:cs="Times New Roman"/>
                <w:szCs w:val="21"/>
              </w:rPr>
            </w:pPr>
            <w:r>
              <w:rPr>
                <w:rFonts w:cs="Times New Roman"/>
                <w:szCs w:val="21"/>
              </w:rPr>
              <w:t>固体废物</w:t>
            </w:r>
          </w:p>
        </w:tc>
        <w:tc>
          <w:tcPr>
            <w:tcW w:w="1701" w:type="dxa"/>
            <w:vAlign w:val="center"/>
          </w:tcPr>
          <w:p>
            <w:pPr>
              <w:jc w:val="center"/>
              <w:rPr>
                <w:szCs w:val="21"/>
              </w:rPr>
            </w:pPr>
            <w:r>
              <w:rPr>
                <w:rFonts w:hint="eastAsia"/>
                <w:szCs w:val="21"/>
              </w:rPr>
              <w:t>污泥</w:t>
            </w:r>
          </w:p>
        </w:tc>
        <w:tc>
          <w:tcPr>
            <w:tcW w:w="1701" w:type="dxa"/>
            <w:vAlign w:val="center"/>
          </w:tcPr>
          <w:p>
            <w:pPr>
              <w:jc w:val="center"/>
              <w:rPr>
                <w:rFonts w:cs="Times New Roman"/>
                <w:szCs w:val="21"/>
              </w:rPr>
            </w:pPr>
          </w:p>
        </w:tc>
        <w:tc>
          <w:tcPr>
            <w:tcW w:w="1605" w:type="dxa"/>
            <w:vAlign w:val="center"/>
          </w:tcPr>
          <w:p>
            <w:pPr>
              <w:jc w:val="center"/>
              <w:rPr>
                <w:rFonts w:cs="Times New Roman"/>
                <w:szCs w:val="21"/>
              </w:rPr>
            </w:pPr>
          </w:p>
        </w:tc>
        <w:tc>
          <w:tcPr>
            <w:tcW w:w="1796" w:type="dxa"/>
            <w:vAlign w:val="center"/>
          </w:tcPr>
          <w:p>
            <w:pPr>
              <w:jc w:val="center"/>
              <w:rPr>
                <w:rFonts w:cs="Times New Roman"/>
                <w:szCs w:val="21"/>
              </w:rPr>
            </w:pPr>
          </w:p>
        </w:tc>
        <w:tc>
          <w:tcPr>
            <w:tcW w:w="1795" w:type="dxa"/>
            <w:vAlign w:val="center"/>
          </w:tcPr>
          <w:p>
            <w:pPr>
              <w:jc w:val="center"/>
              <w:rPr>
                <w:rFonts w:hint="default" w:eastAsia="宋体"/>
                <w:color w:val="auto"/>
                <w:szCs w:val="21"/>
                <w:lang w:val="en-US" w:eastAsia="zh-CN"/>
              </w:rPr>
            </w:pPr>
            <w:r>
              <w:rPr>
                <w:rFonts w:hint="eastAsia"/>
                <w:color w:val="auto"/>
                <w:szCs w:val="21"/>
                <w:lang w:val="en-US" w:eastAsia="zh-CN"/>
              </w:rPr>
              <w:t>931.5</w:t>
            </w:r>
          </w:p>
        </w:tc>
        <w:tc>
          <w:tcPr>
            <w:tcW w:w="1796" w:type="dxa"/>
            <w:vAlign w:val="center"/>
          </w:tcPr>
          <w:p>
            <w:pPr>
              <w:jc w:val="center"/>
              <w:rPr>
                <w:rFonts w:cs="Times New Roman"/>
                <w:color w:val="auto"/>
                <w:szCs w:val="21"/>
              </w:rPr>
            </w:pPr>
          </w:p>
        </w:tc>
        <w:tc>
          <w:tcPr>
            <w:tcW w:w="1796" w:type="dxa"/>
            <w:vAlign w:val="center"/>
          </w:tcPr>
          <w:p>
            <w:pPr>
              <w:jc w:val="center"/>
              <w:rPr>
                <w:rFonts w:hint="default" w:eastAsia="宋体"/>
                <w:color w:val="auto"/>
                <w:szCs w:val="21"/>
                <w:lang w:val="en-US" w:eastAsia="zh-CN"/>
              </w:rPr>
            </w:pPr>
            <w:r>
              <w:rPr>
                <w:rFonts w:hint="eastAsia"/>
                <w:color w:val="auto"/>
                <w:szCs w:val="21"/>
                <w:lang w:val="en-US" w:eastAsia="zh-CN"/>
              </w:rPr>
              <w:t>931.5</w:t>
            </w:r>
          </w:p>
        </w:tc>
        <w:tc>
          <w:tcPr>
            <w:tcW w:w="957" w:type="dxa"/>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jc w:val="center"/>
              <w:rPr>
                <w:rFonts w:cs="Times New Roman"/>
                <w:szCs w:val="21"/>
              </w:rPr>
            </w:pPr>
          </w:p>
        </w:tc>
        <w:tc>
          <w:tcPr>
            <w:tcW w:w="1701" w:type="dxa"/>
            <w:vAlign w:val="center"/>
          </w:tcPr>
          <w:p>
            <w:pPr>
              <w:jc w:val="center"/>
              <w:rPr>
                <w:szCs w:val="21"/>
              </w:rPr>
            </w:pPr>
            <w:r>
              <w:rPr>
                <w:rFonts w:hint="eastAsia"/>
                <w:szCs w:val="21"/>
              </w:rPr>
              <w:t>废活性炭</w:t>
            </w:r>
          </w:p>
        </w:tc>
        <w:tc>
          <w:tcPr>
            <w:tcW w:w="1701" w:type="dxa"/>
            <w:vAlign w:val="center"/>
          </w:tcPr>
          <w:p>
            <w:pPr>
              <w:jc w:val="center"/>
              <w:rPr>
                <w:rFonts w:cs="Times New Roman"/>
                <w:szCs w:val="21"/>
              </w:rPr>
            </w:pPr>
          </w:p>
        </w:tc>
        <w:tc>
          <w:tcPr>
            <w:tcW w:w="1605" w:type="dxa"/>
            <w:vAlign w:val="center"/>
          </w:tcPr>
          <w:p>
            <w:pPr>
              <w:jc w:val="center"/>
              <w:rPr>
                <w:rFonts w:cs="Times New Roman"/>
                <w:szCs w:val="21"/>
              </w:rPr>
            </w:pPr>
          </w:p>
        </w:tc>
        <w:tc>
          <w:tcPr>
            <w:tcW w:w="1796" w:type="dxa"/>
            <w:vAlign w:val="center"/>
          </w:tcPr>
          <w:p>
            <w:pPr>
              <w:jc w:val="center"/>
              <w:rPr>
                <w:rFonts w:cs="Times New Roman"/>
                <w:szCs w:val="21"/>
              </w:rPr>
            </w:pPr>
          </w:p>
        </w:tc>
        <w:tc>
          <w:tcPr>
            <w:tcW w:w="1795" w:type="dxa"/>
            <w:vAlign w:val="center"/>
          </w:tcPr>
          <w:p>
            <w:pPr>
              <w:jc w:val="center"/>
              <w:rPr>
                <w:color w:val="auto"/>
                <w:szCs w:val="21"/>
              </w:rPr>
            </w:pPr>
            <w:r>
              <w:rPr>
                <w:rFonts w:hint="eastAsia"/>
                <w:color w:val="auto"/>
                <w:szCs w:val="21"/>
              </w:rPr>
              <w:t>2</w:t>
            </w:r>
            <w:r>
              <w:rPr>
                <w:color w:val="auto"/>
                <w:szCs w:val="21"/>
              </w:rPr>
              <w:t>.34</w:t>
            </w:r>
          </w:p>
        </w:tc>
        <w:tc>
          <w:tcPr>
            <w:tcW w:w="1796" w:type="dxa"/>
            <w:vAlign w:val="center"/>
          </w:tcPr>
          <w:p>
            <w:pPr>
              <w:jc w:val="center"/>
              <w:rPr>
                <w:rFonts w:cs="Times New Roman"/>
                <w:color w:val="auto"/>
                <w:szCs w:val="21"/>
              </w:rPr>
            </w:pPr>
          </w:p>
        </w:tc>
        <w:tc>
          <w:tcPr>
            <w:tcW w:w="1796" w:type="dxa"/>
            <w:vAlign w:val="center"/>
          </w:tcPr>
          <w:p>
            <w:pPr>
              <w:jc w:val="center"/>
              <w:rPr>
                <w:color w:val="auto"/>
                <w:szCs w:val="21"/>
              </w:rPr>
            </w:pPr>
            <w:r>
              <w:rPr>
                <w:rFonts w:hint="eastAsia"/>
                <w:color w:val="auto"/>
                <w:szCs w:val="21"/>
              </w:rPr>
              <w:t>2</w:t>
            </w:r>
            <w:r>
              <w:rPr>
                <w:color w:val="auto"/>
                <w:szCs w:val="21"/>
              </w:rPr>
              <w:t>.34</w:t>
            </w:r>
          </w:p>
        </w:tc>
        <w:tc>
          <w:tcPr>
            <w:tcW w:w="95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jc w:val="center"/>
              <w:rPr>
                <w:rFonts w:cs="Times New Roman"/>
                <w:szCs w:val="21"/>
              </w:rPr>
            </w:pPr>
          </w:p>
        </w:tc>
        <w:tc>
          <w:tcPr>
            <w:tcW w:w="1701" w:type="dxa"/>
            <w:vAlign w:val="center"/>
          </w:tcPr>
          <w:p>
            <w:pPr>
              <w:jc w:val="center"/>
              <w:rPr>
                <w:szCs w:val="21"/>
              </w:rPr>
            </w:pPr>
            <w:r>
              <w:rPr>
                <w:rFonts w:hint="eastAsia"/>
                <w:szCs w:val="21"/>
              </w:rPr>
              <w:t>废包装料</w:t>
            </w:r>
          </w:p>
        </w:tc>
        <w:tc>
          <w:tcPr>
            <w:tcW w:w="1701" w:type="dxa"/>
            <w:vAlign w:val="center"/>
          </w:tcPr>
          <w:p>
            <w:pPr>
              <w:jc w:val="center"/>
              <w:rPr>
                <w:rFonts w:cs="Times New Roman"/>
                <w:szCs w:val="21"/>
              </w:rPr>
            </w:pPr>
          </w:p>
        </w:tc>
        <w:tc>
          <w:tcPr>
            <w:tcW w:w="1605" w:type="dxa"/>
            <w:vAlign w:val="center"/>
          </w:tcPr>
          <w:p>
            <w:pPr>
              <w:jc w:val="center"/>
              <w:rPr>
                <w:rFonts w:cs="Times New Roman"/>
                <w:szCs w:val="21"/>
              </w:rPr>
            </w:pPr>
          </w:p>
        </w:tc>
        <w:tc>
          <w:tcPr>
            <w:tcW w:w="1796" w:type="dxa"/>
            <w:vAlign w:val="center"/>
          </w:tcPr>
          <w:p>
            <w:pPr>
              <w:jc w:val="center"/>
              <w:rPr>
                <w:rFonts w:cs="Times New Roman"/>
                <w:szCs w:val="21"/>
              </w:rPr>
            </w:pPr>
          </w:p>
        </w:tc>
        <w:tc>
          <w:tcPr>
            <w:tcW w:w="1795" w:type="dxa"/>
            <w:vAlign w:val="center"/>
          </w:tcPr>
          <w:p>
            <w:pPr>
              <w:jc w:val="center"/>
              <w:rPr>
                <w:color w:val="auto"/>
                <w:szCs w:val="21"/>
              </w:rPr>
            </w:pPr>
            <w:r>
              <w:rPr>
                <w:rFonts w:hint="eastAsia"/>
                <w:color w:val="auto"/>
                <w:szCs w:val="21"/>
              </w:rPr>
              <w:t>0</w:t>
            </w:r>
            <w:r>
              <w:rPr>
                <w:color w:val="auto"/>
                <w:szCs w:val="21"/>
              </w:rPr>
              <w:t>.02</w:t>
            </w:r>
          </w:p>
        </w:tc>
        <w:tc>
          <w:tcPr>
            <w:tcW w:w="1796" w:type="dxa"/>
            <w:vAlign w:val="center"/>
          </w:tcPr>
          <w:p>
            <w:pPr>
              <w:jc w:val="center"/>
              <w:rPr>
                <w:rFonts w:cs="Times New Roman"/>
                <w:color w:val="auto"/>
                <w:szCs w:val="21"/>
              </w:rPr>
            </w:pPr>
          </w:p>
        </w:tc>
        <w:tc>
          <w:tcPr>
            <w:tcW w:w="1796" w:type="dxa"/>
            <w:vAlign w:val="center"/>
          </w:tcPr>
          <w:p>
            <w:pPr>
              <w:jc w:val="center"/>
              <w:rPr>
                <w:color w:val="auto"/>
                <w:szCs w:val="21"/>
              </w:rPr>
            </w:pPr>
            <w:r>
              <w:rPr>
                <w:rFonts w:hint="eastAsia"/>
                <w:color w:val="auto"/>
                <w:szCs w:val="21"/>
              </w:rPr>
              <w:t>0</w:t>
            </w:r>
            <w:r>
              <w:rPr>
                <w:color w:val="auto"/>
                <w:szCs w:val="21"/>
              </w:rPr>
              <w:t>.02</w:t>
            </w:r>
          </w:p>
        </w:tc>
        <w:tc>
          <w:tcPr>
            <w:tcW w:w="957" w:type="dxa"/>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jc w:val="center"/>
              <w:rPr>
                <w:rFonts w:cs="Times New Roman"/>
                <w:szCs w:val="21"/>
              </w:rPr>
            </w:pPr>
          </w:p>
        </w:tc>
        <w:tc>
          <w:tcPr>
            <w:tcW w:w="1701" w:type="dxa"/>
            <w:vAlign w:val="center"/>
          </w:tcPr>
          <w:p>
            <w:pPr>
              <w:jc w:val="center"/>
              <w:rPr>
                <w:szCs w:val="21"/>
              </w:rPr>
            </w:pPr>
            <w:r>
              <w:rPr>
                <w:rFonts w:hint="eastAsia"/>
                <w:szCs w:val="21"/>
              </w:rPr>
              <w:t>生活垃圾</w:t>
            </w:r>
          </w:p>
        </w:tc>
        <w:tc>
          <w:tcPr>
            <w:tcW w:w="1701" w:type="dxa"/>
            <w:vAlign w:val="center"/>
          </w:tcPr>
          <w:p>
            <w:pPr>
              <w:jc w:val="center"/>
              <w:rPr>
                <w:rFonts w:cs="Times New Roman"/>
                <w:szCs w:val="21"/>
              </w:rPr>
            </w:pPr>
          </w:p>
        </w:tc>
        <w:tc>
          <w:tcPr>
            <w:tcW w:w="1605" w:type="dxa"/>
            <w:vAlign w:val="center"/>
          </w:tcPr>
          <w:p>
            <w:pPr>
              <w:jc w:val="center"/>
              <w:rPr>
                <w:rFonts w:cs="Times New Roman"/>
                <w:szCs w:val="21"/>
              </w:rPr>
            </w:pPr>
          </w:p>
        </w:tc>
        <w:tc>
          <w:tcPr>
            <w:tcW w:w="1796" w:type="dxa"/>
            <w:vAlign w:val="center"/>
          </w:tcPr>
          <w:p>
            <w:pPr>
              <w:jc w:val="center"/>
              <w:rPr>
                <w:rFonts w:cs="Times New Roman"/>
                <w:szCs w:val="21"/>
              </w:rPr>
            </w:pPr>
          </w:p>
        </w:tc>
        <w:tc>
          <w:tcPr>
            <w:tcW w:w="1795" w:type="dxa"/>
            <w:vAlign w:val="center"/>
          </w:tcPr>
          <w:p>
            <w:pPr>
              <w:jc w:val="center"/>
              <w:rPr>
                <w:rFonts w:hint="default" w:eastAsia="宋体"/>
                <w:color w:val="auto"/>
                <w:szCs w:val="21"/>
                <w:lang w:val="en-US" w:eastAsia="zh-CN"/>
              </w:rPr>
            </w:pPr>
            <w:r>
              <w:rPr>
                <w:rFonts w:hint="eastAsia"/>
                <w:color w:val="auto"/>
                <w:szCs w:val="21"/>
                <w:lang w:val="en-US" w:eastAsia="zh-CN"/>
              </w:rPr>
              <w:t>1.1</w:t>
            </w:r>
          </w:p>
        </w:tc>
        <w:tc>
          <w:tcPr>
            <w:tcW w:w="1796" w:type="dxa"/>
            <w:vAlign w:val="center"/>
          </w:tcPr>
          <w:p>
            <w:pPr>
              <w:jc w:val="center"/>
              <w:rPr>
                <w:rFonts w:cs="Times New Roman"/>
                <w:color w:val="auto"/>
                <w:szCs w:val="21"/>
              </w:rPr>
            </w:pPr>
          </w:p>
        </w:tc>
        <w:tc>
          <w:tcPr>
            <w:tcW w:w="1796" w:type="dxa"/>
            <w:vAlign w:val="center"/>
          </w:tcPr>
          <w:p>
            <w:pPr>
              <w:jc w:val="center"/>
              <w:rPr>
                <w:rFonts w:hint="default" w:eastAsia="宋体"/>
                <w:color w:val="auto"/>
                <w:szCs w:val="21"/>
                <w:lang w:val="en-US" w:eastAsia="zh-CN"/>
              </w:rPr>
            </w:pPr>
            <w:r>
              <w:rPr>
                <w:rFonts w:hint="eastAsia"/>
                <w:color w:val="auto"/>
                <w:szCs w:val="21"/>
                <w:lang w:val="en-US" w:eastAsia="zh-CN"/>
              </w:rPr>
              <w:t>1.1</w:t>
            </w:r>
          </w:p>
        </w:tc>
        <w:tc>
          <w:tcPr>
            <w:tcW w:w="957" w:type="dxa"/>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restart"/>
            <w:vAlign w:val="center"/>
          </w:tcPr>
          <w:p>
            <w:pPr>
              <w:jc w:val="center"/>
              <w:rPr>
                <w:rFonts w:cs="Times New Roman"/>
                <w:szCs w:val="21"/>
              </w:rPr>
            </w:pPr>
            <w:r>
              <w:rPr>
                <w:rFonts w:cs="Times New Roman"/>
                <w:szCs w:val="21"/>
              </w:rPr>
              <w:t>危险废物</w:t>
            </w:r>
          </w:p>
        </w:tc>
        <w:tc>
          <w:tcPr>
            <w:tcW w:w="1701" w:type="dxa"/>
            <w:vAlign w:val="center"/>
          </w:tcPr>
          <w:p>
            <w:pPr>
              <w:jc w:val="center"/>
              <w:rPr>
                <w:szCs w:val="21"/>
              </w:rPr>
            </w:pPr>
            <w:r>
              <w:rPr>
                <w:rFonts w:hint="eastAsia" w:cs="Times New Roman"/>
                <w:szCs w:val="21"/>
              </w:rPr>
              <w:t>/</w:t>
            </w:r>
          </w:p>
        </w:tc>
        <w:tc>
          <w:tcPr>
            <w:tcW w:w="1701" w:type="dxa"/>
            <w:vAlign w:val="center"/>
          </w:tcPr>
          <w:p>
            <w:pPr>
              <w:jc w:val="center"/>
              <w:rPr>
                <w:rFonts w:cs="Times New Roman"/>
                <w:szCs w:val="21"/>
              </w:rPr>
            </w:pPr>
          </w:p>
        </w:tc>
        <w:tc>
          <w:tcPr>
            <w:tcW w:w="1605" w:type="dxa"/>
            <w:vAlign w:val="center"/>
          </w:tcPr>
          <w:p>
            <w:pPr>
              <w:jc w:val="center"/>
              <w:rPr>
                <w:rFonts w:cs="Times New Roman"/>
                <w:szCs w:val="21"/>
              </w:rPr>
            </w:pPr>
          </w:p>
        </w:tc>
        <w:tc>
          <w:tcPr>
            <w:tcW w:w="1796" w:type="dxa"/>
            <w:vAlign w:val="center"/>
          </w:tcPr>
          <w:p>
            <w:pPr>
              <w:jc w:val="center"/>
              <w:rPr>
                <w:rFonts w:cs="Times New Roman"/>
                <w:szCs w:val="21"/>
              </w:rPr>
            </w:pPr>
          </w:p>
        </w:tc>
        <w:tc>
          <w:tcPr>
            <w:tcW w:w="1795" w:type="dxa"/>
            <w:vAlign w:val="center"/>
          </w:tcPr>
          <w:p>
            <w:pPr>
              <w:jc w:val="center"/>
              <w:rPr>
                <w:rFonts w:cstheme="minorHAnsi"/>
                <w:szCs w:val="21"/>
              </w:rPr>
            </w:pPr>
            <w:r>
              <w:rPr>
                <w:rFonts w:hint="eastAsia" w:cs="Times New Roman"/>
                <w:szCs w:val="21"/>
              </w:rPr>
              <w:t>/</w:t>
            </w:r>
          </w:p>
        </w:tc>
        <w:tc>
          <w:tcPr>
            <w:tcW w:w="1796" w:type="dxa"/>
            <w:vAlign w:val="center"/>
          </w:tcPr>
          <w:p>
            <w:pPr>
              <w:jc w:val="center"/>
              <w:rPr>
                <w:rFonts w:cs="Times New Roman"/>
                <w:szCs w:val="21"/>
              </w:rPr>
            </w:pPr>
          </w:p>
        </w:tc>
        <w:tc>
          <w:tcPr>
            <w:tcW w:w="1796" w:type="dxa"/>
            <w:vAlign w:val="center"/>
          </w:tcPr>
          <w:p>
            <w:pPr>
              <w:jc w:val="center"/>
              <w:rPr>
                <w:rFonts w:cstheme="minorHAnsi"/>
                <w:szCs w:val="21"/>
              </w:rPr>
            </w:pPr>
            <w:r>
              <w:rPr>
                <w:rFonts w:hint="eastAsia" w:cs="Times New Roman"/>
                <w:szCs w:val="21"/>
              </w:rPr>
              <w:t>/</w:t>
            </w:r>
          </w:p>
        </w:tc>
        <w:tc>
          <w:tcPr>
            <w:tcW w:w="957" w:type="dxa"/>
            <w:vAlign w:val="center"/>
          </w:tcPr>
          <w:p>
            <w:pPr>
              <w:jc w:val="cente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jc w:val="center"/>
              <w:rPr>
                <w:rFonts w:cs="Times New Roman"/>
                <w:szCs w:val="21"/>
              </w:rPr>
            </w:pPr>
          </w:p>
        </w:tc>
        <w:tc>
          <w:tcPr>
            <w:tcW w:w="1701" w:type="dxa"/>
            <w:vAlign w:val="center"/>
          </w:tcPr>
          <w:p>
            <w:pPr>
              <w:jc w:val="center"/>
              <w:rPr>
                <w:szCs w:val="21"/>
              </w:rPr>
            </w:pPr>
            <w:r>
              <w:rPr>
                <w:rFonts w:hint="eastAsia" w:cs="Times New Roman"/>
                <w:szCs w:val="21"/>
              </w:rPr>
              <w:t>/</w:t>
            </w:r>
          </w:p>
        </w:tc>
        <w:tc>
          <w:tcPr>
            <w:tcW w:w="1701" w:type="dxa"/>
            <w:vAlign w:val="center"/>
          </w:tcPr>
          <w:p>
            <w:pPr>
              <w:jc w:val="center"/>
              <w:rPr>
                <w:rFonts w:cs="Times New Roman"/>
                <w:szCs w:val="21"/>
              </w:rPr>
            </w:pPr>
          </w:p>
        </w:tc>
        <w:tc>
          <w:tcPr>
            <w:tcW w:w="1605" w:type="dxa"/>
            <w:vAlign w:val="center"/>
          </w:tcPr>
          <w:p>
            <w:pPr>
              <w:jc w:val="center"/>
              <w:rPr>
                <w:rFonts w:cs="Times New Roman"/>
                <w:szCs w:val="21"/>
              </w:rPr>
            </w:pPr>
          </w:p>
        </w:tc>
        <w:tc>
          <w:tcPr>
            <w:tcW w:w="1796" w:type="dxa"/>
            <w:vAlign w:val="center"/>
          </w:tcPr>
          <w:p>
            <w:pPr>
              <w:jc w:val="center"/>
              <w:rPr>
                <w:rFonts w:cs="Times New Roman"/>
                <w:szCs w:val="21"/>
              </w:rPr>
            </w:pPr>
          </w:p>
        </w:tc>
        <w:tc>
          <w:tcPr>
            <w:tcW w:w="1795" w:type="dxa"/>
            <w:vAlign w:val="center"/>
          </w:tcPr>
          <w:p>
            <w:pPr>
              <w:jc w:val="center"/>
              <w:rPr>
                <w:rFonts w:cstheme="minorHAnsi"/>
                <w:szCs w:val="21"/>
              </w:rPr>
            </w:pPr>
            <w:r>
              <w:rPr>
                <w:rFonts w:hint="eastAsia" w:cs="Times New Roman"/>
                <w:szCs w:val="21"/>
              </w:rPr>
              <w:t>/</w:t>
            </w:r>
          </w:p>
        </w:tc>
        <w:tc>
          <w:tcPr>
            <w:tcW w:w="1796" w:type="dxa"/>
            <w:vAlign w:val="center"/>
          </w:tcPr>
          <w:p>
            <w:pPr>
              <w:jc w:val="center"/>
              <w:rPr>
                <w:rFonts w:cs="Times New Roman"/>
                <w:szCs w:val="21"/>
              </w:rPr>
            </w:pPr>
          </w:p>
        </w:tc>
        <w:tc>
          <w:tcPr>
            <w:tcW w:w="1796" w:type="dxa"/>
            <w:vAlign w:val="center"/>
          </w:tcPr>
          <w:p>
            <w:pPr>
              <w:jc w:val="center"/>
              <w:rPr>
                <w:rFonts w:cstheme="minorHAnsi"/>
                <w:szCs w:val="21"/>
              </w:rPr>
            </w:pPr>
            <w:r>
              <w:rPr>
                <w:rFonts w:hint="eastAsia" w:cs="Times New Roman"/>
                <w:szCs w:val="21"/>
              </w:rPr>
              <w:t>/</w:t>
            </w:r>
          </w:p>
        </w:tc>
        <w:tc>
          <w:tcPr>
            <w:tcW w:w="957" w:type="dxa"/>
            <w:vAlign w:val="center"/>
          </w:tcPr>
          <w:p>
            <w:pPr>
              <w:jc w:val="center"/>
              <w:rPr>
                <w:rFonts w:cs="Times New Roman"/>
                <w:szCs w:val="21"/>
              </w:rPr>
            </w:pPr>
          </w:p>
        </w:tc>
      </w:tr>
    </w:tbl>
    <w:p>
      <w:pPr>
        <w:rPr>
          <w:rFonts w:ascii="宋体" w:hAnsi="宋体"/>
          <w:szCs w:val="21"/>
        </w:rPr>
      </w:pPr>
      <w:r>
        <w:rPr>
          <w:rFonts w:hint="eastAsia" w:ascii="宋体" w:hAnsi="宋体"/>
          <w:szCs w:val="21"/>
        </w:rPr>
        <w:t>注：⑥=①+③+④-⑤；⑦=⑥-①；</w:t>
      </w:r>
      <w:r>
        <w:rPr>
          <w:rFonts w:cs="Times New Roman"/>
          <w:szCs w:val="21"/>
        </w:rPr>
        <w:t>单位为</w:t>
      </w:r>
      <w:r>
        <w:rPr>
          <w:rFonts w:hint="eastAsia" w:cs="Times New Roman"/>
          <w:szCs w:val="21"/>
        </w:rPr>
        <w:t>吨</w:t>
      </w:r>
      <w:r>
        <w:rPr>
          <w:rFonts w:cs="Times New Roman"/>
          <w:szCs w:val="21"/>
        </w:rPr>
        <w:t>/年。</w:t>
      </w:r>
    </w:p>
    <w:sectPr>
      <w:pgSz w:w="16838" w:h="11906" w:orient="landscape"/>
      <w:pgMar w:top="1418" w:right="1134" w:bottom="1134"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Arial Unicode MS"/>
    <w:panose1 w:val="00000000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PAGE   \* MERGEFORMAT</w:instrText>
    </w:r>
    <w:r>
      <w:fldChar w:fldCharType="separate"/>
    </w:r>
    <w:r>
      <w:rPr>
        <w:lang w:val="zh-CN"/>
      </w:rPr>
      <w:t>1</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040F82"/>
    <w:multiLevelType w:val="singleLevel"/>
    <w:tmpl w:val="35040F8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20A"/>
    <w:rsid w:val="000006E6"/>
    <w:rsid w:val="00000B5E"/>
    <w:rsid w:val="00000C0A"/>
    <w:rsid w:val="000014A6"/>
    <w:rsid w:val="00001EBA"/>
    <w:rsid w:val="00002A6D"/>
    <w:rsid w:val="00003162"/>
    <w:rsid w:val="000048B8"/>
    <w:rsid w:val="00006ACA"/>
    <w:rsid w:val="00006F6D"/>
    <w:rsid w:val="000078D2"/>
    <w:rsid w:val="00007A0D"/>
    <w:rsid w:val="000103CE"/>
    <w:rsid w:val="00011144"/>
    <w:rsid w:val="00011912"/>
    <w:rsid w:val="00013A3F"/>
    <w:rsid w:val="00013DEB"/>
    <w:rsid w:val="00014371"/>
    <w:rsid w:val="0001444C"/>
    <w:rsid w:val="00014B28"/>
    <w:rsid w:val="00014F13"/>
    <w:rsid w:val="0001552C"/>
    <w:rsid w:val="00016C99"/>
    <w:rsid w:val="00016D8D"/>
    <w:rsid w:val="00017226"/>
    <w:rsid w:val="00017D0D"/>
    <w:rsid w:val="000200E4"/>
    <w:rsid w:val="000202A1"/>
    <w:rsid w:val="000207E9"/>
    <w:rsid w:val="000218AA"/>
    <w:rsid w:val="000235FB"/>
    <w:rsid w:val="00024B9E"/>
    <w:rsid w:val="0002546F"/>
    <w:rsid w:val="00025610"/>
    <w:rsid w:val="00025C9E"/>
    <w:rsid w:val="00025DDA"/>
    <w:rsid w:val="00025EF3"/>
    <w:rsid w:val="0002610A"/>
    <w:rsid w:val="000273BA"/>
    <w:rsid w:val="000307AB"/>
    <w:rsid w:val="00031C2C"/>
    <w:rsid w:val="00031D72"/>
    <w:rsid w:val="0003462F"/>
    <w:rsid w:val="00034DCC"/>
    <w:rsid w:val="00034DDA"/>
    <w:rsid w:val="00035AC5"/>
    <w:rsid w:val="00035EB5"/>
    <w:rsid w:val="00037C5C"/>
    <w:rsid w:val="00040855"/>
    <w:rsid w:val="00041755"/>
    <w:rsid w:val="0004272B"/>
    <w:rsid w:val="00043772"/>
    <w:rsid w:val="0004377D"/>
    <w:rsid w:val="000439DD"/>
    <w:rsid w:val="000447BD"/>
    <w:rsid w:val="00044D25"/>
    <w:rsid w:val="000452D7"/>
    <w:rsid w:val="00045304"/>
    <w:rsid w:val="0004673D"/>
    <w:rsid w:val="00046783"/>
    <w:rsid w:val="00050B9A"/>
    <w:rsid w:val="00050F56"/>
    <w:rsid w:val="00050FCF"/>
    <w:rsid w:val="0005183D"/>
    <w:rsid w:val="00051989"/>
    <w:rsid w:val="00051C97"/>
    <w:rsid w:val="00053455"/>
    <w:rsid w:val="00053EE1"/>
    <w:rsid w:val="000554A6"/>
    <w:rsid w:val="00055905"/>
    <w:rsid w:val="0005632A"/>
    <w:rsid w:val="00056412"/>
    <w:rsid w:val="0005647E"/>
    <w:rsid w:val="0005723F"/>
    <w:rsid w:val="000573CB"/>
    <w:rsid w:val="0005747E"/>
    <w:rsid w:val="00057875"/>
    <w:rsid w:val="00061654"/>
    <w:rsid w:val="0006592A"/>
    <w:rsid w:val="000667C5"/>
    <w:rsid w:val="000668A4"/>
    <w:rsid w:val="00066A37"/>
    <w:rsid w:val="00067A22"/>
    <w:rsid w:val="00070A81"/>
    <w:rsid w:val="000711E4"/>
    <w:rsid w:val="00071368"/>
    <w:rsid w:val="00071779"/>
    <w:rsid w:val="00073A4D"/>
    <w:rsid w:val="00073B2D"/>
    <w:rsid w:val="00074010"/>
    <w:rsid w:val="0007412D"/>
    <w:rsid w:val="00074317"/>
    <w:rsid w:val="00074D4F"/>
    <w:rsid w:val="000758A2"/>
    <w:rsid w:val="000758E5"/>
    <w:rsid w:val="000760E6"/>
    <w:rsid w:val="00077478"/>
    <w:rsid w:val="00077A0F"/>
    <w:rsid w:val="000813EA"/>
    <w:rsid w:val="000821B2"/>
    <w:rsid w:val="00082F8F"/>
    <w:rsid w:val="00083098"/>
    <w:rsid w:val="00083188"/>
    <w:rsid w:val="000847C7"/>
    <w:rsid w:val="000847F7"/>
    <w:rsid w:val="00084A07"/>
    <w:rsid w:val="00084D48"/>
    <w:rsid w:val="000858A9"/>
    <w:rsid w:val="00086637"/>
    <w:rsid w:val="00091D11"/>
    <w:rsid w:val="00091E77"/>
    <w:rsid w:val="000929DD"/>
    <w:rsid w:val="00093154"/>
    <w:rsid w:val="00093367"/>
    <w:rsid w:val="0009339C"/>
    <w:rsid w:val="0009484A"/>
    <w:rsid w:val="000958BB"/>
    <w:rsid w:val="0009642A"/>
    <w:rsid w:val="000964DC"/>
    <w:rsid w:val="00096636"/>
    <w:rsid w:val="00096A4D"/>
    <w:rsid w:val="00097315"/>
    <w:rsid w:val="000A02FB"/>
    <w:rsid w:val="000A0D5F"/>
    <w:rsid w:val="000A12C4"/>
    <w:rsid w:val="000A1CCE"/>
    <w:rsid w:val="000A1F30"/>
    <w:rsid w:val="000A2382"/>
    <w:rsid w:val="000A24F4"/>
    <w:rsid w:val="000A4136"/>
    <w:rsid w:val="000A5070"/>
    <w:rsid w:val="000A5333"/>
    <w:rsid w:val="000A6411"/>
    <w:rsid w:val="000A712F"/>
    <w:rsid w:val="000A72C8"/>
    <w:rsid w:val="000B019A"/>
    <w:rsid w:val="000B0212"/>
    <w:rsid w:val="000B2352"/>
    <w:rsid w:val="000B23A4"/>
    <w:rsid w:val="000B47B9"/>
    <w:rsid w:val="000B4CD9"/>
    <w:rsid w:val="000B55FF"/>
    <w:rsid w:val="000B6672"/>
    <w:rsid w:val="000B6983"/>
    <w:rsid w:val="000B79A0"/>
    <w:rsid w:val="000C032C"/>
    <w:rsid w:val="000C134D"/>
    <w:rsid w:val="000C1C38"/>
    <w:rsid w:val="000C1CDA"/>
    <w:rsid w:val="000C23BE"/>
    <w:rsid w:val="000C247E"/>
    <w:rsid w:val="000C24F1"/>
    <w:rsid w:val="000C2E30"/>
    <w:rsid w:val="000C37EB"/>
    <w:rsid w:val="000C5707"/>
    <w:rsid w:val="000C5B08"/>
    <w:rsid w:val="000C5F52"/>
    <w:rsid w:val="000C6119"/>
    <w:rsid w:val="000C6D62"/>
    <w:rsid w:val="000C79F0"/>
    <w:rsid w:val="000C7FAC"/>
    <w:rsid w:val="000D0ADB"/>
    <w:rsid w:val="000D14C0"/>
    <w:rsid w:val="000D1619"/>
    <w:rsid w:val="000D19D6"/>
    <w:rsid w:val="000D2472"/>
    <w:rsid w:val="000D2AAA"/>
    <w:rsid w:val="000D318F"/>
    <w:rsid w:val="000D3928"/>
    <w:rsid w:val="000D46E2"/>
    <w:rsid w:val="000D4B06"/>
    <w:rsid w:val="000D50C0"/>
    <w:rsid w:val="000D5606"/>
    <w:rsid w:val="000D58C2"/>
    <w:rsid w:val="000D5C5F"/>
    <w:rsid w:val="000D5D22"/>
    <w:rsid w:val="000D7B34"/>
    <w:rsid w:val="000E0373"/>
    <w:rsid w:val="000E0CBE"/>
    <w:rsid w:val="000E123F"/>
    <w:rsid w:val="000E1B22"/>
    <w:rsid w:val="000E1D09"/>
    <w:rsid w:val="000E2B9F"/>
    <w:rsid w:val="000E3687"/>
    <w:rsid w:val="000E4316"/>
    <w:rsid w:val="000E46F4"/>
    <w:rsid w:val="000E6225"/>
    <w:rsid w:val="000E6C9F"/>
    <w:rsid w:val="000E7DAC"/>
    <w:rsid w:val="000F01A4"/>
    <w:rsid w:val="000F09DF"/>
    <w:rsid w:val="000F2090"/>
    <w:rsid w:val="000F23FA"/>
    <w:rsid w:val="000F2AFB"/>
    <w:rsid w:val="000F2C6D"/>
    <w:rsid w:val="000F3CE6"/>
    <w:rsid w:val="000F4022"/>
    <w:rsid w:val="000F4DC7"/>
    <w:rsid w:val="000F5DE7"/>
    <w:rsid w:val="000F639A"/>
    <w:rsid w:val="000F7CCB"/>
    <w:rsid w:val="00101C0A"/>
    <w:rsid w:val="00101D45"/>
    <w:rsid w:val="00101FE7"/>
    <w:rsid w:val="00102225"/>
    <w:rsid w:val="00102388"/>
    <w:rsid w:val="0010402E"/>
    <w:rsid w:val="001054EA"/>
    <w:rsid w:val="00106D98"/>
    <w:rsid w:val="00107266"/>
    <w:rsid w:val="00110499"/>
    <w:rsid w:val="00110740"/>
    <w:rsid w:val="00110ADB"/>
    <w:rsid w:val="00111FBC"/>
    <w:rsid w:val="00112CF4"/>
    <w:rsid w:val="001137C1"/>
    <w:rsid w:val="00113F84"/>
    <w:rsid w:val="00114D2C"/>
    <w:rsid w:val="001154A8"/>
    <w:rsid w:val="00115880"/>
    <w:rsid w:val="00115FD8"/>
    <w:rsid w:val="001169C8"/>
    <w:rsid w:val="00116C46"/>
    <w:rsid w:val="0011732D"/>
    <w:rsid w:val="00117A17"/>
    <w:rsid w:val="0012069F"/>
    <w:rsid w:val="001207E6"/>
    <w:rsid w:val="0012090B"/>
    <w:rsid w:val="00120E1C"/>
    <w:rsid w:val="00120F59"/>
    <w:rsid w:val="001214ED"/>
    <w:rsid w:val="001215F4"/>
    <w:rsid w:val="001217E4"/>
    <w:rsid w:val="00122CB0"/>
    <w:rsid w:val="00122D3B"/>
    <w:rsid w:val="00124352"/>
    <w:rsid w:val="00125696"/>
    <w:rsid w:val="001259AA"/>
    <w:rsid w:val="00125D9F"/>
    <w:rsid w:val="00125E98"/>
    <w:rsid w:val="0012683C"/>
    <w:rsid w:val="00126942"/>
    <w:rsid w:val="00127754"/>
    <w:rsid w:val="00127A8A"/>
    <w:rsid w:val="00127C82"/>
    <w:rsid w:val="00130AAF"/>
    <w:rsid w:val="0013238B"/>
    <w:rsid w:val="00132584"/>
    <w:rsid w:val="0013265F"/>
    <w:rsid w:val="00135DBA"/>
    <w:rsid w:val="00135DC0"/>
    <w:rsid w:val="001367D8"/>
    <w:rsid w:val="001378AA"/>
    <w:rsid w:val="001400B1"/>
    <w:rsid w:val="00140613"/>
    <w:rsid w:val="00141069"/>
    <w:rsid w:val="00142791"/>
    <w:rsid w:val="00143010"/>
    <w:rsid w:val="001433E0"/>
    <w:rsid w:val="00145B98"/>
    <w:rsid w:val="0014630F"/>
    <w:rsid w:val="0014739E"/>
    <w:rsid w:val="001473E9"/>
    <w:rsid w:val="001473EB"/>
    <w:rsid w:val="00147683"/>
    <w:rsid w:val="0015026D"/>
    <w:rsid w:val="00151185"/>
    <w:rsid w:val="001515B7"/>
    <w:rsid w:val="00151E7A"/>
    <w:rsid w:val="0015204F"/>
    <w:rsid w:val="0015240B"/>
    <w:rsid w:val="001524BB"/>
    <w:rsid w:val="00152F00"/>
    <w:rsid w:val="0015377A"/>
    <w:rsid w:val="001556AA"/>
    <w:rsid w:val="001556F6"/>
    <w:rsid w:val="00157B75"/>
    <w:rsid w:val="0016016F"/>
    <w:rsid w:val="00160B0B"/>
    <w:rsid w:val="00161A8B"/>
    <w:rsid w:val="00162B9A"/>
    <w:rsid w:val="00162C48"/>
    <w:rsid w:val="00162E0F"/>
    <w:rsid w:val="0016321C"/>
    <w:rsid w:val="001634F9"/>
    <w:rsid w:val="0016498B"/>
    <w:rsid w:val="00164B95"/>
    <w:rsid w:val="00165EBA"/>
    <w:rsid w:val="00166183"/>
    <w:rsid w:val="00167113"/>
    <w:rsid w:val="00167852"/>
    <w:rsid w:val="00167FF0"/>
    <w:rsid w:val="00172388"/>
    <w:rsid w:val="00172630"/>
    <w:rsid w:val="00173501"/>
    <w:rsid w:val="00174515"/>
    <w:rsid w:val="0017455C"/>
    <w:rsid w:val="00174BBE"/>
    <w:rsid w:val="0017583B"/>
    <w:rsid w:val="001761FF"/>
    <w:rsid w:val="00176491"/>
    <w:rsid w:val="00176B17"/>
    <w:rsid w:val="00177391"/>
    <w:rsid w:val="0017764F"/>
    <w:rsid w:val="00177D64"/>
    <w:rsid w:val="00177FCC"/>
    <w:rsid w:val="001800A3"/>
    <w:rsid w:val="00180576"/>
    <w:rsid w:val="00180CFD"/>
    <w:rsid w:val="00181BC4"/>
    <w:rsid w:val="00182CD4"/>
    <w:rsid w:val="00185038"/>
    <w:rsid w:val="00185663"/>
    <w:rsid w:val="00190211"/>
    <w:rsid w:val="00190C01"/>
    <w:rsid w:val="00190D5F"/>
    <w:rsid w:val="00192DE0"/>
    <w:rsid w:val="00192ECE"/>
    <w:rsid w:val="00193D19"/>
    <w:rsid w:val="00194D46"/>
    <w:rsid w:val="00194FBD"/>
    <w:rsid w:val="001950E3"/>
    <w:rsid w:val="001961A6"/>
    <w:rsid w:val="001963F0"/>
    <w:rsid w:val="00196F8D"/>
    <w:rsid w:val="0019760B"/>
    <w:rsid w:val="00197F59"/>
    <w:rsid w:val="001A0FF0"/>
    <w:rsid w:val="001A1620"/>
    <w:rsid w:val="001A1644"/>
    <w:rsid w:val="001A4240"/>
    <w:rsid w:val="001A4563"/>
    <w:rsid w:val="001A5316"/>
    <w:rsid w:val="001A6F59"/>
    <w:rsid w:val="001A7E03"/>
    <w:rsid w:val="001B12B2"/>
    <w:rsid w:val="001B13D5"/>
    <w:rsid w:val="001B15E1"/>
    <w:rsid w:val="001B1E5A"/>
    <w:rsid w:val="001B2801"/>
    <w:rsid w:val="001B2B05"/>
    <w:rsid w:val="001B2D20"/>
    <w:rsid w:val="001B3265"/>
    <w:rsid w:val="001B3BDB"/>
    <w:rsid w:val="001B3D47"/>
    <w:rsid w:val="001B430F"/>
    <w:rsid w:val="001B4F4F"/>
    <w:rsid w:val="001B5A5B"/>
    <w:rsid w:val="001B5E2A"/>
    <w:rsid w:val="001B6F59"/>
    <w:rsid w:val="001B7258"/>
    <w:rsid w:val="001B75BE"/>
    <w:rsid w:val="001B7A91"/>
    <w:rsid w:val="001C12DF"/>
    <w:rsid w:val="001C12FF"/>
    <w:rsid w:val="001C30B0"/>
    <w:rsid w:val="001C3302"/>
    <w:rsid w:val="001C5180"/>
    <w:rsid w:val="001C5980"/>
    <w:rsid w:val="001C606B"/>
    <w:rsid w:val="001C6610"/>
    <w:rsid w:val="001D1BC2"/>
    <w:rsid w:val="001D1F8C"/>
    <w:rsid w:val="001D2028"/>
    <w:rsid w:val="001D213A"/>
    <w:rsid w:val="001D260C"/>
    <w:rsid w:val="001D43CE"/>
    <w:rsid w:val="001D515D"/>
    <w:rsid w:val="001D6BA0"/>
    <w:rsid w:val="001D7671"/>
    <w:rsid w:val="001D7E10"/>
    <w:rsid w:val="001E0ADF"/>
    <w:rsid w:val="001E10E1"/>
    <w:rsid w:val="001E1EB8"/>
    <w:rsid w:val="001E2B35"/>
    <w:rsid w:val="001E2F0C"/>
    <w:rsid w:val="001E3F64"/>
    <w:rsid w:val="001E4B3B"/>
    <w:rsid w:val="001E5A40"/>
    <w:rsid w:val="001E5B0D"/>
    <w:rsid w:val="001E5E27"/>
    <w:rsid w:val="001E6B6C"/>
    <w:rsid w:val="001F208F"/>
    <w:rsid w:val="001F2AAA"/>
    <w:rsid w:val="001F4003"/>
    <w:rsid w:val="001F5082"/>
    <w:rsid w:val="001F6048"/>
    <w:rsid w:val="001F62A7"/>
    <w:rsid w:val="001F631B"/>
    <w:rsid w:val="00200439"/>
    <w:rsid w:val="00201289"/>
    <w:rsid w:val="00203CDC"/>
    <w:rsid w:val="00204283"/>
    <w:rsid w:val="002043D6"/>
    <w:rsid w:val="00204AA1"/>
    <w:rsid w:val="002063C4"/>
    <w:rsid w:val="00207D07"/>
    <w:rsid w:val="0021038B"/>
    <w:rsid w:val="0021090C"/>
    <w:rsid w:val="00210E1B"/>
    <w:rsid w:val="00211066"/>
    <w:rsid w:val="00211387"/>
    <w:rsid w:val="00211574"/>
    <w:rsid w:val="00212532"/>
    <w:rsid w:val="00212A35"/>
    <w:rsid w:val="00212CF3"/>
    <w:rsid w:val="00213258"/>
    <w:rsid w:val="00213A11"/>
    <w:rsid w:val="00213B8B"/>
    <w:rsid w:val="00213D80"/>
    <w:rsid w:val="00214509"/>
    <w:rsid w:val="00215FA3"/>
    <w:rsid w:val="00216405"/>
    <w:rsid w:val="0021676F"/>
    <w:rsid w:val="00217984"/>
    <w:rsid w:val="00217D48"/>
    <w:rsid w:val="00220011"/>
    <w:rsid w:val="002208B0"/>
    <w:rsid w:val="00220B98"/>
    <w:rsid w:val="0022135A"/>
    <w:rsid w:val="00221BE9"/>
    <w:rsid w:val="0022260A"/>
    <w:rsid w:val="0022462F"/>
    <w:rsid w:val="002249D0"/>
    <w:rsid w:val="002254B8"/>
    <w:rsid w:val="0022656E"/>
    <w:rsid w:val="002266E1"/>
    <w:rsid w:val="00230307"/>
    <w:rsid w:val="00230E5D"/>
    <w:rsid w:val="002329BE"/>
    <w:rsid w:val="00232C82"/>
    <w:rsid w:val="00232DD8"/>
    <w:rsid w:val="002330D6"/>
    <w:rsid w:val="002339F9"/>
    <w:rsid w:val="00233CDD"/>
    <w:rsid w:val="00234DE9"/>
    <w:rsid w:val="002350BB"/>
    <w:rsid w:val="00235BF0"/>
    <w:rsid w:val="00235C35"/>
    <w:rsid w:val="00236693"/>
    <w:rsid w:val="00236916"/>
    <w:rsid w:val="00236D7F"/>
    <w:rsid w:val="00236F89"/>
    <w:rsid w:val="002412AB"/>
    <w:rsid w:val="00241505"/>
    <w:rsid w:val="002424FA"/>
    <w:rsid w:val="002429D3"/>
    <w:rsid w:val="00243462"/>
    <w:rsid w:val="002444D6"/>
    <w:rsid w:val="002445A1"/>
    <w:rsid w:val="00244AA7"/>
    <w:rsid w:val="00244AAD"/>
    <w:rsid w:val="00244C42"/>
    <w:rsid w:val="0024551A"/>
    <w:rsid w:val="0024662B"/>
    <w:rsid w:val="00246D7E"/>
    <w:rsid w:val="00247AFD"/>
    <w:rsid w:val="00250999"/>
    <w:rsid w:val="00252432"/>
    <w:rsid w:val="002528B3"/>
    <w:rsid w:val="00252DED"/>
    <w:rsid w:val="002546FF"/>
    <w:rsid w:val="002551D2"/>
    <w:rsid w:val="0025626A"/>
    <w:rsid w:val="00256B20"/>
    <w:rsid w:val="00260192"/>
    <w:rsid w:val="002618E5"/>
    <w:rsid w:val="00261E4A"/>
    <w:rsid w:val="00262994"/>
    <w:rsid w:val="0026323D"/>
    <w:rsid w:val="00264331"/>
    <w:rsid w:val="00264EEE"/>
    <w:rsid w:val="00265204"/>
    <w:rsid w:val="0026636F"/>
    <w:rsid w:val="00266B88"/>
    <w:rsid w:val="00272CF4"/>
    <w:rsid w:val="002730EA"/>
    <w:rsid w:val="0027313B"/>
    <w:rsid w:val="002743E3"/>
    <w:rsid w:val="00274A0C"/>
    <w:rsid w:val="00274C12"/>
    <w:rsid w:val="002757CC"/>
    <w:rsid w:val="0027656B"/>
    <w:rsid w:val="002770D7"/>
    <w:rsid w:val="002770F4"/>
    <w:rsid w:val="00280005"/>
    <w:rsid w:val="00280235"/>
    <w:rsid w:val="00280384"/>
    <w:rsid w:val="00280804"/>
    <w:rsid w:val="00280B47"/>
    <w:rsid w:val="00283592"/>
    <w:rsid w:val="0028399C"/>
    <w:rsid w:val="002841BD"/>
    <w:rsid w:val="00285B92"/>
    <w:rsid w:val="00285C64"/>
    <w:rsid w:val="002866F1"/>
    <w:rsid w:val="00286C77"/>
    <w:rsid w:val="00287AEC"/>
    <w:rsid w:val="00290A60"/>
    <w:rsid w:val="00290BC4"/>
    <w:rsid w:val="00290C11"/>
    <w:rsid w:val="0029160C"/>
    <w:rsid w:val="00293586"/>
    <w:rsid w:val="00294482"/>
    <w:rsid w:val="0029457F"/>
    <w:rsid w:val="00294C29"/>
    <w:rsid w:val="00294FEA"/>
    <w:rsid w:val="00295469"/>
    <w:rsid w:val="002955ED"/>
    <w:rsid w:val="00295A67"/>
    <w:rsid w:val="002972BD"/>
    <w:rsid w:val="002A007A"/>
    <w:rsid w:val="002A08E1"/>
    <w:rsid w:val="002A0ED9"/>
    <w:rsid w:val="002A1403"/>
    <w:rsid w:val="002A18D5"/>
    <w:rsid w:val="002A251E"/>
    <w:rsid w:val="002A2756"/>
    <w:rsid w:val="002A29B6"/>
    <w:rsid w:val="002A2A02"/>
    <w:rsid w:val="002A38D3"/>
    <w:rsid w:val="002A3AB3"/>
    <w:rsid w:val="002A4A0F"/>
    <w:rsid w:val="002A4F4B"/>
    <w:rsid w:val="002A5C84"/>
    <w:rsid w:val="002A6528"/>
    <w:rsid w:val="002B0DF9"/>
    <w:rsid w:val="002B0E76"/>
    <w:rsid w:val="002B1311"/>
    <w:rsid w:val="002B201A"/>
    <w:rsid w:val="002B24B6"/>
    <w:rsid w:val="002B2C50"/>
    <w:rsid w:val="002B3289"/>
    <w:rsid w:val="002B39A6"/>
    <w:rsid w:val="002B40B3"/>
    <w:rsid w:val="002B411C"/>
    <w:rsid w:val="002B4489"/>
    <w:rsid w:val="002B4C4F"/>
    <w:rsid w:val="002B65F6"/>
    <w:rsid w:val="002C0A06"/>
    <w:rsid w:val="002C0B3C"/>
    <w:rsid w:val="002C1988"/>
    <w:rsid w:val="002C2AC4"/>
    <w:rsid w:val="002C3A74"/>
    <w:rsid w:val="002C3CE0"/>
    <w:rsid w:val="002C3F5E"/>
    <w:rsid w:val="002C45DD"/>
    <w:rsid w:val="002C4B56"/>
    <w:rsid w:val="002C4E1E"/>
    <w:rsid w:val="002C4E39"/>
    <w:rsid w:val="002C4F8C"/>
    <w:rsid w:val="002C5BC6"/>
    <w:rsid w:val="002C5D05"/>
    <w:rsid w:val="002C7193"/>
    <w:rsid w:val="002D0013"/>
    <w:rsid w:val="002D0787"/>
    <w:rsid w:val="002D172E"/>
    <w:rsid w:val="002D1B29"/>
    <w:rsid w:val="002D1BEA"/>
    <w:rsid w:val="002D2E53"/>
    <w:rsid w:val="002D2FBD"/>
    <w:rsid w:val="002D341A"/>
    <w:rsid w:val="002D4071"/>
    <w:rsid w:val="002D42E3"/>
    <w:rsid w:val="002D4951"/>
    <w:rsid w:val="002D4BC8"/>
    <w:rsid w:val="002D590C"/>
    <w:rsid w:val="002D70A5"/>
    <w:rsid w:val="002D79CD"/>
    <w:rsid w:val="002E012A"/>
    <w:rsid w:val="002E05E0"/>
    <w:rsid w:val="002E16FF"/>
    <w:rsid w:val="002E29AB"/>
    <w:rsid w:val="002E301A"/>
    <w:rsid w:val="002E3580"/>
    <w:rsid w:val="002E3595"/>
    <w:rsid w:val="002E3D54"/>
    <w:rsid w:val="002E3F36"/>
    <w:rsid w:val="002E512B"/>
    <w:rsid w:val="002E51FB"/>
    <w:rsid w:val="002E5228"/>
    <w:rsid w:val="002E563E"/>
    <w:rsid w:val="002E607A"/>
    <w:rsid w:val="002E70A6"/>
    <w:rsid w:val="002E70EB"/>
    <w:rsid w:val="002E75C1"/>
    <w:rsid w:val="002E7838"/>
    <w:rsid w:val="002F0A21"/>
    <w:rsid w:val="002F161E"/>
    <w:rsid w:val="002F1F9C"/>
    <w:rsid w:val="002F23D3"/>
    <w:rsid w:val="002F269A"/>
    <w:rsid w:val="002F29A6"/>
    <w:rsid w:val="002F3611"/>
    <w:rsid w:val="002F3F58"/>
    <w:rsid w:val="002F5A83"/>
    <w:rsid w:val="002F637F"/>
    <w:rsid w:val="002F6439"/>
    <w:rsid w:val="002F6DC8"/>
    <w:rsid w:val="002F6DD1"/>
    <w:rsid w:val="002F72C3"/>
    <w:rsid w:val="003010D2"/>
    <w:rsid w:val="0030122C"/>
    <w:rsid w:val="0030193C"/>
    <w:rsid w:val="00301B78"/>
    <w:rsid w:val="00302271"/>
    <w:rsid w:val="003029E6"/>
    <w:rsid w:val="003034DC"/>
    <w:rsid w:val="00306FAA"/>
    <w:rsid w:val="0030760F"/>
    <w:rsid w:val="0031020C"/>
    <w:rsid w:val="003127BE"/>
    <w:rsid w:val="00312F22"/>
    <w:rsid w:val="003131A0"/>
    <w:rsid w:val="0031337C"/>
    <w:rsid w:val="00313B91"/>
    <w:rsid w:val="00313C40"/>
    <w:rsid w:val="00313D1A"/>
    <w:rsid w:val="00314144"/>
    <w:rsid w:val="00314395"/>
    <w:rsid w:val="00314BDA"/>
    <w:rsid w:val="00314FE5"/>
    <w:rsid w:val="0031630B"/>
    <w:rsid w:val="00316AC4"/>
    <w:rsid w:val="00316EBE"/>
    <w:rsid w:val="00316FCB"/>
    <w:rsid w:val="00317B4C"/>
    <w:rsid w:val="00320F8F"/>
    <w:rsid w:val="003235DC"/>
    <w:rsid w:val="00323C50"/>
    <w:rsid w:val="003261BD"/>
    <w:rsid w:val="00330230"/>
    <w:rsid w:val="0033072E"/>
    <w:rsid w:val="00330C80"/>
    <w:rsid w:val="003311F2"/>
    <w:rsid w:val="00331682"/>
    <w:rsid w:val="003326E3"/>
    <w:rsid w:val="00332E63"/>
    <w:rsid w:val="003339E0"/>
    <w:rsid w:val="003341ED"/>
    <w:rsid w:val="00335716"/>
    <w:rsid w:val="00335FCB"/>
    <w:rsid w:val="00336939"/>
    <w:rsid w:val="0033779A"/>
    <w:rsid w:val="00337FD8"/>
    <w:rsid w:val="00341AF7"/>
    <w:rsid w:val="003424E2"/>
    <w:rsid w:val="00342DB3"/>
    <w:rsid w:val="0034385A"/>
    <w:rsid w:val="00343B2C"/>
    <w:rsid w:val="00343F97"/>
    <w:rsid w:val="00344193"/>
    <w:rsid w:val="003466D2"/>
    <w:rsid w:val="003468EC"/>
    <w:rsid w:val="00350258"/>
    <w:rsid w:val="00351729"/>
    <w:rsid w:val="0035279C"/>
    <w:rsid w:val="00352BE4"/>
    <w:rsid w:val="003539C3"/>
    <w:rsid w:val="003551B8"/>
    <w:rsid w:val="00355E36"/>
    <w:rsid w:val="00356DF0"/>
    <w:rsid w:val="003571C6"/>
    <w:rsid w:val="003608CD"/>
    <w:rsid w:val="003618A2"/>
    <w:rsid w:val="003619EF"/>
    <w:rsid w:val="00361A05"/>
    <w:rsid w:val="00362EB9"/>
    <w:rsid w:val="00363B46"/>
    <w:rsid w:val="00364E7A"/>
    <w:rsid w:val="0036523D"/>
    <w:rsid w:val="00365B74"/>
    <w:rsid w:val="003669E2"/>
    <w:rsid w:val="00366E22"/>
    <w:rsid w:val="00367216"/>
    <w:rsid w:val="0036774A"/>
    <w:rsid w:val="003706A4"/>
    <w:rsid w:val="00370AE5"/>
    <w:rsid w:val="0037127F"/>
    <w:rsid w:val="0037138C"/>
    <w:rsid w:val="00371BD9"/>
    <w:rsid w:val="00371F9C"/>
    <w:rsid w:val="00371FAC"/>
    <w:rsid w:val="00372C4F"/>
    <w:rsid w:val="00373511"/>
    <w:rsid w:val="00373CD3"/>
    <w:rsid w:val="00373D5B"/>
    <w:rsid w:val="003745DF"/>
    <w:rsid w:val="00375980"/>
    <w:rsid w:val="00376CFB"/>
    <w:rsid w:val="0037774A"/>
    <w:rsid w:val="00377C58"/>
    <w:rsid w:val="00380E8F"/>
    <w:rsid w:val="003818B6"/>
    <w:rsid w:val="00381994"/>
    <w:rsid w:val="00382C42"/>
    <w:rsid w:val="003833C7"/>
    <w:rsid w:val="0038380A"/>
    <w:rsid w:val="00383EB3"/>
    <w:rsid w:val="0038531A"/>
    <w:rsid w:val="00385471"/>
    <w:rsid w:val="003854E5"/>
    <w:rsid w:val="00386D44"/>
    <w:rsid w:val="00386E2D"/>
    <w:rsid w:val="00387531"/>
    <w:rsid w:val="00391322"/>
    <w:rsid w:val="00391C44"/>
    <w:rsid w:val="003928B1"/>
    <w:rsid w:val="003936F8"/>
    <w:rsid w:val="003941F3"/>
    <w:rsid w:val="00394E7B"/>
    <w:rsid w:val="003950D0"/>
    <w:rsid w:val="00395477"/>
    <w:rsid w:val="00395626"/>
    <w:rsid w:val="00395F55"/>
    <w:rsid w:val="003A1F67"/>
    <w:rsid w:val="003A2456"/>
    <w:rsid w:val="003A249D"/>
    <w:rsid w:val="003A47EB"/>
    <w:rsid w:val="003A4B3B"/>
    <w:rsid w:val="003A5201"/>
    <w:rsid w:val="003A59EF"/>
    <w:rsid w:val="003A7449"/>
    <w:rsid w:val="003A783A"/>
    <w:rsid w:val="003B06C5"/>
    <w:rsid w:val="003B09E1"/>
    <w:rsid w:val="003B10DC"/>
    <w:rsid w:val="003B1C40"/>
    <w:rsid w:val="003B2158"/>
    <w:rsid w:val="003B2D28"/>
    <w:rsid w:val="003B3930"/>
    <w:rsid w:val="003B4310"/>
    <w:rsid w:val="003B52D3"/>
    <w:rsid w:val="003B608E"/>
    <w:rsid w:val="003B6C5C"/>
    <w:rsid w:val="003B7485"/>
    <w:rsid w:val="003B75F5"/>
    <w:rsid w:val="003C0B3B"/>
    <w:rsid w:val="003C29D9"/>
    <w:rsid w:val="003C2F6B"/>
    <w:rsid w:val="003C3813"/>
    <w:rsid w:val="003C3A3A"/>
    <w:rsid w:val="003C3FB0"/>
    <w:rsid w:val="003C5A0A"/>
    <w:rsid w:val="003C5DF8"/>
    <w:rsid w:val="003C7148"/>
    <w:rsid w:val="003D05B4"/>
    <w:rsid w:val="003D156A"/>
    <w:rsid w:val="003D1578"/>
    <w:rsid w:val="003D26CB"/>
    <w:rsid w:val="003D27F0"/>
    <w:rsid w:val="003D2B5C"/>
    <w:rsid w:val="003D59C4"/>
    <w:rsid w:val="003D5AFA"/>
    <w:rsid w:val="003D6101"/>
    <w:rsid w:val="003D61D2"/>
    <w:rsid w:val="003D774E"/>
    <w:rsid w:val="003D7B50"/>
    <w:rsid w:val="003E043C"/>
    <w:rsid w:val="003E0CFC"/>
    <w:rsid w:val="003E0DEF"/>
    <w:rsid w:val="003E1076"/>
    <w:rsid w:val="003E1502"/>
    <w:rsid w:val="003E31B6"/>
    <w:rsid w:val="003E36CD"/>
    <w:rsid w:val="003E4BA9"/>
    <w:rsid w:val="003E589B"/>
    <w:rsid w:val="003E592F"/>
    <w:rsid w:val="003E5A78"/>
    <w:rsid w:val="003E5DF5"/>
    <w:rsid w:val="003E5F2A"/>
    <w:rsid w:val="003E6CA1"/>
    <w:rsid w:val="003E771A"/>
    <w:rsid w:val="003F0853"/>
    <w:rsid w:val="003F1058"/>
    <w:rsid w:val="003F13C2"/>
    <w:rsid w:val="003F43EA"/>
    <w:rsid w:val="003F4CCE"/>
    <w:rsid w:val="003F6133"/>
    <w:rsid w:val="003F639F"/>
    <w:rsid w:val="003F6C2C"/>
    <w:rsid w:val="003F7072"/>
    <w:rsid w:val="003F73FD"/>
    <w:rsid w:val="00400B49"/>
    <w:rsid w:val="00401036"/>
    <w:rsid w:val="00402497"/>
    <w:rsid w:val="00402885"/>
    <w:rsid w:val="00402913"/>
    <w:rsid w:val="00403062"/>
    <w:rsid w:val="0040377C"/>
    <w:rsid w:val="00404EA1"/>
    <w:rsid w:val="0040501C"/>
    <w:rsid w:val="0041017A"/>
    <w:rsid w:val="0041018F"/>
    <w:rsid w:val="00410827"/>
    <w:rsid w:val="00410AB1"/>
    <w:rsid w:val="0041262E"/>
    <w:rsid w:val="004132DF"/>
    <w:rsid w:val="004149EF"/>
    <w:rsid w:val="004155F0"/>
    <w:rsid w:val="00415606"/>
    <w:rsid w:val="004156B3"/>
    <w:rsid w:val="00415C33"/>
    <w:rsid w:val="00417169"/>
    <w:rsid w:val="004202F6"/>
    <w:rsid w:val="00420465"/>
    <w:rsid w:val="00421E47"/>
    <w:rsid w:val="00421E57"/>
    <w:rsid w:val="004227BC"/>
    <w:rsid w:val="00422EAB"/>
    <w:rsid w:val="004245BA"/>
    <w:rsid w:val="00424F5E"/>
    <w:rsid w:val="00425235"/>
    <w:rsid w:val="0042707A"/>
    <w:rsid w:val="00427BFD"/>
    <w:rsid w:val="00431155"/>
    <w:rsid w:val="00431361"/>
    <w:rsid w:val="00431AB9"/>
    <w:rsid w:val="00432A00"/>
    <w:rsid w:val="00432DEE"/>
    <w:rsid w:val="00432EE3"/>
    <w:rsid w:val="00432FFC"/>
    <w:rsid w:val="0043420C"/>
    <w:rsid w:val="00434665"/>
    <w:rsid w:val="0043615D"/>
    <w:rsid w:val="004362F1"/>
    <w:rsid w:val="004366BD"/>
    <w:rsid w:val="00436B45"/>
    <w:rsid w:val="004376FC"/>
    <w:rsid w:val="00441FA4"/>
    <w:rsid w:val="004422AF"/>
    <w:rsid w:val="00443BAE"/>
    <w:rsid w:val="00443C5C"/>
    <w:rsid w:val="004452D4"/>
    <w:rsid w:val="00445940"/>
    <w:rsid w:val="00445C3E"/>
    <w:rsid w:val="00447692"/>
    <w:rsid w:val="004476DC"/>
    <w:rsid w:val="00447AAB"/>
    <w:rsid w:val="00451499"/>
    <w:rsid w:val="00451C62"/>
    <w:rsid w:val="004525B4"/>
    <w:rsid w:val="0045444A"/>
    <w:rsid w:val="00455EA3"/>
    <w:rsid w:val="004565C6"/>
    <w:rsid w:val="004601E9"/>
    <w:rsid w:val="0046190F"/>
    <w:rsid w:val="00461DD5"/>
    <w:rsid w:val="004639BC"/>
    <w:rsid w:val="00464211"/>
    <w:rsid w:val="0046523A"/>
    <w:rsid w:val="00465D23"/>
    <w:rsid w:val="00465D7D"/>
    <w:rsid w:val="00465F0C"/>
    <w:rsid w:val="004662DD"/>
    <w:rsid w:val="0046733F"/>
    <w:rsid w:val="004706DE"/>
    <w:rsid w:val="00470AC7"/>
    <w:rsid w:val="00470E31"/>
    <w:rsid w:val="0047101F"/>
    <w:rsid w:val="00471DB4"/>
    <w:rsid w:val="00471F4C"/>
    <w:rsid w:val="00472322"/>
    <w:rsid w:val="00472B0C"/>
    <w:rsid w:val="00473982"/>
    <w:rsid w:val="00473B53"/>
    <w:rsid w:val="00474A2C"/>
    <w:rsid w:val="00474EF9"/>
    <w:rsid w:val="004764F1"/>
    <w:rsid w:val="00476797"/>
    <w:rsid w:val="00477BBE"/>
    <w:rsid w:val="0048084D"/>
    <w:rsid w:val="004810CA"/>
    <w:rsid w:val="00481647"/>
    <w:rsid w:val="00481C22"/>
    <w:rsid w:val="00483018"/>
    <w:rsid w:val="0048339E"/>
    <w:rsid w:val="00483722"/>
    <w:rsid w:val="00483CDA"/>
    <w:rsid w:val="0048423B"/>
    <w:rsid w:val="00487046"/>
    <w:rsid w:val="00487EB8"/>
    <w:rsid w:val="004910CB"/>
    <w:rsid w:val="00493A52"/>
    <w:rsid w:val="00494365"/>
    <w:rsid w:val="00494877"/>
    <w:rsid w:val="004950AC"/>
    <w:rsid w:val="00495E58"/>
    <w:rsid w:val="004969E9"/>
    <w:rsid w:val="004A02CD"/>
    <w:rsid w:val="004A05A9"/>
    <w:rsid w:val="004A0782"/>
    <w:rsid w:val="004A0A90"/>
    <w:rsid w:val="004A0AD4"/>
    <w:rsid w:val="004A0E10"/>
    <w:rsid w:val="004A0F95"/>
    <w:rsid w:val="004A109D"/>
    <w:rsid w:val="004A1DC9"/>
    <w:rsid w:val="004A2181"/>
    <w:rsid w:val="004A315B"/>
    <w:rsid w:val="004A332C"/>
    <w:rsid w:val="004A35F2"/>
    <w:rsid w:val="004A3E21"/>
    <w:rsid w:val="004A3F66"/>
    <w:rsid w:val="004A4A7C"/>
    <w:rsid w:val="004A7534"/>
    <w:rsid w:val="004B00E2"/>
    <w:rsid w:val="004B0B3D"/>
    <w:rsid w:val="004B0EB9"/>
    <w:rsid w:val="004B0F9E"/>
    <w:rsid w:val="004B1705"/>
    <w:rsid w:val="004B21FB"/>
    <w:rsid w:val="004B226F"/>
    <w:rsid w:val="004B3641"/>
    <w:rsid w:val="004B4AE3"/>
    <w:rsid w:val="004B4FCE"/>
    <w:rsid w:val="004B526B"/>
    <w:rsid w:val="004B6126"/>
    <w:rsid w:val="004B6B00"/>
    <w:rsid w:val="004B7320"/>
    <w:rsid w:val="004B7327"/>
    <w:rsid w:val="004B77FE"/>
    <w:rsid w:val="004B7C9D"/>
    <w:rsid w:val="004C005E"/>
    <w:rsid w:val="004C00CA"/>
    <w:rsid w:val="004C0E34"/>
    <w:rsid w:val="004C11EA"/>
    <w:rsid w:val="004C1A51"/>
    <w:rsid w:val="004C2B8B"/>
    <w:rsid w:val="004C4624"/>
    <w:rsid w:val="004C4788"/>
    <w:rsid w:val="004C4FA7"/>
    <w:rsid w:val="004C5182"/>
    <w:rsid w:val="004C55F1"/>
    <w:rsid w:val="004C5745"/>
    <w:rsid w:val="004C5A98"/>
    <w:rsid w:val="004C5D3A"/>
    <w:rsid w:val="004C60A8"/>
    <w:rsid w:val="004C6507"/>
    <w:rsid w:val="004C6978"/>
    <w:rsid w:val="004C6AA2"/>
    <w:rsid w:val="004C7C05"/>
    <w:rsid w:val="004C7D36"/>
    <w:rsid w:val="004C7FCE"/>
    <w:rsid w:val="004D00B1"/>
    <w:rsid w:val="004D0245"/>
    <w:rsid w:val="004D03EE"/>
    <w:rsid w:val="004D1190"/>
    <w:rsid w:val="004D138B"/>
    <w:rsid w:val="004D145D"/>
    <w:rsid w:val="004D211F"/>
    <w:rsid w:val="004D27AC"/>
    <w:rsid w:val="004D4470"/>
    <w:rsid w:val="004D45EC"/>
    <w:rsid w:val="004D5AA8"/>
    <w:rsid w:val="004D66B6"/>
    <w:rsid w:val="004D72BF"/>
    <w:rsid w:val="004D7744"/>
    <w:rsid w:val="004D787C"/>
    <w:rsid w:val="004D7F40"/>
    <w:rsid w:val="004E062B"/>
    <w:rsid w:val="004E0D32"/>
    <w:rsid w:val="004E143F"/>
    <w:rsid w:val="004E1519"/>
    <w:rsid w:val="004E1EEC"/>
    <w:rsid w:val="004E225F"/>
    <w:rsid w:val="004E2F0C"/>
    <w:rsid w:val="004E3838"/>
    <w:rsid w:val="004E4831"/>
    <w:rsid w:val="004E50B9"/>
    <w:rsid w:val="004E646F"/>
    <w:rsid w:val="004E6BE8"/>
    <w:rsid w:val="004F0F28"/>
    <w:rsid w:val="004F148F"/>
    <w:rsid w:val="004F1DD2"/>
    <w:rsid w:val="004F1E5D"/>
    <w:rsid w:val="004F2483"/>
    <w:rsid w:val="004F315C"/>
    <w:rsid w:val="004F3710"/>
    <w:rsid w:val="004F3C08"/>
    <w:rsid w:val="004F5C60"/>
    <w:rsid w:val="004F65E9"/>
    <w:rsid w:val="004F6C0E"/>
    <w:rsid w:val="005009AE"/>
    <w:rsid w:val="0050222A"/>
    <w:rsid w:val="005027B8"/>
    <w:rsid w:val="00503A7F"/>
    <w:rsid w:val="00504437"/>
    <w:rsid w:val="0050489C"/>
    <w:rsid w:val="00505B3A"/>
    <w:rsid w:val="00505B84"/>
    <w:rsid w:val="00506033"/>
    <w:rsid w:val="00506439"/>
    <w:rsid w:val="0050730E"/>
    <w:rsid w:val="0051015A"/>
    <w:rsid w:val="005104F4"/>
    <w:rsid w:val="00510A92"/>
    <w:rsid w:val="00511408"/>
    <w:rsid w:val="00512063"/>
    <w:rsid w:val="005134CB"/>
    <w:rsid w:val="005142B9"/>
    <w:rsid w:val="0051470C"/>
    <w:rsid w:val="00514E3A"/>
    <w:rsid w:val="00515543"/>
    <w:rsid w:val="00515634"/>
    <w:rsid w:val="005168E4"/>
    <w:rsid w:val="0051691A"/>
    <w:rsid w:val="00516F05"/>
    <w:rsid w:val="00517795"/>
    <w:rsid w:val="005179BA"/>
    <w:rsid w:val="00517BC6"/>
    <w:rsid w:val="00520EE7"/>
    <w:rsid w:val="00521550"/>
    <w:rsid w:val="00521907"/>
    <w:rsid w:val="00523A38"/>
    <w:rsid w:val="005244EB"/>
    <w:rsid w:val="00524E29"/>
    <w:rsid w:val="0052503F"/>
    <w:rsid w:val="00525C40"/>
    <w:rsid w:val="00526D7E"/>
    <w:rsid w:val="0052708C"/>
    <w:rsid w:val="005276A7"/>
    <w:rsid w:val="00530411"/>
    <w:rsid w:val="005327F2"/>
    <w:rsid w:val="00532FE6"/>
    <w:rsid w:val="00533BDE"/>
    <w:rsid w:val="00533D6F"/>
    <w:rsid w:val="00535B2F"/>
    <w:rsid w:val="00535E76"/>
    <w:rsid w:val="005363BC"/>
    <w:rsid w:val="0053680C"/>
    <w:rsid w:val="00536BA5"/>
    <w:rsid w:val="00537843"/>
    <w:rsid w:val="00540220"/>
    <w:rsid w:val="00541060"/>
    <w:rsid w:val="005424F7"/>
    <w:rsid w:val="00543EBD"/>
    <w:rsid w:val="005442E0"/>
    <w:rsid w:val="00544B6E"/>
    <w:rsid w:val="00544F82"/>
    <w:rsid w:val="005453C5"/>
    <w:rsid w:val="005457CE"/>
    <w:rsid w:val="00546715"/>
    <w:rsid w:val="00547161"/>
    <w:rsid w:val="00547427"/>
    <w:rsid w:val="0054788C"/>
    <w:rsid w:val="005479C7"/>
    <w:rsid w:val="005479DF"/>
    <w:rsid w:val="00550217"/>
    <w:rsid w:val="005508E0"/>
    <w:rsid w:val="00550CF5"/>
    <w:rsid w:val="005517AA"/>
    <w:rsid w:val="00551E43"/>
    <w:rsid w:val="0055285D"/>
    <w:rsid w:val="00552D94"/>
    <w:rsid w:val="00552F5C"/>
    <w:rsid w:val="00553024"/>
    <w:rsid w:val="00554A05"/>
    <w:rsid w:val="005554B4"/>
    <w:rsid w:val="005559F9"/>
    <w:rsid w:val="00555F5A"/>
    <w:rsid w:val="0055690B"/>
    <w:rsid w:val="00556BBD"/>
    <w:rsid w:val="00557FB1"/>
    <w:rsid w:val="005602CA"/>
    <w:rsid w:val="00560358"/>
    <w:rsid w:val="005609B4"/>
    <w:rsid w:val="00560DB9"/>
    <w:rsid w:val="00562B46"/>
    <w:rsid w:val="00562BEA"/>
    <w:rsid w:val="00564299"/>
    <w:rsid w:val="00564560"/>
    <w:rsid w:val="00564628"/>
    <w:rsid w:val="00564B68"/>
    <w:rsid w:val="00564DAE"/>
    <w:rsid w:val="00566178"/>
    <w:rsid w:val="0056664A"/>
    <w:rsid w:val="00567CD8"/>
    <w:rsid w:val="00567DF2"/>
    <w:rsid w:val="005709DF"/>
    <w:rsid w:val="005717EE"/>
    <w:rsid w:val="00571E2D"/>
    <w:rsid w:val="0057363B"/>
    <w:rsid w:val="005739E1"/>
    <w:rsid w:val="00573CC5"/>
    <w:rsid w:val="005743A2"/>
    <w:rsid w:val="00574C59"/>
    <w:rsid w:val="00575255"/>
    <w:rsid w:val="005752A0"/>
    <w:rsid w:val="00575788"/>
    <w:rsid w:val="00576A54"/>
    <w:rsid w:val="0057775C"/>
    <w:rsid w:val="00577DB9"/>
    <w:rsid w:val="00580FF4"/>
    <w:rsid w:val="00581559"/>
    <w:rsid w:val="00584F49"/>
    <w:rsid w:val="005852E4"/>
    <w:rsid w:val="005852F6"/>
    <w:rsid w:val="005855E4"/>
    <w:rsid w:val="00585684"/>
    <w:rsid w:val="0058695D"/>
    <w:rsid w:val="00586FC9"/>
    <w:rsid w:val="005870EC"/>
    <w:rsid w:val="00587CE2"/>
    <w:rsid w:val="00591B73"/>
    <w:rsid w:val="00592641"/>
    <w:rsid w:val="0059323E"/>
    <w:rsid w:val="00593691"/>
    <w:rsid w:val="0059395A"/>
    <w:rsid w:val="0059439F"/>
    <w:rsid w:val="005944C9"/>
    <w:rsid w:val="00594625"/>
    <w:rsid w:val="00595CD2"/>
    <w:rsid w:val="00595FC8"/>
    <w:rsid w:val="00596333"/>
    <w:rsid w:val="00597583"/>
    <w:rsid w:val="005978DA"/>
    <w:rsid w:val="005A025D"/>
    <w:rsid w:val="005A144F"/>
    <w:rsid w:val="005A1BA5"/>
    <w:rsid w:val="005A2769"/>
    <w:rsid w:val="005A2E4D"/>
    <w:rsid w:val="005A3E20"/>
    <w:rsid w:val="005A4B8C"/>
    <w:rsid w:val="005A6E1B"/>
    <w:rsid w:val="005A77DC"/>
    <w:rsid w:val="005B054E"/>
    <w:rsid w:val="005B2668"/>
    <w:rsid w:val="005B292D"/>
    <w:rsid w:val="005B3DA0"/>
    <w:rsid w:val="005B3E5D"/>
    <w:rsid w:val="005B470A"/>
    <w:rsid w:val="005B5290"/>
    <w:rsid w:val="005B79FF"/>
    <w:rsid w:val="005C166D"/>
    <w:rsid w:val="005C2622"/>
    <w:rsid w:val="005C303E"/>
    <w:rsid w:val="005C3655"/>
    <w:rsid w:val="005C397D"/>
    <w:rsid w:val="005C4F49"/>
    <w:rsid w:val="005C528D"/>
    <w:rsid w:val="005C54CC"/>
    <w:rsid w:val="005C5E4F"/>
    <w:rsid w:val="005C6BDA"/>
    <w:rsid w:val="005C7C93"/>
    <w:rsid w:val="005D0906"/>
    <w:rsid w:val="005D0A2D"/>
    <w:rsid w:val="005D0D49"/>
    <w:rsid w:val="005D2AD4"/>
    <w:rsid w:val="005D2AF4"/>
    <w:rsid w:val="005D3104"/>
    <w:rsid w:val="005D3229"/>
    <w:rsid w:val="005D3B5F"/>
    <w:rsid w:val="005D6871"/>
    <w:rsid w:val="005D7B94"/>
    <w:rsid w:val="005E05DA"/>
    <w:rsid w:val="005E1180"/>
    <w:rsid w:val="005E1824"/>
    <w:rsid w:val="005E1826"/>
    <w:rsid w:val="005E2E89"/>
    <w:rsid w:val="005E36B0"/>
    <w:rsid w:val="005E3E58"/>
    <w:rsid w:val="005E406D"/>
    <w:rsid w:val="005E5434"/>
    <w:rsid w:val="005E5CCE"/>
    <w:rsid w:val="005E64D5"/>
    <w:rsid w:val="005E75AF"/>
    <w:rsid w:val="005E7CD6"/>
    <w:rsid w:val="005E7CF2"/>
    <w:rsid w:val="005F1679"/>
    <w:rsid w:val="005F23F2"/>
    <w:rsid w:val="005F24E5"/>
    <w:rsid w:val="005F3973"/>
    <w:rsid w:val="005F444C"/>
    <w:rsid w:val="005F45D7"/>
    <w:rsid w:val="005F4856"/>
    <w:rsid w:val="005F7785"/>
    <w:rsid w:val="005F7A05"/>
    <w:rsid w:val="0060035F"/>
    <w:rsid w:val="006003BE"/>
    <w:rsid w:val="006008B9"/>
    <w:rsid w:val="00600EBC"/>
    <w:rsid w:val="006020D1"/>
    <w:rsid w:val="0060216D"/>
    <w:rsid w:val="0060252B"/>
    <w:rsid w:val="0060468A"/>
    <w:rsid w:val="00604A3C"/>
    <w:rsid w:val="00605673"/>
    <w:rsid w:val="00605700"/>
    <w:rsid w:val="00605C98"/>
    <w:rsid w:val="006075B4"/>
    <w:rsid w:val="00607B00"/>
    <w:rsid w:val="00611796"/>
    <w:rsid w:val="00611A47"/>
    <w:rsid w:val="00612FD2"/>
    <w:rsid w:val="00614FB8"/>
    <w:rsid w:val="006152D2"/>
    <w:rsid w:val="0061620A"/>
    <w:rsid w:val="00616C0A"/>
    <w:rsid w:val="00616CF8"/>
    <w:rsid w:val="0061748F"/>
    <w:rsid w:val="0062084B"/>
    <w:rsid w:val="00620E5E"/>
    <w:rsid w:val="00620FBE"/>
    <w:rsid w:val="00621009"/>
    <w:rsid w:val="00621121"/>
    <w:rsid w:val="006212E6"/>
    <w:rsid w:val="00622389"/>
    <w:rsid w:val="006235EA"/>
    <w:rsid w:val="006244F0"/>
    <w:rsid w:val="00625432"/>
    <w:rsid w:val="006265B5"/>
    <w:rsid w:val="00626814"/>
    <w:rsid w:val="0063036F"/>
    <w:rsid w:val="0063251F"/>
    <w:rsid w:val="00633C6C"/>
    <w:rsid w:val="00634526"/>
    <w:rsid w:val="00634726"/>
    <w:rsid w:val="00635D10"/>
    <w:rsid w:val="00637142"/>
    <w:rsid w:val="00640F96"/>
    <w:rsid w:val="0064104D"/>
    <w:rsid w:val="0064121B"/>
    <w:rsid w:val="00641897"/>
    <w:rsid w:val="00643ABB"/>
    <w:rsid w:val="00644CD5"/>
    <w:rsid w:val="006450A9"/>
    <w:rsid w:val="00645418"/>
    <w:rsid w:val="006454A2"/>
    <w:rsid w:val="0064769B"/>
    <w:rsid w:val="006510E3"/>
    <w:rsid w:val="0065175C"/>
    <w:rsid w:val="006518FC"/>
    <w:rsid w:val="00651C42"/>
    <w:rsid w:val="00651E1B"/>
    <w:rsid w:val="00651E3F"/>
    <w:rsid w:val="00653025"/>
    <w:rsid w:val="006537FA"/>
    <w:rsid w:val="006541A6"/>
    <w:rsid w:val="00654F98"/>
    <w:rsid w:val="0065718F"/>
    <w:rsid w:val="00657309"/>
    <w:rsid w:val="006604AB"/>
    <w:rsid w:val="0066220C"/>
    <w:rsid w:val="006622A1"/>
    <w:rsid w:val="006625FA"/>
    <w:rsid w:val="00663279"/>
    <w:rsid w:val="0066368B"/>
    <w:rsid w:val="00663798"/>
    <w:rsid w:val="00663B75"/>
    <w:rsid w:val="00663D3F"/>
    <w:rsid w:val="00663D81"/>
    <w:rsid w:val="00666F66"/>
    <w:rsid w:val="0066798E"/>
    <w:rsid w:val="006712DA"/>
    <w:rsid w:val="00671ED3"/>
    <w:rsid w:val="006720C9"/>
    <w:rsid w:val="00672523"/>
    <w:rsid w:val="006725D8"/>
    <w:rsid w:val="00673A58"/>
    <w:rsid w:val="00673B2E"/>
    <w:rsid w:val="00673C29"/>
    <w:rsid w:val="00674728"/>
    <w:rsid w:val="00675EC0"/>
    <w:rsid w:val="00675EEB"/>
    <w:rsid w:val="00676500"/>
    <w:rsid w:val="0067695E"/>
    <w:rsid w:val="00676C6D"/>
    <w:rsid w:val="006803AD"/>
    <w:rsid w:val="006818AE"/>
    <w:rsid w:val="00681D65"/>
    <w:rsid w:val="00683AC2"/>
    <w:rsid w:val="00683D99"/>
    <w:rsid w:val="00683E8A"/>
    <w:rsid w:val="0068496F"/>
    <w:rsid w:val="006864EF"/>
    <w:rsid w:val="0068709D"/>
    <w:rsid w:val="0068775F"/>
    <w:rsid w:val="00687A5D"/>
    <w:rsid w:val="00690851"/>
    <w:rsid w:val="006914B3"/>
    <w:rsid w:val="0069169D"/>
    <w:rsid w:val="00692378"/>
    <w:rsid w:val="00692977"/>
    <w:rsid w:val="006929DF"/>
    <w:rsid w:val="006942E3"/>
    <w:rsid w:val="006944C8"/>
    <w:rsid w:val="00695493"/>
    <w:rsid w:val="00695F04"/>
    <w:rsid w:val="0069608F"/>
    <w:rsid w:val="006963F8"/>
    <w:rsid w:val="0069699F"/>
    <w:rsid w:val="0069714B"/>
    <w:rsid w:val="00697E30"/>
    <w:rsid w:val="006A0265"/>
    <w:rsid w:val="006A0C8B"/>
    <w:rsid w:val="006A1FFB"/>
    <w:rsid w:val="006A29EA"/>
    <w:rsid w:val="006A437D"/>
    <w:rsid w:val="006A449A"/>
    <w:rsid w:val="006A53B7"/>
    <w:rsid w:val="006A5852"/>
    <w:rsid w:val="006A5E6B"/>
    <w:rsid w:val="006A6053"/>
    <w:rsid w:val="006A7CB3"/>
    <w:rsid w:val="006B0DC3"/>
    <w:rsid w:val="006B167C"/>
    <w:rsid w:val="006B195D"/>
    <w:rsid w:val="006B1C9C"/>
    <w:rsid w:val="006B257F"/>
    <w:rsid w:val="006B262A"/>
    <w:rsid w:val="006B264D"/>
    <w:rsid w:val="006B3A40"/>
    <w:rsid w:val="006B4D3C"/>
    <w:rsid w:val="006B4EF7"/>
    <w:rsid w:val="006B5035"/>
    <w:rsid w:val="006B593D"/>
    <w:rsid w:val="006B5EFF"/>
    <w:rsid w:val="006B6C59"/>
    <w:rsid w:val="006B7C28"/>
    <w:rsid w:val="006C1344"/>
    <w:rsid w:val="006C18CC"/>
    <w:rsid w:val="006C3DDB"/>
    <w:rsid w:val="006C5593"/>
    <w:rsid w:val="006C58A0"/>
    <w:rsid w:val="006C5F7A"/>
    <w:rsid w:val="006C68FE"/>
    <w:rsid w:val="006C700C"/>
    <w:rsid w:val="006C7A25"/>
    <w:rsid w:val="006C7EAE"/>
    <w:rsid w:val="006D10D1"/>
    <w:rsid w:val="006D12AC"/>
    <w:rsid w:val="006D18E7"/>
    <w:rsid w:val="006D2FC2"/>
    <w:rsid w:val="006D3083"/>
    <w:rsid w:val="006D34C0"/>
    <w:rsid w:val="006D368F"/>
    <w:rsid w:val="006D4166"/>
    <w:rsid w:val="006D523A"/>
    <w:rsid w:val="006D741C"/>
    <w:rsid w:val="006D75E2"/>
    <w:rsid w:val="006D775A"/>
    <w:rsid w:val="006D7773"/>
    <w:rsid w:val="006E0F01"/>
    <w:rsid w:val="006E1B95"/>
    <w:rsid w:val="006E34CE"/>
    <w:rsid w:val="006E4641"/>
    <w:rsid w:val="006E4A3E"/>
    <w:rsid w:val="006E53AA"/>
    <w:rsid w:val="006E5926"/>
    <w:rsid w:val="006E5EC9"/>
    <w:rsid w:val="006E6FAC"/>
    <w:rsid w:val="006F03D3"/>
    <w:rsid w:val="006F1474"/>
    <w:rsid w:val="006F1FA0"/>
    <w:rsid w:val="006F388B"/>
    <w:rsid w:val="006F3E5F"/>
    <w:rsid w:val="006F40B4"/>
    <w:rsid w:val="006F495F"/>
    <w:rsid w:val="006F5698"/>
    <w:rsid w:val="006F569A"/>
    <w:rsid w:val="006F64D4"/>
    <w:rsid w:val="006F6E79"/>
    <w:rsid w:val="006F74BD"/>
    <w:rsid w:val="006F79BA"/>
    <w:rsid w:val="00701B08"/>
    <w:rsid w:val="0070229F"/>
    <w:rsid w:val="00702F3F"/>
    <w:rsid w:val="00703662"/>
    <w:rsid w:val="0070387B"/>
    <w:rsid w:val="00703B22"/>
    <w:rsid w:val="00704B22"/>
    <w:rsid w:val="00705536"/>
    <w:rsid w:val="00705544"/>
    <w:rsid w:val="00706126"/>
    <w:rsid w:val="00707706"/>
    <w:rsid w:val="0071198F"/>
    <w:rsid w:val="00711CFF"/>
    <w:rsid w:val="00712718"/>
    <w:rsid w:val="007128BF"/>
    <w:rsid w:val="00712A09"/>
    <w:rsid w:val="00712ADA"/>
    <w:rsid w:val="00714B64"/>
    <w:rsid w:val="00714C2E"/>
    <w:rsid w:val="00715040"/>
    <w:rsid w:val="00715D54"/>
    <w:rsid w:val="0071768D"/>
    <w:rsid w:val="00720423"/>
    <w:rsid w:val="007204F8"/>
    <w:rsid w:val="0072091A"/>
    <w:rsid w:val="0072195A"/>
    <w:rsid w:val="00722356"/>
    <w:rsid w:val="00722416"/>
    <w:rsid w:val="007227DD"/>
    <w:rsid w:val="00723D19"/>
    <w:rsid w:val="00724918"/>
    <w:rsid w:val="00725381"/>
    <w:rsid w:val="00726466"/>
    <w:rsid w:val="007271C4"/>
    <w:rsid w:val="007306D1"/>
    <w:rsid w:val="00730FC5"/>
    <w:rsid w:val="00731B84"/>
    <w:rsid w:val="00732E4D"/>
    <w:rsid w:val="00733436"/>
    <w:rsid w:val="00734079"/>
    <w:rsid w:val="007342EF"/>
    <w:rsid w:val="007355F0"/>
    <w:rsid w:val="00735644"/>
    <w:rsid w:val="00735747"/>
    <w:rsid w:val="0073595E"/>
    <w:rsid w:val="00735E08"/>
    <w:rsid w:val="0073680F"/>
    <w:rsid w:val="00736A3E"/>
    <w:rsid w:val="00736D9D"/>
    <w:rsid w:val="00736F53"/>
    <w:rsid w:val="00737968"/>
    <w:rsid w:val="00740279"/>
    <w:rsid w:val="00740954"/>
    <w:rsid w:val="00742E03"/>
    <w:rsid w:val="007441BE"/>
    <w:rsid w:val="007447A7"/>
    <w:rsid w:val="00744CAE"/>
    <w:rsid w:val="00744D82"/>
    <w:rsid w:val="00744DF5"/>
    <w:rsid w:val="00744F63"/>
    <w:rsid w:val="0074699B"/>
    <w:rsid w:val="00746BE3"/>
    <w:rsid w:val="00747945"/>
    <w:rsid w:val="00750158"/>
    <w:rsid w:val="007514DC"/>
    <w:rsid w:val="007519C5"/>
    <w:rsid w:val="007521DD"/>
    <w:rsid w:val="00752CF5"/>
    <w:rsid w:val="00753190"/>
    <w:rsid w:val="007539D1"/>
    <w:rsid w:val="00754885"/>
    <w:rsid w:val="00755824"/>
    <w:rsid w:val="0075615A"/>
    <w:rsid w:val="00757A0C"/>
    <w:rsid w:val="00760752"/>
    <w:rsid w:val="0076147D"/>
    <w:rsid w:val="00762BE7"/>
    <w:rsid w:val="0076584C"/>
    <w:rsid w:val="00767079"/>
    <w:rsid w:val="0076721B"/>
    <w:rsid w:val="007675DB"/>
    <w:rsid w:val="00770BA1"/>
    <w:rsid w:val="00772B8A"/>
    <w:rsid w:val="00772CEC"/>
    <w:rsid w:val="00773707"/>
    <w:rsid w:val="00774142"/>
    <w:rsid w:val="00774A3E"/>
    <w:rsid w:val="0077500B"/>
    <w:rsid w:val="007752E7"/>
    <w:rsid w:val="00775812"/>
    <w:rsid w:val="00775C25"/>
    <w:rsid w:val="00775EE4"/>
    <w:rsid w:val="007763CA"/>
    <w:rsid w:val="0077670C"/>
    <w:rsid w:val="00776F11"/>
    <w:rsid w:val="0077720A"/>
    <w:rsid w:val="00777D1B"/>
    <w:rsid w:val="00782911"/>
    <w:rsid w:val="00783E57"/>
    <w:rsid w:val="00783ECB"/>
    <w:rsid w:val="00784706"/>
    <w:rsid w:val="00787B4B"/>
    <w:rsid w:val="00787BAB"/>
    <w:rsid w:val="00790759"/>
    <w:rsid w:val="00791B94"/>
    <w:rsid w:val="00791F29"/>
    <w:rsid w:val="00793073"/>
    <w:rsid w:val="00793147"/>
    <w:rsid w:val="00793208"/>
    <w:rsid w:val="007934F3"/>
    <w:rsid w:val="00793E2A"/>
    <w:rsid w:val="007955E1"/>
    <w:rsid w:val="007958D4"/>
    <w:rsid w:val="007959D6"/>
    <w:rsid w:val="00796562"/>
    <w:rsid w:val="007969FE"/>
    <w:rsid w:val="007A039B"/>
    <w:rsid w:val="007A0628"/>
    <w:rsid w:val="007A06DF"/>
    <w:rsid w:val="007A10E8"/>
    <w:rsid w:val="007A351F"/>
    <w:rsid w:val="007A3E90"/>
    <w:rsid w:val="007A40A5"/>
    <w:rsid w:val="007A4DDC"/>
    <w:rsid w:val="007A5B70"/>
    <w:rsid w:val="007A6F59"/>
    <w:rsid w:val="007A79A9"/>
    <w:rsid w:val="007A7B1A"/>
    <w:rsid w:val="007A7DFC"/>
    <w:rsid w:val="007A7F9A"/>
    <w:rsid w:val="007B0116"/>
    <w:rsid w:val="007B01B4"/>
    <w:rsid w:val="007B01DD"/>
    <w:rsid w:val="007B193D"/>
    <w:rsid w:val="007B1CA5"/>
    <w:rsid w:val="007B205A"/>
    <w:rsid w:val="007B53C2"/>
    <w:rsid w:val="007B695D"/>
    <w:rsid w:val="007B7209"/>
    <w:rsid w:val="007B755A"/>
    <w:rsid w:val="007C07C5"/>
    <w:rsid w:val="007C0D69"/>
    <w:rsid w:val="007C3C27"/>
    <w:rsid w:val="007C52BF"/>
    <w:rsid w:val="007C743D"/>
    <w:rsid w:val="007C77D4"/>
    <w:rsid w:val="007D01FA"/>
    <w:rsid w:val="007D079B"/>
    <w:rsid w:val="007D080A"/>
    <w:rsid w:val="007D1673"/>
    <w:rsid w:val="007D19FB"/>
    <w:rsid w:val="007D30DE"/>
    <w:rsid w:val="007D4B91"/>
    <w:rsid w:val="007D4C3C"/>
    <w:rsid w:val="007D5528"/>
    <w:rsid w:val="007D6211"/>
    <w:rsid w:val="007D6EC0"/>
    <w:rsid w:val="007D7497"/>
    <w:rsid w:val="007E0496"/>
    <w:rsid w:val="007E04C6"/>
    <w:rsid w:val="007E0677"/>
    <w:rsid w:val="007E0D2C"/>
    <w:rsid w:val="007E1DA7"/>
    <w:rsid w:val="007E2A5C"/>
    <w:rsid w:val="007E452E"/>
    <w:rsid w:val="007E4BAA"/>
    <w:rsid w:val="007E4F94"/>
    <w:rsid w:val="007E664A"/>
    <w:rsid w:val="007E6E36"/>
    <w:rsid w:val="007E7343"/>
    <w:rsid w:val="007E7ED8"/>
    <w:rsid w:val="007F068A"/>
    <w:rsid w:val="007F1692"/>
    <w:rsid w:val="007F1D6E"/>
    <w:rsid w:val="007F2655"/>
    <w:rsid w:val="007F2E32"/>
    <w:rsid w:val="007F45A9"/>
    <w:rsid w:val="007F5FF0"/>
    <w:rsid w:val="007F6059"/>
    <w:rsid w:val="007F6670"/>
    <w:rsid w:val="007F67B6"/>
    <w:rsid w:val="007F706D"/>
    <w:rsid w:val="007F7835"/>
    <w:rsid w:val="007F7DC3"/>
    <w:rsid w:val="007F7E0F"/>
    <w:rsid w:val="00800F41"/>
    <w:rsid w:val="0080188C"/>
    <w:rsid w:val="00801D89"/>
    <w:rsid w:val="00802127"/>
    <w:rsid w:val="00802EF9"/>
    <w:rsid w:val="00804DE5"/>
    <w:rsid w:val="00805D86"/>
    <w:rsid w:val="00805EFE"/>
    <w:rsid w:val="00806127"/>
    <w:rsid w:val="00806C6F"/>
    <w:rsid w:val="00806D11"/>
    <w:rsid w:val="00806DD5"/>
    <w:rsid w:val="00806E96"/>
    <w:rsid w:val="00807395"/>
    <w:rsid w:val="008079D8"/>
    <w:rsid w:val="0081083F"/>
    <w:rsid w:val="00810960"/>
    <w:rsid w:val="00810D4C"/>
    <w:rsid w:val="008110D9"/>
    <w:rsid w:val="00811E55"/>
    <w:rsid w:val="00811E8F"/>
    <w:rsid w:val="0081206E"/>
    <w:rsid w:val="0081229B"/>
    <w:rsid w:val="00812361"/>
    <w:rsid w:val="00812F8E"/>
    <w:rsid w:val="00814FBA"/>
    <w:rsid w:val="0081518B"/>
    <w:rsid w:val="00816CF2"/>
    <w:rsid w:val="00816E6D"/>
    <w:rsid w:val="00820382"/>
    <w:rsid w:val="00820633"/>
    <w:rsid w:val="00821B69"/>
    <w:rsid w:val="00821F4E"/>
    <w:rsid w:val="008222B2"/>
    <w:rsid w:val="00822AFF"/>
    <w:rsid w:val="00822C87"/>
    <w:rsid w:val="00823E69"/>
    <w:rsid w:val="00824405"/>
    <w:rsid w:val="0082441E"/>
    <w:rsid w:val="0082583B"/>
    <w:rsid w:val="00826446"/>
    <w:rsid w:val="00826B90"/>
    <w:rsid w:val="00832ACE"/>
    <w:rsid w:val="00832DA4"/>
    <w:rsid w:val="0083319C"/>
    <w:rsid w:val="0083397A"/>
    <w:rsid w:val="0083636E"/>
    <w:rsid w:val="00836489"/>
    <w:rsid w:val="00836716"/>
    <w:rsid w:val="0083700F"/>
    <w:rsid w:val="008377F5"/>
    <w:rsid w:val="0084120F"/>
    <w:rsid w:val="00841989"/>
    <w:rsid w:val="00841AD1"/>
    <w:rsid w:val="0084447B"/>
    <w:rsid w:val="0084495B"/>
    <w:rsid w:val="008452CE"/>
    <w:rsid w:val="008468C8"/>
    <w:rsid w:val="00846AAA"/>
    <w:rsid w:val="00847609"/>
    <w:rsid w:val="008479E8"/>
    <w:rsid w:val="00850119"/>
    <w:rsid w:val="00851BAB"/>
    <w:rsid w:val="008520B0"/>
    <w:rsid w:val="00853B3C"/>
    <w:rsid w:val="00854018"/>
    <w:rsid w:val="00854099"/>
    <w:rsid w:val="00855646"/>
    <w:rsid w:val="00855B30"/>
    <w:rsid w:val="008567AE"/>
    <w:rsid w:val="00856989"/>
    <w:rsid w:val="008578C3"/>
    <w:rsid w:val="008602F0"/>
    <w:rsid w:val="00860F22"/>
    <w:rsid w:val="00862A6E"/>
    <w:rsid w:val="008635A6"/>
    <w:rsid w:val="0086387E"/>
    <w:rsid w:val="008645B8"/>
    <w:rsid w:val="00864D47"/>
    <w:rsid w:val="0086535D"/>
    <w:rsid w:val="00867024"/>
    <w:rsid w:val="0086790C"/>
    <w:rsid w:val="0086794B"/>
    <w:rsid w:val="00867FE5"/>
    <w:rsid w:val="008704FB"/>
    <w:rsid w:val="00871ADE"/>
    <w:rsid w:val="00871B4A"/>
    <w:rsid w:val="00871E93"/>
    <w:rsid w:val="00872BE4"/>
    <w:rsid w:val="00873927"/>
    <w:rsid w:val="00874B6E"/>
    <w:rsid w:val="008755DC"/>
    <w:rsid w:val="0087751B"/>
    <w:rsid w:val="00877B4B"/>
    <w:rsid w:val="00877E22"/>
    <w:rsid w:val="00877F2D"/>
    <w:rsid w:val="00880D3F"/>
    <w:rsid w:val="00880ECE"/>
    <w:rsid w:val="00881702"/>
    <w:rsid w:val="00881910"/>
    <w:rsid w:val="00881D2A"/>
    <w:rsid w:val="00882C21"/>
    <w:rsid w:val="008831B9"/>
    <w:rsid w:val="00884A54"/>
    <w:rsid w:val="00885020"/>
    <w:rsid w:val="00885352"/>
    <w:rsid w:val="0088698D"/>
    <w:rsid w:val="00886B90"/>
    <w:rsid w:val="00887DBC"/>
    <w:rsid w:val="00890270"/>
    <w:rsid w:val="008914BC"/>
    <w:rsid w:val="00891EC4"/>
    <w:rsid w:val="008922F5"/>
    <w:rsid w:val="008933AF"/>
    <w:rsid w:val="008943C3"/>
    <w:rsid w:val="00894939"/>
    <w:rsid w:val="00897B89"/>
    <w:rsid w:val="00897D19"/>
    <w:rsid w:val="00897E23"/>
    <w:rsid w:val="00897FB3"/>
    <w:rsid w:val="008A0D6F"/>
    <w:rsid w:val="008A1ED8"/>
    <w:rsid w:val="008A3197"/>
    <w:rsid w:val="008A3F09"/>
    <w:rsid w:val="008A4D07"/>
    <w:rsid w:val="008A501A"/>
    <w:rsid w:val="008A54CE"/>
    <w:rsid w:val="008A5571"/>
    <w:rsid w:val="008A5A1E"/>
    <w:rsid w:val="008A5DE1"/>
    <w:rsid w:val="008A5F83"/>
    <w:rsid w:val="008A6622"/>
    <w:rsid w:val="008A6A8B"/>
    <w:rsid w:val="008A7EE0"/>
    <w:rsid w:val="008B0024"/>
    <w:rsid w:val="008B0979"/>
    <w:rsid w:val="008B1029"/>
    <w:rsid w:val="008B15EA"/>
    <w:rsid w:val="008B16AD"/>
    <w:rsid w:val="008B2B90"/>
    <w:rsid w:val="008B3379"/>
    <w:rsid w:val="008B34EA"/>
    <w:rsid w:val="008B3A71"/>
    <w:rsid w:val="008B4AB8"/>
    <w:rsid w:val="008B4ADF"/>
    <w:rsid w:val="008B583F"/>
    <w:rsid w:val="008B5D7B"/>
    <w:rsid w:val="008B6597"/>
    <w:rsid w:val="008B69CD"/>
    <w:rsid w:val="008B6FC3"/>
    <w:rsid w:val="008B7670"/>
    <w:rsid w:val="008B793F"/>
    <w:rsid w:val="008B7B14"/>
    <w:rsid w:val="008C1646"/>
    <w:rsid w:val="008C2EA8"/>
    <w:rsid w:val="008C2FAA"/>
    <w:rsid w:val="008C4FE1"/>
    <w:rsid w:val="008C5287"/>
    <w:rsid w:val="008C67E6"/>
    <w:rsid w:val="008C7031"/>
    <w:rsid w:val="008C7721"/>
    <w:rsid w:val="008C7D04"/>
    <w:rsid w:val="008D0657"/>
    <w:rsid w:val="008D0C12"/>
    <w:rsid w:val="008D1FF7"/>
    <w:rsid w:val="008D2671"/>
    <w:rsid w:val="008D43A8"/>
    <w:rsid w:val="008D4660"/>
    <w:rsid w:val="008D4C79"/>
    <w:rsid w:val="008D574C"/>
    <w:rsid w:val="008D591A"/>
    <w:rsid w:val="008D5A9B"/>
    <w:rsid w:val="008D5D02"/>
    <w:rsid w:val="008D6C31"/>
    <w:rsid w:val="008E0002"/>
    <w:rsid w:val="008E0A70"/>
    <w:rsid w:val="008E1368"/>
    <w:rsid w:val="008E1502"/>
    <w:rsid w:val="008E16A7"/>
    <w:rsid w:val="008E2AD9"/>
    <w:rsid w:val="008E4390"/>
    <w:rsid w:val="008E4C70"/>
    <w:rsid w:val="008E6DCA"/>
    <w:rsid w:val="008E72FE"/>
    <w:rsid w:val="008F0708"/>
    <w:rsid w:val="008F0E22"/>
    <w:rsid w:val="008F1A64"/>
    <w:rsid w:val="008F2070"/>
    <w:rsid w:val="008F3B0E"/>
    <w:rsid w:val="008F4229"/>
    <w:rsid w:val="008F49A9"/>
    <w:rsid w:val="008F57F4"/>
    <w:rsid w:val="008F5815"/>
    <w:rsid w:val="008F5CA6"/>
    <w:rsid w:val="008F5CE1"/>
    <w:rsid w:val="008F6011"/>
    <w:rsid w:val="008F65B5"/>
    <w:rsid w:val="008F6B2E"/>
    <w:rsid w:val="008F7BF5"/>
    <w:rsid w:val="008F7C87"/>
    <w:rsid w:val="008F7F1A"/>
    <w:rsid w:val="00900085"/>
    <w:rsid w:val="00902476"/>
    <w:rsid w:val="00902D38"/>
    <w:rsid w:val="00904D4D"/>
    <w:rsid w:val="0090628A"/>
    <w:rsid w:val="00906D75"/>
    <w:rsid w:val="0090761F"/>
    <w:rsid w:val="00907EE0"/>
    <w:rsid w:val="00910131"/>
    <w:rsid w:val="00910F7A"/>
    <w:rsid w:val="00911142"/>
    <w:rsid w:val="0091151C"/>
    <w:rsid w:val="0091187D"/>
    <w:rsid w:val="00912319"/>
    <w:rsid w:val="009130B6"/>
    <w:rsid w:val="0091328A"/>
    <w:rsid w:val="00913A18"/>
    <w:rsid w:val="0091408D"/>
    <w:rsid w:val="0091477C"/>
    <w:rsid w:val="0091717D"/>
    <w:rsid w:val="00917980"/>
    <w:rsid w:val="00917ACA"/>
    <w:rsid w:val="00917DBB"/>
    <w:rsid w:val="00917FD0"/>
    <w:rsid w:val="009205DA"/>
    <w:rsid w:val="009215AF"/>
    <w:rsid w:val="009221EC"/>
    <w:rsid w:val="00923636"/>
    <w:rsid w:val="0092446A"/>
    <w:rsid w:val="00925345"/>
    <w:rsid w:val="009259CB"/>
    <w:rsid w:val="00925EC7"/>
    <w:rsid w:val="00926587"/>
    <w:rsid w:val="00926706"/>
    <w:rsid w:val="00927128"/>
    <w:rsid w:val="00930014"/>
    <w:rsid w:val="00930184"/>
    <w:rsid w:val="009305F6"/>
    <w:rsid w:val="0093077D"/>
    <w:rsid w:val="00931200"/>
    <w:rsid w:val="009312CB"/>
    <w:rsid w:val="00932A56"/>
    <w:rsid w:val="009339EB"/>
    <w:rsid w:val="00934700"/>
    <w:rsid w:val="00936C78"/>
    <w:rsid w:val="00940557"/>
    <w:rsid w:val="009410C0"/>
    <w:rsid w:val="00941B22"/>
    <w:rsid w:val="009423C3"/>
    <w:rsid w:val="00942E85"/>
    <w:rsid w:val="00942FA1"/>
    <w:rsid w:val="00943A94"/>
    <w:rsid w:val="00945C90"/>
    <w:rsid w:val="00945D6A"/>
    <w:rsid w:val="00946805"/>
    <w:rsid w:val="00946A68"/>
    <w:rsid w:val="00947F42"/>
    <w:rsid w:val="0095003B"/>
    <w:rsid w:val="00950412"/>
    <w:rsid w:val="00950E36"/>
    <w:rsid w:val="009513D3"/>
    <w:rsid w:val="00951805"/>
    <w:rsid w:val="009521D6"/>
    <w:rsid w:val="009529D6"/>
    <w:rsid w:val="00952DC5"/>
    <w:rsid w:val="00953474"/>
    <w:rsid w:val="00953A1B"/>
    <w:rsid w:val="00953C55"/>
    <w:rsid w:val="00953EDA"/>
    <w:rsid w:val="00954277"/>
    <w:rsid w:val="009559DD"/>
    <w:rsid w:val="00956397"/>
    <w:rsid w:val="009567CF"/>
    <w:rsid w:val="0095748D"/>
    <w:rsid w:val="00957F21"/>
    <w:rsid w:val="0096070B"/>
    <w:rsid w:val="009607BD"/>
    <w:rsid w:val="00962BF7"/>
    <w:rsid w:val="00962E7C"/>
    <w:rsid w:val="00962F00"/>
    <w:rsid w:val="00963A40"/>
    <w:rsid w:val="00963F4D"/>
    <w:rsid w:val="0096478C"/>
    <w:rsid w:val="00965C6B"/>
    <w:rsid w:val="00971283"/>
    <w:rsid w:val="009727FF"/>
    <w:rsid w:val="00973014"/>
    <w:rsid w:val="009735A5"/>
    <w:rsid w:val="00973DFD"/>
    <w:rsid w:val="00974272"/>
    <w:rsid w:val="00977925"/>
    <w:rsid w:val="00980112"/>
    <w:rsid w:val="0098132B"/>
    <w:rsid w:val="00981B1F"/>
    <w:rsid w:val="00982295"/>
    <w:rsid w:val="0098385F"/>
    <w:rsid w:val="00983F63"/>
    <w:rsid w:val="00984816"/>
    <w:rsid w:val="009854B1"/>
    <w:rsid w:val="009855E3"/>
    <w:rsid w:val="009860E8"/>
    <w:rsid w:val="009863CA"/>
    <w:rsid w:val="009868B1"/>
    <w:rsid w:val="00987803"/>
    <w:rsid w:val="00990032"/>
    <w:rsid w:val="00991B63"/>
    <w:rsid w:val="009932B5"/>
    <w:rsid w:val="00993A4E"/>
    <w:rsid w:val="009941E4"/>
    <w:rsid w:val="00994A90"/>
    <w:rsid w:val="009961AC"/>
    <w:rsid w:val="0099659C"/>
    <w:rsid w:val="009967C9"/>
    <w:rsid w:val="009970A8"/>
    <w:rsid w:val="009976C0"/>
    <w:rsid w:val="00997A54"/>
    <w:rsid w:val="00997D82"/>
    <w:rsid w:val="009A1339"/>
    <w:rsid w:val="009A1A6B"/>
    <w:rsid w:val="009A207C"/>
    <w:rsid w:val="009A38EA"/>
    <w:rsid w:val="009A4905"/>
    <w:rsid w:val="009A4954"/>
    <w:rsid w:val="009A4B15"/>
    <w:rsid w:val="009A5063"/>
    <w:rsid w:val="009A605D"/>
    <w:rsid w:val="009A6FD5"/>
    <w:rsid w:val="009A7041"/>
    <w:rsid w:val="009A7A3E"/>
    <w:rsid w:val="009B1276"/>
    <w:rsid w:val="009B12E5"/>
    <w:rsid w:val="009B26F0"/>
    <w:rsid w:val="009B2726"/>
    <w:rsid w:val="009B3A55"/>
    <w:rsid w:val="009B3D52"/>
    <w:rsid w:val="009B4C14"/>
    <w:rsid w:val="009B5477"/>
    <w:rsid w:val="009B5738"/>
    <w:rsid w:val="009B5E0E"/>
    <w:rsid w:val="009B6CB6"/>
    <w:rsid w:val="009B7881"/>
    <w:rsid w:val="009B7AB8"/>
    <w:rsid w:val="009C0529"/>
    <w:rsid w:val="009C075E"/>
    <w:rsid w:val="009C084B"/>
    <w:rsid w:val="009C0C5E"/>
    <w:rsid w:val="009C123B"/>
    <w:rsid w:val="009C1614"/>
    <w:rsid w:val="009C1BD3"/>
    <w:rsid w:val="009C1D03"/>
    <w:rsid w:val="009C218C"/>
    <w:rsid w:val="009C2A5E"/>
    <w:rsid w:val="009C4480"/>
    <w:rsid w:val="009C44A1"/>
    <w:rsid w:val="009C44CA"/>
    <w:rsid w:val="009C4522"/>
    <w:rsid w:val="009C4CEA"/>
    <w:rsid w:val="009C57D4"/>
    <w:rsid w:val="009C7EA1"/>
    <w:rsid w:val="009D06D2"/>
    <w:rsid w:val="009D1CAA"/>
    <w:rsid w:val="009D34C3"/>
    <w:rsid w:val="009D3981"/>
    <w:rsid w:val="009D41A5"/>
    <w:rsid w:val="009D4F4D"/>
    <w:rsid w:val="009D56BF"/>
    <w:rsid w:val="009D6152"/>
    <w:rsid w:val="009D689B"/>
    <w:rsid w:val="009E1764"/>
    <w:rsid w:val="009E2C67"/>
    <w:rsid w:val="009E3DA2"/>
    <w:rsid w:val="009E43C7"/>
    <w:rsid w:val="009E5960"/>
    <w:rsid w:val="009E7E43"/>
    <w:rsid w:val="009F0087"/>
    <w:rsid w:val="009F0329"/>
    <w:rsid w:val="009F03A7"/>
    <w:rsid w:val="009F1838"/>
    <w:rsid w:val="009F1ED0"/>
    <w:rsid w:val="009F279C"/>
    <w:rsid w:val="009F3034"/>
    <w:rsid w:val="009F3EE1"/>
    <w:rsid w:val="009F410E"/>
    <w:rsid w:val="009F44B8"/>
    <w:rsid w:val="009F4FCE"/>
    <w:rsid w:val="009F76C1"/>
    <w:rsid w:val="009F79C8"/>
    <w:rsid w:val="009F7FC2"/>
    <w:rsid w:val="00A0069F"/>
    <w:rsid w:val="00A00DB4"/>
    <w:rsid w:val="00A01BFD"/>
    <w:rsid w:val="00A03045"/>
    <w:rsid w:val="00A0417B"/>
    <w:rsid w:val="00A05058"/>
    <w:rsid w:val="00A0527D"/>
    <w:rsid w:val="00A05320"/>
    <w:rsid w:val="00A056E8"/>
    <w:rsid w:val="00A05A8F"/>
    <w:rsid w:val="00A05BCB"/>
    <w:rsid w:val="00A07A39"/>
    <w:rsid w:val="00A07E98"/>
    <w:rsid w:val="00A11AE6"/>
    <w:rsid w:val="00A1275F"/>
    <w:rsid w:val="00A12E8E"/>
    <w:rsid w:val="00A1329A"/>
    <w:rsid w:val="00A14830"/>
    <w:rsid w:val="00A14D3A"/>
    <w:rsid w:val="00A1508A"/>
    <w:rsid w:val="00A15790"/>
    <w:rsid w:val="00A15922"/>
    <w:rsid w:val="00A172FF"/>
    <w:rsid w:val="00A17C22"/>
    <w:rsid w:val="00A20318"/>
    <w:rsid w:val="00A21736"/>
    <w:rsid w:val="00A2214C"/>
    <w:rsid w:val="00A225BC"/>
    <w:rsid w:val="00A235E2"/>
    <w:rsid w:val="00A24F01"/>
    <w:rsid w:val="00A25A4A"/>
    <w:rsid w:val="00A25C23"/>
    <w:rsid w:val="00A25EE8"/>
    <w:rsid w:val="00A26230"/>
    <w:rsid w:val="00A271C7"/>
    <w:rsid w:val="00A27432"/>
    <w:rsid w:val="00A30DC4"/>
    <w:rsid w:val="00A31DA6"/>
    <w:rsid w:val="00A3258B"/>
    <w:rsid w:val="00A34618"/>
    <w:rsid w:val="00A350E1"/>
    <w:rsid w:val="00A35194"/>
    <w:rsid w:val="00A35AB1"/>
    <w:rsid w:val="00A35E50"/>
    <w:rsid w:val="00A3632F"/>
    <w:rsid w:val="00A369E9"/>
    <w:rsid w:val="00A374DD"/>
    <w:rsid w:val="00A37598"/>
    <w:rsid w:val="00A37793"/>
    <w:rsid w:val="00A378B6"/>
    <w:rsid w:val="00A41741"/>
    <w:rsid w:val="00A4189E"/>
    <w:rsid w:val="00A456F2"/>
    <w:rsid w:val="00A462B2"/>
    <w:rsid w:val="00A47357"/>
    <w:rsid w:val="00A47986"/>
    <w:rsid w:val="00A50F26"/>
    <w:rsid w:val="00A51C72"/>
    <w:rsid w:val="00A523F0"/>
    <w:rsid w:val="00A52409"/>
    <w:rsid w:val="00A52943"/>
    <w:rsid w:val="00A53758"/>
    <w:rsid w:val="00A53A7B"/>
    <w:rsid w:val="00A53F7B"/>
    <w:rsid w:val="00A5436B"/>
    <w:rsid w:val="00A5449E"/>
    <w:rsid w:val="00A54935"/>
    <w:rsid w:val="00A54C0E"/>
    <w:rsid w:val="00A560D1"/>
    <w:rsid w:val="00A565EA"/>
    <w:rsid w:val="00A56ADB"/>
    <w:rsid w:val="00A575D1"/>
    <w:rsid w:val="00A5779C"/>
    <w:rsid w:val="00A57C9C"/>
    <w:rsid w:val="00A61BBF"/>
    <w:rsid w:val="00A65229"/>
    <w:rsid w:val="00A65FC2"/>
    <w:rsid w:val="00A660AC"/>
    <w:rsid w:val="00A66EA2"/>
    <w:rsid w:val="00A67FD5"/>
    <w:rsid w:val="00A704DB"/>
    <w:rsid w:val="00A71FA3"/>
    <w:rsid w:val="00A72243"/>
    <w:rsid w:val="00A729E4"/>
    <w:rsid w:val="00A72A99"/>
    <w:rsid w:val="00A72FA2"/>
    <w:rsid w:val="00A7305E"/>
    <w:rsid w:val="00A73FC7"/>
    <w:rsid w:val="00A7518E"/>
    <w:rsid w:val="00A764CC"/>
    <w:rsid w:val="00A76C52"/>
    <w:rsid w:val="00A76DA4"/>
    <w:rsid w:val="00A77D8B"/>
    <w:rsid w:val="00A80095"/>
    <w:rsid w:val="00A813AE"/>
    <w:rsid w:val="00A819C3"/>
    <w:rsid w:val="00A81A0E"/>
    <w:rsid w:val="00A81AD2"/>
    <w:rsid w:val="00A82356"/>
    <w:rsid w:val="00A8249F"/>
    <w:rsid w:val="00A82681"/>
    <w:rsid w:val="00A83108"/>
    <w:rsid w:val="00A8366C"/>
    <w:rsid w:val="00A853F8"/>
    <w:rsid w:val="00A85658"/>
    <w:rsid w:val="00A857CF"/>
    <w:rsid w:val="00A86B3F"/>
    <w:rsid w:val="00A872E8"/>
    <w:rsid w:val="00A87363"/>
    <w:rsid w:val="00A9051A"/>
    <w:rsid w:val="00A92666"/>
    <w:rsid w:val="00A926CC"/>
    <w:rsid w:val="00A9280C"/>
    <w:rsid w:val="00A93C66"/>
    <w:rsid w:val="00A94075"/>
    <w:rsid w:val="00A94525"/>
    <w:rsid w:val="00A950FB"/>
    <w:rsid w:val="00A957AB"/>
    <w:rsid w:val="00A96609"/>
    <w:rsid w:val="00A971BF"/>
    <w:rsid w:val="00A978C9"/>
    <w:rsid w:val="00A979D7"/>
    <w:rsid w:val="00AA035A"/>
    <w:rsid w:val="00AA09F8"/>
    <w:rsid w:val="00AA18FE"/>
    <w:rsid w:val="00AA1BB8"/>
    <w:rsid w:val="00AA2479"/>
    <w:rsid w:val="00AA2A9F"/>
    <w:rsid w:val="00AA3D56"/>
    <w:rsid w:val="00AA64CF"/>
    <w:rsid w:val="00AA67F2"/>
    <w:rsid w:val="00AA6BFD"/>
    <w:rsid w:val="00AB01C4"/>
    <w:rsid w:val="00AB062D"/>
    <w:rsid w:val="00AB0DFF"/>
    <w:rsid w:val="00AB109C"/>
    <w:rsid w:val="00AB115B"/>
    <w:rsid w:val="00AB1216"/>
    <w:rsid w:val="00AB19FC"/>
    <w:rsid w:val="00AB229A"/>
    <w:rsid w:val="00AB23EA"/>
    <w:rsid w:val="00AB30CB"/>
    <w:rsid w:val="00AB36C1"/>
    <w:rsid w:val="00AB3F62"/>
    <w:rsid w:val="00AB41D6"/>
    <w:rsid w:val="00AB49D0"/>
    <w:rsid w:val="00AB5A0D"/>
    <w:rsid w:val="00AB610A"/>
    <w:rsid w:val="00AB66A7"/>
    <w:rsid w:val="00AB729D"/>
    <w:rsid w:val="00AC0AE4"/>
    <w:rsid w:val="00AC1341"/>
    <w:rsid w:val="00AC2754"/>
    <w:rsid w:val="00AC2894"/>
    <w:rsid w:val="00AC395A"/>
    <w:rsid w:val="00AC5170"/>
    <w:rsid w:val="00AC5A27"/>
    <w:rsid w:val="00AC5DC0"/>
    <w:rsid w:val="00AC66A9"/>
    <w:rsid w:val="00AC76D2"/>
    <w:rsid w:val="00AC78BF"/>
    <w:rsid w:val="00AD0A71"/>
    <w:rsid w:val="00AD0ABA"/>
    <w:rsid w:val="00AD324B"/>
    <w:rsid w:val="00AD3881"/>
    <w:rsid w:val="00AD48BF"/>
    <w:rsid w:val="00AD4AD3"/>
    <w:rsid w:val="00AD4D1A"/>
    <w:rsid w:val="00AD585A"/>
    <w:rsid w:val="00AD60A4"/>
    <w:rsid w:val="00AD63F0"/>
    <w:rsid w:val="00AD695B"/>
    <w:rsid w:val="00AD6D37"/>
    <w:rsid w:val="00AD7412"/>
    <w:rsid w:val="00AE0061"/>
    <w:rsid w:val="00AE0065"/>
    <w:rsid w:val="00AE063A"/>
    <w:rsid w:val="00AE3FA4"/>
    <w:rsid w:val="00AE4CD1"/>
    <w:rsid w:val="00AE6350"/>
    <w:rsid w:val="00AE768D"/>
    <w:rsid w:val="00AF1127"/>
    <w:rsid w:val="00AF14FD"/>
    <w:rsid w:val="00AF15E4"/>
    <w:rsid w:val="00AF1853"/>
    <w:rsid w:val="00AF2A5F"/>
    <w:rsid w:val="00AF3457"/>
    <w:rsid w:val="00AF3E62"/>
    <w:rsid w:val="00AF45FE"/>
    <w:rsid w:val="00AF4AAE"/>
    <w:rsid w:val="00AF4BA7"/>
    <w:rsid w:val="00AF5408"/>
    <w:rsid w:val="00AF55AC"/>
    <w:rsid w:val="00AF6526"/>
    <w:rsid w:val="00AF7DF6"/>
    <w:rsid w:val="00B003ED"/>
    <w:rsid w:val="00B0073C"/>
    <w:rsid w:val="00B0087C"/>
    <w:rsid w:val="00B00A81"/>
    <w:rsid w:val="00B011D7"/>
    <w:rsid w:val="00B012AB"/>
    <w:rsid w:val="00B01507"/>
    <w:rsid w:val="00B017E7"/>
    <w:rsid w:val="00B019D3"/>
    <w:rsid w:val="00B01EEE"/>
    <w:rsid w:val="00B01F31"/>
    <w:rsid w:val="00B06088"/>
    <w:rsid w:val="00B06605"/>
    <w:rsid w:val="00B107FA"/>
    <w:rsid w:val="00B112CF"/>
    <w:rsid w:val="00B11422"/>
    <w:rsid w:val="00B11E37"/>
    <w:rsid w:val="00B133A8"/>
    <w:rsid w:val="00B137AD"/>
    <w:rsid w:val="00B13A2B"/>
    <w:rsid w:val="00B13CB2"/>
    <w:rsid w:val="00B1406F"/>
    <w:rsid w:val="00B15768"/>
    <w:rsid w:val="00B15E6C"/>
    <w:rsid w:val="00B1668E"/>
    <w:rsid w:val="00B17845"/>
    <w:rsid w:val="00B20117"/>
    <w:rsid w:val="00B21540"/>
    <w:rsid w:val="00B21626"/>
    <w:rsid w:val="00B220F1"/>
    <w:rsid w:val="00B22CBB"/>
    <w:rsid w:val="00B23330"/>
    <w:rsid w:val="00B236D2"/>
    <w:rsid w:val="00B259BC"/>
    <w:rsid w:val="00B27384"/>
    <w:rsid w:val="00B2740C"/>
    <w:rsid w:val="00B276BD"/>
    <w:rsid w:val="00B27731"/>
    <w:rsid w:val="00B27767"/>
    <w:rsid w:val="00B279A7"/>
    <w:rsid w:val="00B30543"/>
    <w:rsid w:val="00B305F8"/>
    <w:rsid w:val="00B30AAE"/>
    <w:rsid w:val="00B31BE5"/>
    <w:rsid w:val="00B32012"/>
    <w:rsid w:val="00B321AD"/>
    <w:rsid w:val="00B32244"/>
    <w:rsid w:val="00B324D0"/>
    <w:rsid w:val="00B329E9"/>
    <w:rsid w:val="00B33520"/>
    <w:rsid w:val="00B335D0"/>
    <w:rsid w:val="00B342FC"/>
    <w:rsid w:val="00B351CB"/>
    <w:rsid w:val="00B35467"/>
    <w:rsid w:val="00B35803"/>
    <w:rsid w:val="00B37FA6"/>
    <w:rsid w:val="00B40086"/>
    <w:rsid w:val="00B40399"/>
    <w:rsid w:val="00B406E7"/>
    <w:rsid w:val="00B413EC"/>
    <w:rsid w:val="00B4158F"/>
    <w:rsid w:val="00B41D9B"/>
    <w:rsid w:val="00B41F7F"/>
    <w:rsid w:val="00B42129"/>
    <w:rsid w:val="00B428E2"/>
    <w:rsid w:val="00B43610"/>
    <w:rsid w:val="00B4667F"/>
    <w:rsid w:val="00B46A81"/>
    <w:rsid w:val="00B46FB9"/>
    <w:rsid w:val="00B47A20"/>
    <w:rsid w:val="00B47B77"/>
    <w:rsid w:val="00B47D49"/>
    <w:rsid w:val="00B501D6"/>
    <w:rsid w:val="00B504F2"/>
    <w:rsid w:val="00B506F7"/>
    <w:rsid w:val="00B5133E"/>
    <w:rsid w:val="00B51FE8"/>
    <w:rsid w:val="00B52090"/>
    <w:rsid w:val="00B5237B"/>
    <w:rsid w:val="00B5245F"/>
    <w:rsid w:val="00B52986"/>
    <w:rsid w:val="00B540F7"/>
    <w:rsid w:val="00B54D64"/>
    <w:rsid w:val="00B55BEA"/>
    <w:rsid w:val="00B57515"/>
    <w:rsid w:val="00B604F0"/>
    <w:rsid w:val="00B6050E"/>
    <w:rsid w:val="00B61D5C"/>
    <w:rsid w:val="00B62231"/>
    <w:rsid w:val="00B6494B"/>
    <w:rsid w:val="00B6590F"/>
    <w:rsid w:val="00B66A0A"/>
    <w:rsid w:val="00B670B9"/>
    <w:rsid w:val="00B679A6"/>
    <w:rsid w:val="00B701C4"/>
    <w:rsid w:val="00B70308"/>
    <w:rsid w:val="00B731FC"/>
    <w:rsid w:val="00B7563C"/>
    <w:rsid w:val="00B762A4"/>
    <w:rsid w:val="00B769FA"/>
    <w:rsid w:val="00B7751F"/>
    <w:rsid w:val="00B804BB"/>
    <w:rsid w:val="00B80609"/>
    <w:rsid w:val="00B80685"/>
    <w:rsid w:val="00B81860"/>
    <w:rsid w:val="00B82466"/>
    <w:rsid w:val="00B838DA"/>
    <w:rsid w:val="00B83AF6"/>
    <w:rsid w:val="00B84061"/>
    <w:rsid w:val="00B861DE"/>
    <w:rsid w:val="00B867A8"/>
    <w:rsid w:val="00B86825"/>
    <w:rsid w:val="00B86BB6"/>
    <w:rsid w:val="00B86DD7"/>
    <w:rsid w:val="00B87744"/>
    <w:rsid w:val="00B87A7C"/>
    <w:rsid w:val="00B87AB3"/>
    <w:rsid w:val="00B900AB"/>
    <w:rsid w:val="00B92CB0"/>
    <w:rsid w:val="00B935A6"/>
    <w:rsid w:val="00B963AD"/>
    <w:rsid w:val="00B97132"/>
    <w:rsid w:val="00BA0682"/>
    <w:rsid w:val="00BA0E25"/>
    <w:rsid w:val="00BA0EBA"/>
    <w:rsid w:val="00BA123F"/>
    <w:rsid w:val="00BA1657"/>
    <w:rsid w:val="00BA1DAD"/>
    <w:rsid w:val="00BA2337"/>
    <w:rsid w:val="00BA240E"/>
    <w:rsid w:val="00BA249C"/>
    <w:rsid w:val="00BA3580"/>
    <w:rsid w:val="00BA368D"/>
    <w:rsid w:val="00BA395E"/>
    <w:rsid w:val="00BA3B3C"/>
    <w:rsid w:val="00BA523B"/>
    <w:rsid w:val="00BA5341"/>
    <w:rsid w:val="00BA555B"/>
    <w:rsid w:val="00BA7238"/>
    <w:rsid w:val="00BA74D0"/>
    <w:rsid w:val="00BA7D20"/>
    <w:rsid w:val="00BB0C97"/>
    <w:rsid w:val="00BB21A0"/>
    <w:rsid w:val="00BB3369"/>
    <w:rsid w:val="00BB3A1B"/>
    <w:rsid w:val="00BB3BB6"/>
    <w:rsid w:val="00BB4ED9"/>
    <w:rsid w:val="00BB4F21"/>
    <w:rsid w:val="00BB5DD5"/>
    <w:rsid w:val="00BB67C4"/>
    <w:rsid w:val="00BB7048"/>
    <w:rsid w:val="00BC07D6"/>
    <w:rsid w:val="00BC2DF3"/>
    <w:rsid w:val="00BC37F2"/>
    <w:rsid w:val="00BC3C28"/>
    <w:rsid w:val="00BC40AC"/>
    <w:rsid w:val="00BC4173"/>
    <w:rsid w:val="00BC55AC"/>
    <w:rsid w:val="00BC55C4"/>
    <w:rsid w:val="00BC60C9"/>
    <w:rsid w:val="00BC66D2"/>
    <w:rsid w:val="00BC7D19"/>
    <w:rsid w:val="00BD07C3"/>
    <w:rsid w:val="00BD0D5E"/>
    <w:rsid w:val="00BD12C9"/>
    <w:rsid w:val="00BD1FA5"/>
    <w:rsid w:val="00BD43DC"/>
    <w:rsid w:val="00BD5D82"/>
    <w:rsid w:val="00BD66A8"/>
    <w:rsid w:val="00BE0733"/>
    <w:rsid w:val="00BE08E5"/>
    <w:rsid w:val="00BE0A1F"/>
    <w:rsid w:val="00BE15A1"/>
    <w:rsid w:val="00BE2914"/>
    <w:rsid w:val="00BE3095"/>
    <w:rsid w:val="00BE3272"/>
    <w:rsid w:val="00BE4583"/>
    <w:rsid w:val="00BE4A84"/>
    <w:rsid w:val="00BE529F"/>
    <w:rsid w:val="00BE57C7"/>
    <w:rsid w:val="00BE600D"/>
    <w:rsid w:val="00BE6177"/>
    <w:rsid w:val="00BF1CEA"/>
    <w:rsid w:val="00BF31F5"/>
    <w:rsid w:val="00BF474E"/>
    <w:rsid w:val="00BF5101"/>
    <w:rsid w:val="00BF5269"/>
    <w:rsid w:val="00BF5FAB"/>
    <w:rsid w:val="00BF6A60"/>
    <w:rsid w:val="00BF7450"/>
    <w:rsid w:val="00C006CD"/>
    <w:rsid w:val="00C00A66"/>
    <w:rsid w:val="00C016F5"/>
    <w:rsid w:val="00C01F86"/>
    <w:rsid w:val="00C0252D"/>
    <w:rsid w:val="00C02902"/>
    <w:rsid w:val="00C02CA8"/>
    <w:rsid w:val="00C038DF"/>
    <w:rsid w:val="00C04F8B"/>
    <w:rsid w:val="00C05105"/>
    <w:rsid w:val="00C05667"/>
    <w:rsid w:val="00C068F2"/>
    <w:rsid w:val="00C06CCB"/>
    <w:rsid w:val="00C06F66"/>
    <w:rsid w:val="00C07BE8"/>
    <w:rsid w:val="00C105EC"/>
    <w:rsid w:val="00C11D75"/>
    <w:rsid w:val="00C13587"/>
    <w:rsid w:val="00C135FA"/>
    <w:rsid w:val="00C14E20"/>
    <w:rsid w:val="00C1526A"/>
    <w:rsid w:val="00C155BF"/>
    <w:rsid w:val="00C15F13"/>
    <w:rsid w:val="00C16060"/>
    <w:rsid w:val="00C21C55"/>
    <w:rsid w:val="00C21E79"/>
    <w:rsid w:val="00C22145"/>
    <w:rsid w:val="00C22A29"/>
    <w:rsid w:val="00C22F1A"/>
    <w:rsid w:val="00C23676"/>
    <w:rsid w:val="00C23E55"/>
    <w:rsid w:val="00C23EE6"/>
    <w:rsid w:val="00C24CC2"/>
    <w:rsid w:val="00C24E18"/>
    <w:rsid w:val="00C25189"/>
    <w:rsid w:val="00C265C2"/>
    <w:rsid w:val="00C26802"/>
    <w:rsid w:val="00C3035E"/>
    <w:rsid w:val="00C31A5E"/>
    <w:rsid w:val="00C32201"/>
    <w:rsid w:val="00C324FB"/>
    <w:rsid w:val="00C3284F"/>
    <w:rsid w:val="00C35348"/>
    <w:rsid w:val="00C36350"/>
    <w:rsid w:val="00C367D0"/>
    <w:rsid w:val="00C3717D"/>
    <w:rsid w:val="00C37C54"/>
    <w:rsid w:val="00C37D6D"/>
    <w:rsid w:val="00C40012"/>
    <w:rsid w:val="00C401EE"/>
    <w:rsid w:val="00C4098F"/>
    <w:rsid w:val="00C415D7"/>
    <w:rsid w:val="00C418B9"/>
    <w:rsid w:val="00C41A0F"/>
    <w:rsid w:val="00C433F5"/>
    <w:rsid w:val="00C44147"/>
    <w:rsid w:val="00C44451"/>
    <w:rsid w:val="00C4465B"/>
    <w:rsid w:val="00C468DA"/>
    <w:rsid w:val="00C46ED0"/>
    <w:rsid w:val="00C50872"/>
    <w:rsid w:val="00C508F9"/>
    <w:rsid w:val="00C51990"/>
    <w:rsid w:val="00C5199A"/>
    <w:rsid w:val="00C5207E"/>
    <w:rsid w:val="00C52604"/>
    <w:rsid w:val="00C52F3B"/>
    <w:rsid w:val="00C55AF4"/>
    <w:rsid w:val="00C575F8"/>
    <w:rsid w:val="00C5791D"/>
    <w:rsid w:val="00C609DF"/>
    <w:rsid w:val="00C60D72"/>
    <w:rsid w:val="00C6163D"/>
    <w:rsid w:val="00C625EB"/>
    <w:rsid w:val="00C63DF0"/>
    <w:rsid w:val="00C6441D"/>
    <w:rsid w:val="00C66614"/>
    <w:rsid w:val="00C679D3"/>
    <w:rsid w:val="00C67A3B"/>
    <w:rsid w:val="00C70E69"/>
    <w:rsid w:val="00C72D5E"/>
    <w:rsid w:val="00C74B03"/>
    <w:rsid w:val="00C74B89"/>
    <w:rsid w:val="00C74D80"/>
    <w:rsid w:val="00C74FF0"/>
    <w:rsid w:val="00C767C3"/>
    <w:rsid w:val="00C778ED"/>
    <w:rsid w:val="00C80A03"/>
    <w:rsid w:val="00C8182F"/>
    <w:rsid w:val="00C834CD"/>
    <w:rsid w:val="00C83B95"/>
    <w:rsid w:val="00C845DC"/>
    <w:rsid w:val="00C852BD"/>
    <w:rsid w:val="00C859AC"/>
    <w:rsid w:val="00C864FF"/>
    <w:rsid w:val="00C867A0"/>
    <w:rsid w:val="00C86C0F"/>
    <w:rsid w:val="00C86EB5"/>
    <w:rsid w:val="00C87243"/>
    <w:rsid w:val="00C90118"/>
    <w:rsid w:val="00C916AE"/>
    <w:rsid w:val="00C91EF9"/>
    <w:rsid w:val="00C9227C"/>
    <w:rsid w:val="00C924D3"/>
    <w:rsid w:val="00C92699"/>
    <w:rsid w:val="00C93F96"/>
    <w:rsid w:val="00C94500"/>
    <w:rsid w:val="00C97838"/>
    <w:rsid w:val="00C97CAE"/>
    <w:rsid w:val="00CA0BD1"/>
    <w:rsid w:val="00CA0EE7"/>
    <w:rsid w:val="00CA0F53"/>
    <w:rsid w:val="00CA27A0"/>
    <w:rsid w:val="00CA285D"/>
    <w:rsid w:val="00CA2C35"/>
    <w:rsid w:val="00CA39C1"/>
    <w:rsid w:val="00CA3C4A"/>
    <w:rsid w:val="00CB037C"/>
    <w:rsid w:val="00CB0887"/>
    <w:rsid w:val="00CB2498"/>
    <w:rsid w:val="00CB24FC"/>
    <w:rsid w:val="00CB4DD9"/>
    <w:rsid w:val="00CB58C0"/>
    <w:rsid w:val="00CB78CD"/>
    <w:rsid w:val="00CB79A1"/>
    <w:rsid w:val="00CC02B9"/>
    <w:rsid w:val="00CC066D"/>
    <w:rsid w:val="00CC15CF"/>
    <w:rsid w:val="00CC291D"/>
    <w:rsid w:val="00CC4F8C"/>
    <w:rsid w:val="00CC5FA2"/>
    <w:rsid w:val="00CC5FBE"/>
    <w:rsid w:val="00CC5FF0"/>
    <w:rsid w:val="00CC6847"/>
    <w:rsid w:val="00CC73F5"/>
    <w:rsid w:val="00CC7A57"/>
    <w:rsid w:val="00CD05C9"/>
    <w:rsid w:val="00CD0E35"/>
    <w:rsid w:val="00CD11A8"/>
    <w:rsid w:val="00CD186B"/>
    <w:rsid w:val="00CD1C68"/>
    <w:rsid w:val="00CD1C9E"/>
    <w:rsid w:val="00CD272A"/>
    <w:rsid w:val="00CD3147"/>
    <w:rsid w:val="00CD3CC9"/>
    <w:rsid w:val="00CD6985"/>
    <w:rsid w:val="00CD710C"/>
    <w:rsid w:val="00CD71C2"/>
    <w:rsid w:val="00CE0405"/>
    <w:rsid w:val="00CE13B6"/>
    <w:rsid w:val="00CE1BFA"/>
    <w:rsid w:val="00CE2591"/>
    <w:rsid w:val="00CE2804"/>
    <w:rsid w:val="00CE2EA9"/>
    <w:rsid w:val="00CE32AC"/>
    <w:rsid w:val="00CE33AD"/>
    <w:rsid w:val="00CE3AB5"/>
    <w:rsid w:val="00CE41F3"/>
    <w:rsid w:val="00CE4E80"/>
    <w:rsid w:val="00CE51B5"/>
    <w:rsid w:val="00CE5BD6"/>
    <w:rsid w:val="00CE5CA2"/>
    <w:rsid w:val="00CE691E"/>
    <w:rsid w:val="00CE77FE"/>
    <w:rsid w:val="00CE7BCD"/>
    <w:rsid w:val="00CF0175"/>
    <w:rsid w:val="00CF02D7"/>
    <w:rsid w:val="00CF0F26"/>
    <w:rsid w:val="00CF15FD"/>
    <w:rsid w:val="00CF1DB2"/>
    <w:rsid w:val="00CF482E"/>
    <w:rsid w:val="00CF4B0D"/>
    <w:rsid w:val="00CF4CF8"/>
    <w:rsid w:val="00CF5826"/>
    <w:rsid w:val="00CF5A6B"/>
    <w:rsid w:val="00CF5D8E"/>
    <w:rsid w:val="00CF6EF5"/>
    <w:rsid w:val="00CF767C"/>
    <w:rsid w:val="00CF793F"/>
    <w:rsid w:val="00CF7DE8"/>
    <w:rsid w:val="00D014D7"/>
    <w:rsid w:val="00D01962"/>
    <w:rsid w:val="00D02370"/>
    <w:rsid w:val="00D023A4"/>
    <w:rsid w:val="00D02989"/>
    <w:rsid w:val="00D035E3"/>
    <w:rsid w:val="00D04564"/>
    <w:rsid w:val="00D05B69"/>
    <w:rsid w:val="00D06651"/>
    <w:rsid w:val="00D06D96"/>
    <w:rsid w:val="00D0711E"/>
    <w:rsid w:val="00D07676"/>
    <w:rsid w:val="00D07C1B"/>
    <w:rsid w:val="00D07D36"/>
    <w:rsid w:val="00D10C5C"/>
    <w:rsid w:val="00D10F45"/>
    <w:rsid w:val="00D11294"/>
    <w:rsid w:val="00D11888"/>
    <w:rsid w:val="00D11C3A"/>
    <w:rsid w:val="00D1213E"/>
    <w:rsid w:val="00D12311"/>
    <w:rsid w:val="00D128A4"/>
    <w:rsid w:val="00D12C0D"/>
    <w:rsid w:val="00D1364C"/>
    <w:rsid w:val="00D138BA"/>
    <w:rsid w:val="00D13DC2"/>
    <w:rsid w:val="00D146DA"/>
    <w:rsid w:val="00D15EDC"/>
    <w:rsid w:val="00D2069D"/>
    <w:rsid w:val="00D208CA"/>
    <w:rsid w:val="00D2186A"/>
    <w:rsid w:val="00D223E9"/>
    <w:rsid w:val="00D2266E"/>
    <w:rsid w:val="00D22CBB"/>
    <w:rsid w:val="00D230B3"/>
    <w:rsid w:val="00D23EA4"/>
    <w:rsid w:val="00D23FAA"/>
    <w:rsid w:val="00D2471D"/>
    <w:rsid w:val="00D24DA5"/>
    <w:rsid w:val="00D25029"/>
    <w:rsid w:val="00D25965"/>
    <w:rsid w:val="00D25D01"/>
    <w:rsid w:val="00D26379"/>
    <w:rsid w:val="00D269B4"/>
    <w:rsid w:val="00D26E56"/>
    <w:rsid w:val="00D26E57"/>
    <w:rsid w:val="00D275AD"/>
    <w:rsid w:val="00D27B4E"/>
    <w:rsid w:val="00D30B03"/>
    <w:rsid w:val="00D31003"/>
    <w:rsid w:val="00D3143C"/>
    <w:rsid w:val="00D32088"/>
    <w:rsid w:val="00D3240F"/>
    <w:rsid w:val="00D32720"/>
    <w:rsid w:val="00D33253"/>
    <w:rsid w:val="00D33294"/>
    <w:rsid w:val="00D34623"/>
    <w:rsid w:val="00D35D91"/>
    <w:rsid w:val="00D378B8"/>
    <w:rsid w:val="00D37A75"/>
    <w:rsid w:val="00D40219"/>
    <w:rsid w:val="00D40500"/>
    <w:rsid w:val="00D4158B"/>
    <w:rsid w:val="00D4195D"/>
    <w:rsid w:val="00D41DB2"/>
    <w:rsid w:val="00D42662"/>
    <w:rsid w:val="00D42AD0"/>
    <w:rsid w:val="00D42D1D"/>
    <w:rsid w:val="00D43B14"/>
    <w:rsid w:val="00D444C4"/>
    <w:rsid w:val="00D44613"/>
    <w:rsid w:val="00D44719"/>
    <w:rsid w:val="00D454BF"/>
    <w:rsid w:val="00D456C7"/>
    <w:rsid w:val="00D45AFC"/>
    <w:rsid w:val="00D4641C"/>
    <w:rsid w:val="00D46A58"/>
    <w:rsid w:val="00D46CC8"/>
    <w:rsid w:val="00D477EB"/>
    <w:rsid w:val="00D47E7C"/>
    <w:rsid w:val="00D504EF"/>
    <w:rsid w:val="00D509FF"/>
    <w:rsid w:val="00D50D2B"/>
    <w:rsid w:val="00D50EA8"/>
    <w:rsid w:val="00D51163"/>
    <w:rsid w:val="00D526BC"/>
    <w:rsid w:val="00D52D29"/>
    <w:rsid w:val="00D533D4"/>
    <w:rsid w:val="00D5367F"/>
    <w:rsid w:val="00D53C9F"/>
    <w:rsid w:val="00D54E93"/>
    <w:rsid w:val="00D558D1"/>
    <w:rsid w:val="00D5724C"/>
    <w:rsid w:val="00D610DF"/>
    <w:rsid w:val="00D61381"/>
    <w:rsid w:val="00D62564"/>
    <w:rsid w:val="00D631EE"/>
    <w:rsid w:val="00D63C45"/>
    <w:rsid w:val="00D66CC2"/>
    <w:rsid w:val="00D7000D"/>
    <w:rsid w:val="00D702AF"/>
    <w:rsid w:val="00D729C0"/>
    <w:rsid w:val="00D73CCE"/>
    <w:rsid w:val="00D7438D"/>
    <w:rsid w:val="00D75C82"/>
    <w:rsid w:val="00D75F81"/>
    <w:rsid w:val="00D77243"/>
    <w:rsid w:val="00D777E7"/>
    <w:rsid w:val="00D77BB2"/>
    <w:rsid w:val="00D80F58"/>
    <w:rsid w:val="00D8146A"/>
    <w:rsid w:val="00D81B91"/>
    <w:rsid w:val="00D81BFE"/>
    <w:rsid w:val="00D82184"/>
    <w:rsid w:val="00D8304A"/>
    <w:rsid w:val="00D83A5B"/>
    <w:rsid w:val="00D83F9F"/>
    <w:rsid w:val="00D84A80"/>
    <w:rsid w:val="00D861CA"/>
    <w:rsid w:val="00D866B5"/>
    <w:rsid w:val="00D86D23"/>
    <w:rsid w:val="00D87CF4"/>
    <w:rsid w:val="00D907BC"/>
    <w:rsid w:val="00D90879"/>
    <w:rsid w:val="00D90CA5"/>
    <w:rsid w:val="00D91DC3"/>
    <w:rsid w:val="00D92D8E"/>
    <w:rsid w:val="00D93B7A"/>
    <w:rsid w:val="00D947D0"/>
    <w:rsid w:val="00D9598E"/>
    <w:rsid w:val="00DA04BF"/>
    <w:rsid w:val="00DA161C"/>
    <w:rsid w:val="00DA1A0A"/>
    <w:rsid w:val="00DA230B"/>
    <w:rsid w:val="00DA2498"/>
    <w:rsid w:val="00DA2701"/>
    <w:rsid w:val="00DA2934"/>
    <w:rsid w:val="00DA3CF4"/>
    <w:rsid w:val="00DA3CF6"/>
    <w:rsid w:val="00DA4506"/>
    <w:rsid w:val="00DA477F"/>
    <w:rsid w:val="00DA48C3"/>
    <w:rsid w:val="00DA4B24"/>
    <w:rsid w:val="00DA4D36"/>
    <w:rsid w:val="00DA58C4"/>
    <w:rsid w:val="00DA687D"/>
    <w:rsid w:val="00DA7F1B"/>
    <w:rsid w:val="00DB063D"/>
    <w:rsid w:val="00DB0D71"/>
    <w:rsid w:val="00DB1E45"/>
    <w:rsid w:val="00DB3D12"/>
    <w:rsid w:val="00DB3E04"/>
    <w:rsid w:val="00DB48F0"/>
    <w:rsid w:val="00DB54F5"/>
    <w:rsid w:val="00DB679F"/>
    <w:rsid w:val="00DB6A22"/>
    <w:rsid w:val="00DB7073"/>
    <w:rsid w:val="00DC1A05"/>
    <w:rsid w:val="00DC1D04"/>
    <w:rsid w:val="00DC3EA2"/>
    <w:rsid w:val="00DC4332"/>
    <w:rsid w:val="00DC5B9F"/>
    <w:rsid w:val="00DC61EF"/>
    <w:rsid w:val="00DC63FF"/>
    <w:rsid w:val="00DC6DFA"/>
    <w:rsid w:val="00DC6F03"/>
    <w:rsid w:val="00DC7A75"/>
    <w:rsid w:val="00DC7FBF"/>
    <w:rsid w:val="00DD0A83"/>
    <w:rsid w:val="00DD1518"/>
    <w:rsid w:val="00DD1C39"/>
    <w:rsid w:val="00DD2C28"/>
    <w:rsid w:val="00DD2D93"/>
    <w:rsid w:val="00DD2F60"/>
    <w:rsid w:val="00DD3574"/>
    <w:rsid w:val="00DD37DE"/>
    <w:rsid w:val="00DD38F4"/>
    <w:rsid w:val="00DD3CB9"/>
    <w:rsid w:val="00DD422C"/>
    <w:rsid w:val="00DD427E"/>
    <w:rsid w:val="00DD4EE4"/>
    <w:rsid w:val="00DD5739"/>
    <w:rsid w:val="00DD6988"/>
    <w:rsid w:val="00DD6A14"/>
    <w:rsid w:val="00DD7E12"/>
    <w:rsid w:val="00DE00FD"/>
    <w:rsid w:val="00DE078C"/>
    <w:rsid w:val="00DE0E5D"/>
    <w:rsid w:val="00DE0F78"/>
    <w:rsid w:val="00DE22AF"/>
    <w:rsid w:val="00DE3850"/>
    <w:rsid w:val="00DE3AAD"/>
    <w:rsid w:val="00DE3B35"/>
    <w:rsid w:val="00DE4DA9"/>
    <w:rsid w:val="00DE4F01"/>
    <w:rsid w:val="00DE50D7"/>
    <w:rsid w:val="00DE560C"/>
    <w:rsid w:val="00DE6412"/>
    <w:rsid w:val="00DE65B0"/>
    <w:rsid w:val="00DE66EB"/>
    <w:rsid w:val="00DE682A"/>
    <w:rsid w:val="00DF0CC1"/>
    <w:rsid w:val="00DF1171"/>
    <w:rsid w:val="00DF158F"/>
    <w:rsid w:val="00DF1C6F"/>
    <w:rsid w:val="00DF5C12"/>
    <w:rsid w:val="00DF5C2F"/>
    <w:rsid w:val="00DF6B2B"/>
    <w:rsid w:val="00E016FD"/>
    <w:rsid w:val="00E01864"/>
    <w:rsid w:val="00E01AB5"/>
    <w:rsid w:val="00E02318"/>
    <w:rsid w:val="00E02933"/>
    <w:rsid w:val="00E02A4E"/>
    <w:rsid w:val="00E0414F"/>
    <w:rsid w:val="00E049B0"/>
    <w:rsid w:val="00E05E1B"/>
    <w:rsid w:val="00E0606D"/>
    <w:rsid w:val="00E07B80"/>
    <w:rsid w:val="00E10BB1"/>
    <w:rsid w:val="00E10D0C"/>
    <w:rsid w:val="00E112FF"/>
    <w:rsid w:val="00E1221A"/>
    <w:rsid w:val="00E131A4"/>
    <w:rsid w:val="00E13515"/>
    <w:rsid w:val="00E14662"/>
    <w:rsid w:val="00E15002"/>
    <w:rsid w:val="00E1573D"/>
    <w:rsid w:val="00E16C06"/>
    <w:rsid w:val="00E16EF3"/>
    <w:rsid w:val="00E17A1C"/>
    <w:rsid w:val="00E200FE"/>
    <w:rsid w:val="00E201CF"/>
    <w:rsid w:val="00E204E2"/>
    <w:rsid w:val="00E205CB"/>
    <w:rsid w:val="00E2090D"/>
    <w:rsid w:val="00E20B49"/>
    <w:rsid w:val="00E21D50"/>
    <w:rsid w:val="00E22B5F"/>
    <w:rsid w:val="00E22D23"/>
    <w:rsid w:val="00E276CE"/>
    <w:rsid w:val="00E27FA7"/>
    <w:rsid w:val="00E30076"/>
    <w:rsid w:val="00E314D0"/>
    <w:rsid w:val="00E323C4"/>
    <w:rsid w:val="00E332E0"/>
    <w:rsid w:val="00E33486"/>
    <w:rsid w:val="00E334CA"/>
    <w:rsid w:val="00E338A9"/>
    <w:rsid w:val="00E338E4"/>
    <w:rsid w:val="00E33E15"/>
    <w:rsid w:val="00E34214"/>
    <w:rsid w:val="00E34B42"/>
    <w:rsid w:val="00E353E3"/>
    <w:rsid w:val="00E35B46"/>
    <w:rsid w:val="00E360DC"/>
    <w:rsid w:val="00E36D23"/>
    <w:rsid w:val="00E373AF"/>
    <w:rsid w:val="00E4025A"/>
    <w:rsid w:val="00E40666"/>
    <w:rsid w:val="00E40FDF"/>
    <w:rsid w:val="00E41664"/>
    <w:rsid w:val="00E41843"/>
    <w:rsid w:val="00E41F81"/>
    <w:rsid w:val="00E4406A"/>
    <w:rsid w:val="00E44138"/>
    <w:rsid w:val="00E44644"/>
    <w:rsid w:val="00E465B0"/>
    <w:rsid w:val="00E46CF0"/>
    <w:rsid w:val="00E471E4"/>
    <w:rsid w:val="00E474A5"/>
    <w:rsid w:val="00E47544"/>
    <w:rsid w:val="00E47B7E"/>
    <w:rsid w:val="00E50753"/>
    <w:rsid w:val="00E5129B"/>
    <w:rsid w:val="00E525FC"/>
    <w:rsid w:val="00E53030"/>
    <w:rsid w:val="00E53069"/>
    <w:rsid w:val="00E54936"/>
    <w:rsid w:val="00E55164"/>
    <w:rsid w:val="00E5698B"/>
    <w:rsid w:val="00E61C5E"/>
    <w:rsid w:val="00E61EC2"/>
    <w:rsid w:val="00E6214F"/>
    <w:rsid w:val="00E63D18"/>
    <w:rsid w:val="00E63D6F"/>
    <w:rsid w:val="00E643D2"/>
    <w:rsid w:val="00E648A2"/>
    <w:rsid w:val="00E6504E"/>
    <w:rsid w:val="00E67DFE"/>
    <w:rsid w:val="00E706E2"/>
    <w:rsid w:val="00E707B2"/>
    <w:rsid w:val="00E7099D"/>
    <w:rsid w:val="00E70A39"/>
    <w:rsid w:val="00E70D50"/>
    <w:rsid w:val="00E717E2"/>
    <w:rsid w:val="00E72906"/>
    <w:rsid w:val="00E72F8B"/>
    <w:rsid w:val="00E74999"/>
    <w:rsid w:val="00E768B2"/>
    <w:rsid w:val="00E76ACE"/>
    <w:rsid w:val="00E77C8B"/>
    <w:rsid w:val="00E80145"/>
    <w:rsid w:val="00E80E96"/>
    <w:rsid w:val="00E81147"/>
    <w:rsid w:val="00E8151F"/>
    <w:rsid w:val="00E81FA2"/>
    <w:rsid w:val="00E8276F"/>
    <w:rsid w:val="00E828D2"/>
    <w:rsid w:val="00E83282"/>
    <w:rsid w:val="00E832A3"/>
    <w:rsid w:val="00E8335E"/>
    <w:rsid w:val="00E8355E"/>
    <w:rsid w:val="00E839A8"/>
    <w:rsid w:val="00E83AE8"/>
    <w:rsid w:val="00E83D8C"/>
    <w:rsid w:val="00E8519D"/>
    <w:rsid w:val="00E862C4"/>
    <w:rsid w:val="00E8677C"/>
    <w:rsid w:val="00E878BD"/>
    <w:rsid w:val="00E90101"/>
    <w:rsid w:val="00E90563"/>
    <w:rsid w:val="00E91145"/>
    <w:rsid w:val="00E9181B"/>
    <w:rsid w:val="00E91D20"/>
    <w:rsid w:val="00E93147"/>
    <w:rsid w:val="00E93CA4"/>
    <w:rsid w:val="00E94E22"/>
    <w:rsid w:val="00E9668D"/>
    <w:rsid w:val="00E96DC1"/>
    <w:rsid w:val="00E971D5"/>
    <w:rsid w:val="00E971E9"/>
    <w:rsid w:val="00E97713"/>
    <w:rsid w:val="00E97B67"/>
    <w:rsid w:val="00E97E84"/>
    <w:rsid w:val="00EA0E42"/>
    <w:rsid w:val="00EA155D"/>
    <w:rsid w:val="00EA2687"/>
    <w:rsid w:val="00EA2C2D"/>
    <w:rsid w:val="00EA2CAA"/>
    <w:rsid w:val="00EA2D5A"/>
    <w:rsid w:val="00EA40AA"/>
    <w:rsid w:val="00EA4800"/>
    <w:rsid w:val="00EA6560"/>
    <w:rsid w:val="00EB0710"/>
    <w:rsid w:val="00EB0A24"/>
    <w:rsid w:val="00EB2085"/>
    <w:rsid w:val="00EB2184"/>
    <w:rsid w:val="00EB3671"/>
    <w:rsid w:val="00EB4B09"/>
    <w:rsid w:val="00EB5685"/>
    <w:rsid w:val="00EB6603"/>
    <w:rsid w:val="00EB6688"/>
    <w:rsid w:val="00EB6A21"/>
    <w:rsid w:val="00EB74AE"/>
    <w:rsid w:val="00EB7710"/>
    <w:rsid w:val="00EC0476"/>
    <w:rsid w:val="00EC1353"/>
    <w:rsid w:val="00EC29C1"/>
    <w:rsid w:val="00EC2B13"/>
    <w:rsid w:val="00EC2B88"/>
    <w:rsid w:val="00EC3E2D"/>
    <w:rsid w:val="00EC3F37"/>
    <w:rsid w:val="00EC48A4"/>
    <w:rsid w:val="00EC4B4C"/>
    <w:rsid w:val="00EC4F8F"/>
    <w:rsid w:val="00EC5404"/>
    <w:rsid w:val="00EC5599"/>
    <w:rsid w:val="00EC6689"/>
    <w:rsid w:val="00EC7D92"/>
    <w:rsid w:val="00ED0146"/>
    <w:rsid w:val="00ED03E2"/>
    <w:rsid w:val="00ED04DF"/>
    <w:rsid w:val="00ED0FA3"/>
    <w:rsid w:val="00ED13AF"/>
    <w:rsid w:val="00ED1826"/>
    <w:rsid w:val="00ED2EF5"/>
    <w:rsid w:val="00ED364C"/>
    <w:rsid w:val="00ED3B8D"/>
    <w:rsid w:val="00ED3FC4"/>
    <w:rsid w:val="00ED4CD7"/>
    <w:rsid w:val="00ED4ECE"/>
    <w:rsid w:val="00ED6A72"/>
    <w:rsid w:val="00EE05D3"/>
    <w:rsid w:val="00EE2684"/>
    <w:rsid w:val="00EE2B67"/>
    <w:rsid w:val="00EE3A3C"/>
    <w:rsid w:val="00EE459D"/>
    <w:rsid w:val="00EE4DC3"/>
    <w:rsid w:val="00EE51E5"/>
    <w:rsid w:val="00EE5479"/>
    <w:rsid w:val="00EE5BB8"/>
    <w:rsid w:val="00EE6C9B"/>
    <w:rsid w:val="00EE7789"/>
    <w:rsid w:val="00EF11EB"/>
    <w:rsid w:val="00EF1D20"/>
    <w:rsid w:val="00EF221A"/>
    <w:rsid w:val="00EF2778"/>
    <w:rsid w:val="00EF442A"/>
    <w:rsid w:val="00EF5B3B"/>
    <w:rsid w:val="00EF5C17"/>
    <w:rsid w:val="00EF6385"/>
    <w:rsid w:val="00EF64AB"/>
    <w:rsid w:val="00EF6C02"/>
    <w:rsid w:val="00EF7BCE"/>
    <w:rsid w:val="00F01269"/>
    <w:rsid w:val="00F01542"/>
    <w:rsid w:val="00F0185C"/>
    <w:rsid w:val="00F02304"/>
    <w:rsid w:val="00F024AD"/>
    <w:rsid w:val="00F02572"/>
    <w:rsid w:val="00F028C4"/>
    <w:rsid w:val="00F02B36"/>
    <w:rsid w:val="00F03D33"/>
    <w:rsid w:val="00F0547D"/>
    <w:rsid w:val="00F071FF"/>
    <w:rsid w:val="00F07A24"/>
    <w:rsid w:val="00F101C4"/>
    <w:rsid w:val="00F1073A"/>
    <w:rsid w:val="00F109ED"/>
    <w:rsid w:val="00F10E86"/>
    <w:rsid w:val="00F11D4E"/>
    <w:rsid w:val="00F14082"/>
    <w:rsid w:val="00F146C3"/>
    <w:rsid w:val="00F1480B"/>
    <w:rsid w:val="00F15E3B"/>
    <w:rsid w:val="00F16026"/>
    <w:rsid w:val="00F16216"/>
    <w:rsid w:val="00F16F5E"/>
    <w:rsid w:val="00F17F36"/>
    <w:rsid w:val="00F2071B"/>
    <w:rsid w:val="00F22668"/>
    <w:rsid w:val="00F22C56"/>
    <w:rsid w:val="00F22E5A"/>
    <w:rsid w:val="00F23225"/>
    <w:rsid w:val="00F23226"/>
    <w:rsid w:val="00F23BC5"/>
    <w:rsid w:val="00F2513A"/>
    <w:rsid w:val="00F251E9"/>
    <w:rsid w:val="00F25582"/>
    <w:rsid w:val="00F25AEF"/>
    <w:rsid w:val="00F25D63"/>
    <w:rsid w:val="00F26F89"/>
    <w:rsid w:val="00F275A2"/>
    <w:rsid w:val="00F278ED"/>
    <w:rsid w:val="00F30532"/>
    <w:rsid w:val="00F30828"/>
    <w:rsid w:val="00F32AF0"/>
    <w:rsid w:val="00F3305B"/>
    <w:rsid w:val="00F3331E"/>
    <w:rsid w:val="00F33CCA"/>
    <w:rsid w:val="00F343E4"/>
    <w:rsid w:val="00F35BDA"/>
    <w:rsid w:val="00F370B4"/>
    <w:rsid w:val="00F37419"/>
    <w:rsid w:val="00F37D02"/>
    <w:rsid w:val="00F37D6A"/>
    <w:rsid w:val="00F37DD8"/>
    <w:rsid w:val="00F40454"/>
    <w:rsid w:val="00F404AE"/>
    <w:rsid w:val="00F40A4E"/>
    <w:rsid w:val="00F40ADF"/>
    <w:rsid w:val="00F41761"/>
    <w:rsid w:val="00F41F95"/>
    <w:rsid w:val="00F41FAA"/>
    <w:rsid w:val="00F426FE"/>
    <w:rsid w:val="00F42CCA"/>
    <w:rsid w:val="00F43D05"/>
    <w:rsid w:val="00F449FB"/>
    <w:rsid w:val="00F44AE7"/>
    <w:rsid w:val="00F44CE1"/>
    <w:rsid w:val="00F45739"/>
    <w:rsid w:val="00F47B2E"/>
    <w:rsid w:val="00F47C5B"/>
    <w:rsid w:val="00F5027B"/>
    <w:rsid w:val="00F51ABF"/>
    <w:rsid w:val="00F51AC2"/>
    <w:rsid w:val="00F51B45"/>
    <w:rsid w:val="00F51F5D"/>
    <w:rsid w:val="00F5287D"/>
    <w:rsid w:val="00F53324"/>
    <w:rsid w:val="00F55320"/>
    <w:rsid w:val="00F5556A"/>
    <w:rsid w:val="00F55629"/>
    <w:rsid w:val="00F5644E"/>
    <w:rsid w:val="00F56B99"/>
    <w:rsid w:val="00F57419"/>
    <w:rsid w:val="00F6008B"/>
    <w:rsid w:val="00F610F4"/>
    <w:rsid w:val="00F61B3F"/>
    <w:rsid w:val="00F622BE"/>
    <w:rsid w:val="00F62745"/>
    <w:rsid w:val="00F63D25"/>
    <w:rsid w:val="00F640EF"/>
    <w:rsid w:val="00F64582"/>
    <w:rsid w:val="00F65822"/>
    <w:rsid w:val="00F6610F"/>
    <w:rsid w:val="00F66807"/>
    <w:rsid w:val="00F66EF9"/>
    <w:rsid w:val="00F66EFE"/>
    <w:rsid w:val="00F67021"/>
    <w:rsid w:val="00F731C2"/>
    <w:rsid w:val="00F73B17"/>
    <w:rsid w:val="00F74F0B"/>
    <w:rsid w:val="00F74FC4"/>
    <w:rsid w:val="00F77115"/>
    <w:rsid w:val="00F778E2"/>
    <w:rsid w:val="00F8004F"/>
    <w:rsid w:val="00F81061"/>
    <w:rsid w:val="00F8160A"/>
    <w:rsid w:val="00F827B6"/>
    <w:rsid w:val="00F84033"/>
    <w:rsid w:val="00F8464A"/>
    <w:rsid w:val="00F86A4B"/>
    <w:rsid w:val="00F86B66"/>
    <w:rsid w:val="00F871E7"/>
    <w:rsid w:val="00F900D7"/>
    <w:rsid w:val="00F902AC"/>
    <w:rsid w:val="00F91157"/>
    <w:rsid w:val="00F911C7"/>
    <w:rsid w:val="00F91AD9"/>
    <w:rsid w:val="00F91C71"/>
    <w:rsid w:val="00F92931"/>
    <w:rsid w:val="00F92C6B"/>
    <w:rsid w:val="00F94217"/>
    <w:rsid w:val="00F943DB"/>
    <w:rsid w:val="00F94B7E"/>
    <w:rsid w:val="00F95073"/>
    <w:rsid w:val="00F962D9"/>
    <w:rsid w:val="00F97A19"/>
    <w:rsid w:val="00F97B6C"/>
    <w:rsid w:val="00F97E56"/>
    <w:rsid w:val="00FA0563"/>
    <w:rsid w:val="00FA1EC0"/>
    <w:rsid w:val="00FA1FBC"/>
    <w:rsid w:val="00FA23D2"/>
    <w:rsid w:val="00FA274E"/>
    <w:rsid w:val="00FA328A"/>
    <w:rsid w:val="00FA35A5"/>
    <w:rsid w:val="00FA3899"/>
    <w:rsid w:val="00FA4206"/>
    <w:rsid w:val="00FA44DA"/>
    <w:rsid w:val="00FA4836"/>
    <w:rsid w:val="00FA4E76"/>
    <w:rsid w:val="00FA50A3"/>
    <w:rsid w:val="00FA7C56"/>
    <w:rsid w:val="00FB06AB"/>
    <w:rsid w:val="00FB0B4D"/>
    <w:rsid w:val="00FB20FA"/>
    <w:rsid w:val="00FB2CAB"/>
    <w:rsid w:val="00FB4430"/>
    <w:rsid w:val="00FB591F"/>
    <w:rsid w:val="00FB59B6"/>
    <w:rsid w:val="00FB6910"/>
    <w:rsid w:val="00FB6D3C"/>
    <w:rsid w:val="00FB7226"/>
    <w:rsid w:val="00FB7740"/>
    <w:rsid w:val="00FB7F5D"/>
    <w:rsid w:val="00FC0316"/>
    <w:rsid w:val="00FC07DB"/>
    <w:rsid w:val="00FC134D"/>
    <w:rsid w:val="00FC1C6D"/>
    <w:rsid w:val="00FC2120"/>
    <w:rsid w:val="00FC239F"/>
    <w:rsid w:val="00FC3280"/>
    <w:rsid w:val="00FC35E8"/>
    <w:rsid w:val="00FC3C88"/>
    <w:rsid w:val="00FC3D7E"/>
    <w:rsid w:val="00FC4574"/>
    <w:rsid w:val="00FC463B"/>
    <w:rsid w:val="00FC4D60"/>
    <w:rsid w:val="00FC58DA"/>
    <w:rsid w:val="00FC5A7E"/>
    <w:rsid w:val="00FC633A"/>
    <w:rsid w:val="00FC663B"/>
    <w:rsid w:val="00FC6C25"/>
    <w:rsid w:val="00FC6CB6"/>
    <w:rsid w:val="00FC6F0D"/>
    <w:rsid w:val="00FC7CC0"/>
    <w:rsid w:val="00FD0746"/>
    <w:rsid w:val="00FD0BED"/>
    <w:rsid w:val="00FD221A"/>
    <w:rsid w:val="00FD2727"/>
    <w:rsid w:val="00FD2EA8"/>
    <w:rsid w:val="00FD3756"/>
    <w:rsid w:val="00FD658F"/>
    <w:rsid w:val="00FD698D"/>
    <w:rsid w:val="00FD6F23"/>
    <w:rsid w:val="00FD75CF"/>
    <w:rsid w:val="00FE029B"/>
    <w:rsid w:val="00FE03C8"/>
    <w:rsid w:val="00FE1917"/>
    <w:rsid w:val="00FE2D96"/>
    <w:rsid w:val="00FE38F0"/>
    <w:rsid w:val="00FE42DB"/>
    <w:rsid w:val="00FE696D"/>
    <w:rsid w:val="00FE7175"/>
    <w:rsid w:val="00FE7625"/>
    <w:rsid w:val="00FE7D6A"/>
    <w:rsid w:val="00FF0101"/>
    <w:rsid w:val="00FF0919"/>
    <w:rsid w:val="00FF097F"/>
    <w:rsid w:val="00FF1181"/>
    <w:rsid w:val="00FF1D54"/>
    <w:rsid w:val="00FF3AB1"/>
    <w:rsid w:val="00FF43D4"/>
    <w:rsid w:val="00FF45BD"/>
    <w:rsid w:val="00FF5670"/>
    <w:rsid w:val="00FF6128"/>
    <w:rsid w:val="00FF62BC"/>
    <w:rsid w:val="00FF66C3"/>
    <w:rsid w:val="00FF67B0"/>
    <w:rsid w:val="00FF680E"/>
    <w:rsid w:val="00FF6B55"/>
    <w:rsid w:val="00FF6F60"/>
    <w:rsid w:val="08161CD1"/>
    <w:rsid w:val="09471317"/>
    <w:rsid w:val="11C0052E"/>
    <w:rsid w:val="144D4E42"/>
    <w:rsid w:val="174A1E6F"/>
    <w:rsid w:val="1E1C1FB6"/>
    <w:rsid w:val="3F503942"/>
    <w:rsid w:val="4C226976"/>
    <w:rsid w:val="51293641"/>
    <w:rsid w:val="5F3913F3"/>
    <w:rsid w:val="67C57AA3"/>
    <w:rsid w:val="682F47C8"/>
    <w:rsid w:val="6B5862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iPriority="0" w:semiHidden="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黑体"/>
      <w:kern w:val="2"/>
      <w:sz w:val="21"/>
      <w:szCs w:val="22"/>
      <w:lang w:val="en-US" w:eastAsia="zh-CN" w:bidi="ar-SA"/>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toa heading"/>
    <w:basedOn w:val="1"/>
    <w:next w:val="1"/>
    <w:qFormat/>
    <w:uiPriority w:val="0"/>
    <w:rPr>
      <w:rFonts w:ascii="Arial" w:hAnsi="Arial"/>
      <w:sz w:val="24"/>
    </w:rPr>
  </w:style>
  <w:style w:type="paragraph" w:styleId="3">
    <w:name w:val="Normal Indent"/>
    <w:basedOn w:val="1"/>
    <w:link w:val="51"/>
    <w:qFormat/>
    <w:uiPriority w:val="0"/>
    <w:pPr>
      <w:adjustRightInd w:val="0"/>
      <w:spacing w:line="312" w:lineRule="atLeast"/>
      <w:ind w:firstLine="420" w:firstLineChars="200"/>
      <w:textAlignment w:val="baseline"/>
    </w:pPr>
    <w:rPr>
      <w:rFonts w:cs="Times New Roman"/>
      <w:kern w:val="0"/>
      <w:sz w:val="20"/>
      <w:szCs w:val="20"/>
    </w:rPr>
  </w:style>
  <w:style w:type="paragraph" w:styleId="4">
    <w:name w:val="Document Map"/>
    <w:basedOn w:val="1"/>
    <w:link w:val="22"/>
    <w:unhideWhenUsed/>
    <w:qFormat/>
    <w:uiPriority w:val="99"/>
    <w:rPr>
      <w:rFonts w:ascii="宋体"/>
      <w:sz w:val="18"/>
      <w:szCs w:val="18"/>
    </w:rPr>
  </w:style>
  <w:style w:type="paragraph" w:styleId="5">
    <w:name w:val="annotation text"/>
    <w:basedOn w:val="1"/>
    <w:link w:val="20"/>
    <w:unhideWhenUsed/>
    <w:qFormat/>
    <w:uiPriority w:val="99"/>
    <w:pPr>
      <w:jc w:val="left"/>
    </w:pPr>
  </w:style>
  <w:style w:type="paragraph" w:styleId="6">
    <w:name w:val="Body Text"/>
    <w:basedOn w:val="1"/>
    <w:next w:val="1"/>
    <w:link w:val="23"/>
    <w:qFormat/>
    <w:uiPriority w:val="0"/>
    <w:pPr>
      <w:spacing w:after="120"/>
    </w:pPr>
    <w:rPr>
      <w:rFonts w:cs="Times New Roman"/>
      <w:kern w:val="0"/>
      <w:sz w:val="20"/>
      <w:szCs w:val="24"/>
    </w:rPr>
  </w:style>
  <w:style w:type="paragraph" w:styleId="7">
    <w:name w:val="Body Text Indent"/>
    <w:basedOn w:val="1"/>
    <w:link w:val="24"/>
    <w:unhideWhenUsed/>
    <w:qFormat/>
    <w:uiPriority w:val="99"/>
    <w:pPr>
      <w:spacing w:after="120"/>
      <w:ind w:left="420" w:leftChars="200"/>
    </w:pPr>
  </w:style>
  <w:style w:type="paragraph" w:styleId="8">
    <w:name w:val="Plain Text"/>
    <w:basedOn w:val="1"/>
    <w:link w:val="38"/>
    <w:semiHidden/>
    <w:unhideWhenUsed/>
    <w:qFormat/>
    <w:uiPriority w:val="99"/>
    <w:rPr>
      <w:rFonts w:ascii="宋体" w:hAnsi="Courier New" w:cs="Courier New"/>
      <w:szCs w:val="21"/>
    </w:rPr>
  </w:style>
  <w:style w:type="paragraph" w:styleId="9">
    <w:name w:val="Balloon Text"/>
    <w:basedOn w:val="1"/>
    <w:link w:val="25"/>
    <w:unhideWhenUsed/>
    <w:qFormat/>
    <w:uiPriority w:val="99"/>
    <w:rPr>
      <w:sz w:val="18"/>
      <w:szCs w:val="18"/>
    </w:rPr>
  </w:style>
  <w:style w:type="paragraph" w:styleId="10">
    <w:name w:val="footer"/>
    <w:basedOn w:val="1"/>
    <w:link w:val="26"/>
    <w:unhideWhenUsed/>
    <w:qFormat/>
    <w:uiPriority w:val="99"/>
    <w:pPr>
      <w:tabs>
        <w:tab w:val="center" w:pos="4153"/>
        <w:tab w:val="right" w:pos="8306"/>
      </w:tabs>
      <w:snapToGrid w:val="0"/>
      <w:jc w:val="left"/>
    </w:pPr>
    <w:rPr>
      <w:sz w:val="18"/>
      <w:szCs w:val="18"/>
    </w:rPr>
  </w:style>
  <w:style w:type="paragraph" w:styleId="11">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Body Text Indent 3"/>
    <w:basedOn w:val="1"/>
    <w:link w:val="44"/>
    <w:unhideWhenUsed/>
    <w:qFormat/>
    <w:uiPriority w:val="0"/>
    <w:pPr>
      <w:spacing w:after="120"/>
      <w:ind w:left="420" w:leftChars="200"/>
    </w:pPr>
    <w:rPr>
      <w:rFonts w:cs="Times New Roman"/>
      <w:sz w:val="16"/>
      <w:szCs w:val="16"/>
      <w:lang w:val="zh-CN" w:eastAsia="zh-CN"/>
    </w:rPr>
  </w:style>
  <w:style w:type="paragraph" w:styleId="14">
    <w:name w:val="annotation subject"/>
    <w:basedOn w:val="5"/>
    <w:next w:val="5"/>
    <w:link w:val="21"/>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000FF" w:themeColor="hyperlink"/>
      <w:u w:val="single"/>
      <w14:textFill>
        <w14:solidFill>
          <w14:schemeClr w14:val="hlink"/>
        </w14:solidFill>
      </w14:textFill>
    </w:rPr>
  </w:style>
  <w:style w:type="character" w:styleId="19">
    <w:name w:val="annotation reference"/>
    <w:unhideWhenUsed/>
    <w:qFormat/>
    <w:uiPriority w:val="99"/>
    <w:rPr>
      <w:sz w:val="21"/>
      <w:szCs w:val="21"/>
    </w:rPr>
  </w:style>
  <w:style w:type="character" w:customStyle="1" w:styleId="20">
    <w:name w:val="批注文字 Char"/>
    <w:basedOn w:val="17"/>
    <w:link w:val="5"/>
    <w:semiHidden/>
    <w:qFormat/>
    <w:uiPriority w:val="99"/>
  </w:style>
  <w:style w:type="character" w:customStyle="1" w:styleId="21">
    <w:name w:val="批注主题 Char"/>
    <w:link w:val="14"/>
    <w:qFormat/>
    <w:uiPriority w:val="99"/>
    <w:rPr>
      <w:b/>
      <w:bCs/>
    </w:rPr>
  </w:style>
  <w:style w:type="character" w:customStyle="1" w:styleId="22">
    <w:name w:val="文档结构图 Char"/>
    <w:link w:val="4"/>
    <w:qFormat/>
    <w:uiPriority w:val="99"/>
    <w:rPr>
      <w:rFonts w:ascii="宋体" w:eastAsia="宋体"/>
      <w:sz w:val="18"/>
      <w:szCs w:val="18"/>
    </w:rPr>
  </w:style>
  <w:style w:type="character" w:customStyle="1" w:styleId="23">
    <w:name w:val="正文文本 Char"/>
    <w:link w:val="6"/>
    <w:qFormat/>
    <w:uiPriority w:val="0"/>
    <w:rPr>
      <w:szCs w:val="24"/>
    </w:rPr>
  </w:style>
  <w:style w:type="character" w:customStyle="1" w:styleId="24">
    <w:name w:val="正文文本缩进 Char"/>
    <w:basedOn w:val="17"/>
    <w:link w:val="7"/>
    <w:qFormat/>
    <w:uiPriority w:val="99"/>
  </w:style>
  <w:style w:type="character" w:customStyle="1" w:styleId="25">
    <w:name w:val="批注框文本 Char"/>
    <w:link w:val="9"/>
    <w:qFormat/>
    <w:uiPriority w:val="99"/>
    <w:rPr>
      <w:sz w:val="18"/>
      <w:szCs w:val="18"/>
    </w:rPr>
  </w:style>
  <w:style w:type="character" w:customStyle="1" w:styleId="26">
    <w:name w:val="页脚 Char"/>
    <w:link w:val="10"/>
    <w:qFormat/>
    <w:uiPriority w:val="99"/>
    <w:rPr>
      <w:sz w:val="18"/>
      <w:szCs w:val="18"/>
    </w:rPr>
  </w:style>
  <w:style w:type="character" w:customStyle="1" w:styleId="27">
    <w:name w:val="页眉 Char"/>
    <w:link w:val="11"/>
    <w:qFormat/>
    <w:uiPriority w:val="99"/>
    <w:rPr>
      <w:sz w:val="18"/>
      <w:szCs w:val="18"/>
    </w:rPr>
  </w:style>
  <w:style w:type="paragraph" w:customStyle="1" w:styleId="28">
    <w:name w:val="表格文字2"/>
    <w:basedOn w:val="1"/>
    <w:qFormat/>
    <w:uiPriority w:val="0"/>
    <w:pPr>
      <w:adjustRightInd w:val="0"/>
      <w:spacing w:before="60"/>
      <w:jc w:val="center"/>
      <w:textAlignment w:val="baseline"/>
    </w:pPr>
    <w:rPr>
      <w:rFonts w:ascii="宋体" w:cs="Times New Roman"/>
      <w:kern w:val="0"/>
      <w:sz w:val="24"/>
      <w:szCs w:val="20"/>
    </w:rPr>
  </w:style>
  <w:style w:type="paragraph" w:customStyle="1" w:styleId="29">
    <w:name w:val="表"/>
    <w:basedOn w:val="1"/>
    <w:qFormat/>
    <w:uiPriority w:val="0"/>
    <w:pPr>
      <w:spacing w:line="240" w:lineRule="exact"/>
    </w:pPr>
    <w:rPr>
      <w:rFonts w:ascii="仿宋_GB2312" w:hAnsi="宋体" w:eastAsia="仿宋_GB2312" w:cs="Times New Roman"/>
      <w:sz w:val="18"/>
      <w:szCs w:val="20"/>
    </w:rPr>
  </w:style>
  <w:style w:type="paragraph" w:customStyle="1" w:styleId="30">
    <w:name w:val="表格内容"/>
    <w:basedOn w:val="1"/>
    <w:link w:val="31"/>
    <w:qFormat/>
    <w:uiPriority w:val="0"/>
    <w:pPr>
      <w:jc w:val="center"/>
    </w:pPr>
    <w:rPr>
      <w:rFonts w:eastAsia="Times New Roman" w:cs="Times New Roman"/>
      <w:kern w:val="0"/>
      <w:sz w:val="20"/>
      <w:szCs w:val="21"/>
    </w:rPr>
  </w:style>
  <w:style w:type="character" w:customStyle="1" w:styleId="31">
    <w:name w:val="表格内容 Char"/>
    <w:link w:val="30"/>
    <w:qFormat/>
    <w:uiPriority w:val="0"/>
    <w:rPr>
      <w:rFonts w:ascii="Times New Roman" w:hAnsi="Times New Roman" w:eastAsia="Times New Roman" w:cs="Times New Roman"/>
      <w:szCs w:val="21"/>
    </w:rPr>
  </w:style>
  <w:style w:type="paragraph" w:customStyle="1" w:styleId="32">
    <w:name w:val="表格首行"/>
    <w:basedOn w:val="1"/>
    <w:next w:val="1"/>
    <w:qFormat/>
    <w:uiPriority w:val="0"/>
    <w:pPr>
      <w:jc w:val="center"/>
    </w:pPr>
    <w:rPr>
      <w:rFonts w:cs="宋体"/>
      <w:b/>
      <w:szCs w:val="20"/>
    </w:rPr>
  </w:style>
  <w:style w:type="paragraph" w:customStyle="1" w:styleId="33">
    <w:name w:val="正文-欣欣"/>
    <w:basedOn w:val="1"/>
    <w:qFormat/>
    <w:uiPriority w:val="0"/>
    <w:pPr>
      <w:adjustRightInd w:val="0"/>
      <w:spacing w:line="360" w:lineRule="auto"/>
      <w:ind w:firstLine="200" w:firstLineChars="200"/>
    </w:pPr>
    <w:rPr>
      <w:rFonts w:cs="Times New Roman"/>
      <w:sz w:val="24"/>
      <w:szCs w:val="30"/>
    </w:rPr>
  </w:style>
  <w:style w:type="character" w:customStyle="1" w:styleId="34">
    <w:name w:val="正文文本 Char1"/>
    <w:basedOn w:val="17"/>
    <w:semiHidden/>
    <w:qFormat/>
    <w:uiPriority w:val="99"/>
  </w:style>
  <w:style w:type="character" w:customStyle="1" w:styleId="35">
    <w:name w:val="占位符文本1"/>
    <w:semiHidden/>
    <w:qFormat/>
    <w:uiPriority w:val="99"/>
    <w:rPr>
      <w:color w:val="808080"/>
    </w:rPr>
  </w:style>
  <w:style w:type="table" w:customStyle="1" w:styleId="36">
    <w:name w:val="网格型1"/>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
    <w:name w:val="网格型2"/>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8">
    <w:name w:val="纯文本 Char"/>
    <w:link w:val="8"/>
    <w:semiHidden/>
    <w:qFormat/>
    <w:uiPriority w:val="99"/>
    <w:rPr>
      <w:rFonts w:ascii="宋体" w:hAnsi="Courier New" w:cs="Courier New"/>
      <w:kern w:val="2"/>
      <w:sz w:val="21"/>
      <w:szCs w:val="21"/>
    </w:rPr>
  </w:style>
  <w:style w:type="paragraph" w:customStyle="1" w:styleId="39">
    <w:name w:val="章节目录"/>
    <w:basedOn w:val="1"/>
    <w:link w:val="40"/>
    <w:qFormat/>
    <w:uiPriority w:val="0"/>
    <w:pPr>
      <w:spacing w:line="360" w:lineRule="auto"/>
      <w:outlineLvl w:val="0"/>
    </w:pPr>
    <w:rPr>
      <w:b/>
      <w:sz w:val="28"/>
      <w:szCs w:val="28"/>
    </w:rPr>
  </w:style>
  <w:style w:type="character" w:customStyle="1" w:styleId="40">
    <w:name w:val="章节目录 Char"/>
    <w:link w:val="39"/>
    <w:qFormat/>
    <w:uiPriority w:val="0"/>
    <w:rPr>
      <w:rFonts w:cs="黑体"/>
      <w:b/>
      <w:kern w:val="2"/>
      <w:sz w:val="28"/>
      <w:szCs w:val="28"/>
    </w:rPr>
  </w:style>
  <w:style w:type="paragraph" w:customStyle="1" w:styleId="41">
    <w:name w:val="Char4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42">
    <w:name w:val="表头"/>
    <w:basedOn w:val="1"/>
    <w:link w:val="43"/>
    <w:qFormat/>
    <w:uiPriority w:val="0"/>
    <w:pPr>
      <w:spacing w:line="360" w:lineRule="auto"/>
      <w:jc w:val="center"/>
    </w:pPr>
    <w:rPr>
      <w:rFonts w:eastAsia="黑体" w:cs="Times New Roman"/>
      <w:color w:val="FF0000"/>
      <w:szCs w:val="21"/>
    </w:rPr>
  </w:style>
  <w:style w:type="character" w:customStyle="1" w:styleId="43">
    <w:name w:val="表头 Char"/>
    <w:link w:val="42"/>
    <w:qFormat/>
    <w:uiPriority w:val="0"/>
    <w:rPr>
      <w:rFonts w:eastAsia="黑体"/>
      <w:color w:val="FF0000"/>
      <w:kern w:val="2"/>
      <w:sz w:val="21"/>
      <w:szCs w:val="21"/>
    </w:rPr>
  </w:style>
  <w:style w:type="character" w:customStyle="1" w:styleId="44">
    <w:name w:val="正文文本缩进 3 Char"/>
    <w:link w:val="13"/>
    <w:qFormat/>
    <w:uiPriority w:val="0"/>
    <w:rPr>
      <w:kern w:val="2"/>
      <w:sz w:val="16"/>
      <w:szCs w:val="16"/>
      <w:lang w:val="zh-CN" w:eastAsia="zh-CN"/>
    </w:rPr>
  </w:style>
  <w:style w:type="paragraph" w:customStyle="1" w:styleId="45">
    <w:name w:val="四级标题"/>
    <w:basedOn w:val="1"/>
    <w:link w:val="46"/>
    <w:qFormat/>
    <w:uiPriority w:val="0"/>
    <w:pPr>
      <w:spacing w:line="360" w:lineRule="auto"/>
      <w:ind w:firstLine="200" w:firstLineChars="200"/>
      <w:outlineLvl w:val="3"/>
    </w:pPr>
    <w:rPr>
      <w:rFonts w:cs="Times New Roman"/>
      <w:b/>
      <w:sz w:val="24"/>
      <w:szCs w:val="24"/>
    </w:rPr>
  </w:style>
  <w:style w:type="character" w:customStyle="1" w:styleId="46">
    <w:name w:val="四级标题 Char"/>
    <w:link w:val="45"/>
    <w:qFormat/>
    <w:uiPriority w:val="0"/>
    <w:rPr>
      <w:b/>
      <w:kern w:val="2"/>
      <w:sz w:val="24"/>
      <w:szCs w:val="24"/>
    </w:rPr>
  </w:style>
  <w:style w:type="paragraph" w:customStyle="1" w:styleId="47">
    <w:name w:val="报告表格"/>
    <w:basedOn w:val="1"/>
    <w:link w:val="48"/>
    <w:qFormat/>
    <w:uiPriority w:val="0"/>
    <w:pPr>
      <w:autoSpaceDE w:val="0"/>
      <w:autoSpaceDN w:val="0"/>
      <w:adjustRightInd w:val="0"/>
      <w:spacing w:before="40" w:after="40"/>
      <w:jc w:val="center"/>
      <w:textAlignment w:val="bottom"/>
    </w:pPr>
    <w:rPr>
      <w:rFonts w:cs="Times New Roman"/>
      <w:kern w:val="0"/>
      <w:szCs w:val="20"/>
    </w:rPr>
  </w:style>
  <w:style w:type="character" w:customStyle="1" w:styleId="48">
    <w:name w:val="报告表格 Char"/>
    <w:link w:val="47"/>
    <w:qFormat/>
    <w:uiPriority w:val="0"/>
    <w:rPr>
      <w:sz w:val="21"/>
    </w:rPr>
  </w:style>
  <w:style w:type="paragraph" w:customStyle="1" w:styleId="4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50">
    <w:name w:val="List Paragraph"/>
    <w:basedOn w:val="1"/>
    <w:qFormat/>
    <w:uiPriority w:val="99"/>
    <w:pPr>
      <w:ind w:firstLine="420" w:firstLineChars="200"/>
    </w:pPr>
  </w:style>
  <w:style w:type="character" w:customStyle="1" w:styleId="51">
    <w:name w:val="正文缩进 Char"/>
    <w:basedOn w:val="17"/>
    <w:link w:val="3"/>
    <w:qFormat/>
    <w:uiPriority w:val="0"/>
  </w:style>
  <w:style w:type="paragraph" w:customStyle="1" w:styleId="52">
    <w:name w:val="二级标题"/>
    <w:basedOn w:val="1"/>
    <w:link w:val="53"/>
    <w:qFormat/>
    <w:uiPriority w:val="99"/>
    <w:pPr>
      <w:outlineLvl w:val="1"/>
    </w:pPr>
    <w:rPr>
      <w:rFonts w:eastAsia="黑体" w:asciiTheme="minorHAnsi" w:hAnsiTheme="minorHAnsi" w:cstheme="minorBidi"/>
      <w:sz w:val="30"/>
    </w:rPr>
  </w:style>
  <w:style w:type="character" w:customStyle="1" w:styleId="53">
    <w:name w:val="二级标题 Char"/>
    <w:basedOn w:val="17"/>
    <w:link w:val="52"/>
    <w:qFormat/>
    <w:uiPriority w:val="99"/>
    <w:rPr>
      <w:rFonts w:eastAsia="黑体" w:asciiTheme="minorHAnsi" w:hAnsiTheme="minorHAnsi" w:cstheme="minorBidi"/>
      <w:kern w:val="2"/>
      <w:sz w:val="30"/>
      <w:szCs w:val="22"/>
    </w:rPr>
  </w:style>
  <w:style w:type="paragraph" w:customStyle="1" w:styleId="54">
    <w:name w:val="图表标题"/>
    <w:basedOn w:val="1"/>
    <w:link w:val="55"/>
    <w:qFormat/>
    <w:uiPriority w:val="0"/>
    <w:pPr>
      <w:spacing w:line="360" w:lineRule="auto"/>
      <w:jc w:val="center"/>
    </w:pPr>
    <w:rPr>
      <w:rFonts w:eastAsia="黑体" w:cs="Times New Roman"/>
      <w:szCs w:val="21"/>
    </w:rPr>
  </w:style>
  <w:style w:type="character" w:customStyle="1" w:styleId="55">
    <w:name w:val="图表标题 Char"/>
    <w:basedOn w:val="17"/>
    <w:link w:val="54"/>
    <w:qFormat/>
    <w:uiPriority w:val="0"/>
    <w:rPr>
      <w:rFonts w:eastAsia="黑体"/>
      <w:kern w:val="2"/>
      <w:sz w:val="21"/>
      <w:szCs w:val="21"/>
    </w:rPr>
  </w:style>
  <w:style w:type="paragraph" w:customStyle="1" w:styleId="56">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57">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58">
    <w:name w:val="Table Grid_0"/>
    <w:basedOn w:val="15"/>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wmf"/><Relationship Id="rId24" Type="http://schemas.openxmlformats.org/officeDocument/2006/relationships/oleObject" Target="embeddings/oleObject3.bin"/><Relationship Id="rId23" Type="http://schemas.openxmlformats.org/officeDocument/2006/relationships/image" Target="media/image13.wmf"/><Relationship Id="rId22" Type="http://schemas.openxmlformats.org/officeDocument/2006/relationships/oleObject" Target="embeddings/oleObject2.bin"/><Relationship Id="rId21" Type="http://schemas.openxmlformats.org/officeDocument/2006/relationships/image" Target="media/image12.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package" Target="embeddings/Microsoft_Visio___4.vsdx"/><Relationship Id="rId17" Type="http://schemas.openxmlformats.org/officeDocument/2006/relationships/image" Target="media/image10.emf"/><Relationship Id="rId16" Type="http://schemas.openxmlformats.org/officeDocument/2006/relationships/package" Target="embeddings/Microsoft_Visio___3.vsdx"/><Relationship Id="rId15" Type="http://schemas.openxmlformats.org/officeDocument/2006/relationships/image" Target="media/image9.emf"/><Relationship Id="rId14" Type="http://schemas.openxmlformats.org/officeDocument/2006/relationships/package" Target="embeddings/Microsoft_Visio___2.vsdx"/><Relationship Id="rId13" Type="http://schemas.openxmlformats.org/officeDocument/2006/relationships/image" Target="media/image8.emf"/><Relationship Id="rId12" Type="http://schemas.openxmlformats.org/officeDocument/2006/relationships/package" Target="embeddings/Microsoft_Visio___1.vsdx"/><Relationship Id="rId11" Type="http://schemas.openxmlformats.org/officeDocument/2006/relationships/image" Target="media/image7.emf"/><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ABEEE5-F6C1-4F99-9C53-33F915C94664}">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56</Pages>
  <Words>5957</Words>
  <Characters>33957</Characters>
  <Lines>282</Lines>
  <Paragraphs>79</Paragraphs>
  <TotalTime>1</TotalTime>
  <ScaleCrop>false</ScaleCrop>
  <LinksUpToDate>false</LinksUpToDate>
  <CharactersWithSpaces>39835</CharactersWithSpaces>
  <Application>WPS Office_11.1.0.11579_F1E327BC-269C-435d-A152-05C5408002CA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2015-06-30T08:58:00Z</dcterms:created>
  <dc:creator>Yc.</dc:creator>
  <cp:lastModifiedBy>谢杨</cp:lastModifiedBy>
  <cp:lastPrinted>2022-03-21T09:52:00Z</cp:lastPrinted>
  <dcterms:modified xsi:type="dcterms:W3CDTF">2022-08-25T10:38:57Z</dcterms:modified>
  <dc:title>建设项目环境影响报告表</dc:title>
  <cp:revision>274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2052-11.1.0.11579</vt:lpwstr>
  </property>
  <property fmtid="{D5CDD505-2E9C-101B-9397-08002B2CF9AE}" pid="3" name="ICV">
    <vt:lpwstr>245699F89D3C4798B00D92754B28139E</vt:lpwstr>
  </property>
</Properties>
</file>